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CFAF1">
      <w:pPr>
        <w:rPr>
          <w:rFonts w:hint="default" w:eastAsia="宋体"/>
          <w:color w:val="auto"/>
          <w:sz w:val="36"/>
          <w:szCs w:val="36"/>
          <w:highlight w:val="none"/>
          <w:lang w:val="en-US" w:eastAsia="zh-CN"/>
        </w:rPr>
      </w:pPr>
      <w:bookmarkStart w:id="0" w:name="_Hlk66959821"/>
    </w:p>
    <w:p w14:paraId="1F7ACE2F">
      <w:pPr>
        <w:pStyle w:val="3"/>
        <w:rPr>
          <w:color w:val="auto"/>
          <w:sz w:val="36"/>
          <w:szCs w:val="36"/>
          <w:highlight w:val="none"/>
        </w:rPr>
      </w:pPr>
    </w:p>
    <w:p w14:paraId="113495B4">
      <w:pPr>
        <w:pStyle w:val="4"/>
        <w:rPr>
          <w:color w:val="auto"/>
          <w:sz w:val="36"/>
          <w:szCs w:val="36"/>
          <w:highlight w:val="none"/>
        </w:rPr>
      </w:pPr>
    </w:p>
    <w:p w14:paraId="39CC6726">
      <w:pPr>
        <w:pStyle w:val="4"/>
        <w:rPr>
          <w:color w:val="auto"/>
          <w:sz w:val="36"/>
          <w:szCs w:val="36"/>
          <w:highlight w:val="none"/>
        </w:rPr>
      </w:pPr>
    </w:p>
    <w:p w14:paraId="5C0312BB">
      <w:pPr>
        <w:rPr>
          <w:color w:val="auto"/>
          <w:sz w:val="36"/>
          <w:szCs w:val="36"/>
          <w:highlight w:val="none"/>
        </w:rPr>
      </w:pPr>
    </w:p>
    <w:p w14:paraId="1EE0085E">
      <w:pPr>
        <w:rPr>
          <w:color w:val="auto"/>
          <w:sz w:val="36"/>
          <w:szCs w:val="36"/>
          <w:highlight w:val="none"/>
        </w:rPr>
      </w:pPr>
    </w:p>
    <w:p w14:paraId="3639CCD5">
      <w:pPr>
        <w:rPr>
          <w:color w:val="auto"/>
          <w:sz w:val="36"/>
          <w:szCs w:val="36"/>
          <w:highlight w:val="none"/>
        </w:rPr>
      </w:pPr>
    </w:p>
    <w:bookmarkEnd w:id="0"/>
    <w:p w14:paraId="76681145">
      <w:pPr>
        <w:adjustRightInd w:val="0"/>
        <w:snapToGrid w:val="0"/>
        <w:jc w:val="center"/>
        <w:outlineLvl w:val="0"/>
        <w:rPr>
          <w:rFonts w:eastAsia="方正小标宋_GBK"/>
          <w:bCs/>
          <w:color w:val="auto"/>
          <w:sz w:val="72"/>
          <w:szCs w:val="72"/>
          <w:highlight w:val="none"/>
        </w:rPr>
      </w:pPr>
      <w:bookmarkStart w:id="1" w:name="_Toc5983"/>
      <w:bookmarkStart w:id="2" w:name="_Toc890"/>
      <w:r>
        <w:rPr>
          <w:rFonts w:eastAsia="方正小标宋_GBK"/>
          <w:bCs/>
          <w:color w:val="auto"/>
          <w:sz w:val="72"/>
          <w:szCs w:val="72"/>
          <w:highlight w:val="none"/>
        </w:rPr>
        <w:t>建设项目</w:t>
      </w:r>
      <w:r>
        <w:rPr>
          <w:rFonts w:hint="eastAsia" w:eastAsia="方正小标宋_GBK"/>
          <w:bCs/>
          <w:color w:val="auto"/>
          <w:sz w:val="72"/>
          <w:szCs w:val="72"/>
          <w:highlight w:val="none"/>
          <w:lang w:val="en-US" w:eastAsia="zh-CN"/>
        </w:rPr>
        <w:t>生态</w:t>
      </w:r>
      <w:r>
        <w:rPr>
          <w:rFonts w:eastAsia="方正小标宋_GBK"/>
          <w:bCs/>
          <w:color w:val="auto"/>
          <w:sz w:val="72"/>
          <w:szCs w:val="72"/>
          <w:highlight w:val="none"/>
        </w:rPr>
        <w:t>环境影响</w:t>
      </w:r>
    </w:p>
    <w:p w14:paraId="3ED1D447">
      <w:pPr>
        <w:adjustRightInd w:val="0"/>
        <w:snapToGrid w:val="0"/>
        <w:jc w:val="center"/>
        <w:outlineLvl w:val="0"/>
        <w:rPr>
          <w:rFonts w:eastAsia="方正小标宋_GBK"/>
          <w:bCs/>
          <w:color w:val="auto"/>
          <w:sz w:val="72"/>
          <w:szCs w:val="72"/>
          <w:highlight w:val="none"/>
        </w:rPr>
      </w:pPr>
      <w:r>
        <w:rPr>
          <w:rFonts w:eastAsia="方正小标宋_GBK"/>
          <w:bCs/>
          <w:color w:val="auto"/>
          <w:sz w:val="72"/>
          <w:szCs w:val="72"/>
          <w:highlight w:val="none"/>
        </w:rPr>
        <w:t>报告表</w:t>
      </w:r>
      <w:bookmarkEnd w:id="1"/>
      <w:bookmarkEnd w:id="2"/>
    </w:p>
    <w:p w14:paraId="7E1C2468">
      <w:pPr>
        <w:adjustRightInd w:val="0"/>
        <w:snapToGrid w:val="0"/>
        <w:spacing w:before="192" w:beforeLines="80"/>
        <w:jc w:val="center"/>
        <w:rPr>
          <w:rFonts w:eastAsia="楷体_GB2312"/>
          <w:bCs/>
          <w:color w:val="auto"/>
          <w:sz w:val="48"/>
          <w:szCs w:val="48"/>
          <w:highlight w:val="none"/>
        </w:rPr>
      </w:pPr>
      <w:r>
        <w:rPr>
          <w:rFonts w:eastAsia="楷体_GB2312"/>
          <w:bCs/>
          <w:color w:val="auto"/>
          <w:sz w:val="48"/>
          <w:szCs w:val="48"/>
          <w:highlight w:val="none"/>
        </w:rPr>
        <w:t>（污染影响类）</w:t>
      </w:r>
    </w:p>
    <w:p w14:paraId="01A3B93D">
      <w:pPr>
        <w:bidi w:val="0"/>
        <w:rPr>
          <w:color w:val="auto"/>
          <w:highlight w:val="none"/>
        </w:rPr>
      </w:pPr>
    </w:p>
    <w:p w14:paraId="071359BE">
      <w:pPr>
        <w:jc w:val="center"/>
        <w:rPr>
          <w:rFonts w:eastAsia="仿宋"/>
          <w:color w:val="auto"/>
          <w:sz w:val="52"/>
          <w:szCs w:val="52"/>
          <w:highlight w:val="none"/>
        </w:rPr>
      </w:pPr>
    </w:p>
    <w:p w14:paraId="5E21C2D4">
      <w:pPr>
        <w:ind w:firstLine="1040"/>
        <w:rPr>
          <w:rFonts w:eastAsia="仿宋"/>
          <w:color w:val="auto"/>
          <w:sz w:val="44"/>
          <w:szCs w:val="44"/>
          <w:highlight w:val="none"/>
        </w:rPr>
      </w:pPr>
    </w:p>
    <w:p w14:paraId="0A434BB0">
      <w:pPr>
        <w:ind w:firstLine="1040"/>
        <w:rPr>
          <w:rFonts w:eastAsia="仿宋"/>
          <w:color w:val="auto"/>
          <w:sz w:val="44"/>
          <w:szCs w:val="44"/>
          <w:highlight w:val="none"/>
        </w:rPr>
      </w:pPr>
    </w:p>
    <w:p w14:paraId="3AD4DA36">
      <w:pPr>
        <w:ind w:firstLine="1040"/>
        <w:rPr>
          <w:rFonts w:eastAsia="仿宋"/>
          <w:color w:val="auto"/>
          <w:sz w:val="44"/>
          <w:szCs w:val="44"/>
          <w:highlight w:val="none"/>
        </w:rPr>
      </w:pPr>
    </w:p>
    <w:p w14:paraId="23BF6F22">
      <w:pPr>
        <w:ind w:firstLine="1040"/>
        <w:rPr>
          <w:rFonts w:eastAsia="仿宋"/>
          <w:color w:val="auto"/>
          <w:sz w:val="44"/>
          <w:szCs w:val="44"/>
          <w:highlight w:val="none"/>
        </w:rPr>
      </w:pPr>
    </w:p>
    <w:p w14:paraId="6EC28B32">
      <w:pPr>
        <w:adjustRightInd w:val="0"/>
        <w:snapToGrid w:val="0"/>
        <w:spacing w:line="288" w:lineRule="auto"/>
        <w:ind w:left="1800" w:hanging="1800" w:hangingChars="500"/>
        <w:rPr>
          <w:rFonts w:hint="default" w:eastAsia="仿宋"/>
          <w:color w:val="auto"/>
          <w:sz w:val="36"/>
          <w:szCs w:val="36"/>
          <w:highlight w:val="none"/>
          <w:u w:val="single"/>
          <w:lang w:val="en-US" w:eastAsia="zh-CN"/>
        </w:rPr>
      </w:pPr>
      <w:r>
        <w:rPr>
          <w:rFonts w:ascii="仿宋" w:hAnsi="仿宋" w:eastAsia="仿宋"/>
          <w:color w:val="auto"/>
          <w:sz w:val="36"/>
          <w:szCs w:val="36"/>
          <w:highlight w:val="none"/>
        </w:rPr>
        <w:t>项</w:t>
      </w:r>
      <w:r>
        <w:rPr>
          <w:rFonts w:hAnsi="仿宋" w:eastAsia="仿宋"/>
          <w:color w:val="auto"/>
          <w:sz w:val="36"/>
          <w:szCs w:val="36"/>
          <w:highlight w:val="none"/>
        </w:rPr>
        <w:t>目名称：</w:t>
      </w:r>
      <w:r>
        <w:rPr>
          <w:rFonts w:hint="eastAsia" w:hAnsi="仿宋" w:eastAsia="仿宋"/>
          <w:color w:val="auto"/>
          <w:sz w:val="36"/>
          <w:szCs w:val="36"/>
          <w:highlight w:val="none"/>
          <w:u w:val="single"/>
        </w:rPr>
        <w:t>联佳科技</w:t>
      </w:r>
      <w:r>
        <w:rPr>
          <w:rFonts w:hint="eastAsia" w:hAnsi="仿宋" w:eastAsia="仿宋"/>
          <w:color w:val="auto"/>
          <w:sz w:val="36"/>
          <w:szCs w:val="36"/>
          <w:highlight w:val="none"/>
          <w:u w:val="single"/>
          <w:lang w:eastAsia="zh-CN"/>
        </w:rPr>
        <w:t>（</w:t>
      </w:r>
      <w:r>
        <w:rPr>
          <w:rFonts w:hint="eastAsia" w:hAnsi="仿宋" w:eastAsia="仿宋"/>
          <w:color w:val="auto"/>
          <w:sz w:val="36"/>
          <w:szCs w:val="36"/>
          <w:highlight w:val="none"/>
          <w:u w:val="single"/>
        </w:rPr>
        <w:t>苏州</w:t>
      </w:r>
      <w:r>
        <w:rPr>
          <w:rFonts w:hint="eastAsia" w:hAnsi="仿宋" w:eastAsia="仿宋"/>
          <w:color w:val="auto"/>
          <w:sz w:val="36"/>
          <w:szCs w:val="36"/>
          <w:highlight w:val="none"/>
          <w:u w:val="single"/>
          <w:lang w:eastAsia="zh-CN"/>
        </w:rPr>
        <w:t>）</w:t>
      </w:r>
      <w:r>
        <w:rPr>
          <w:rFonts w:hint="eastAsia" w:hAnsi="仿宋" w:eastAsia="仿宋"/>
          <w:color w:val="auto"/>
          <w:sz w:val="36"/>
          <w:szCs w:val="36"/>
          <w:highlight w:val="none"/>
          <w:u w:val="single"/>
        </w:rPr>
        <w:t>股份有限公司航空航天精密零部件和其他精密零部件改扩建项目</w:t>
      </w:r>
    </w:p>
    <w:p w14:paraId="72FA6ED2">
      <w:pPr>
        <w:adjustRightInd w:val="0"/>
        <w:snapToGrid w:val="0"/>
        <w:spacing w:line="288" w:lineRule="auto"/>
        <w:rPr>
          <w:rFonts w:hint="default" w:hAnsi="仿宋" w:eastAsia="仿宋"/>
          <w:color w:val="auto"/>
          <w:sz w:val="36"/>
          <w:szCs w:val="36"/>
          <w:highlight w:val="none"/>
          <w:u w:val="single"/>
          <w:lang w:val="en-US" w:eastAsia="zh-CN"/>
        </w:rPr>
      </w:pPr>
      <w:r>
        <w:rPr>
          <w:rFonts w:hAnsi="仿宋" w:eastAsia="仿宋"/>
          <w:color w:val="auto"/>
          <w:sz w:val="36"/>
          <w:szCs w:val="36"/>
          <w:highlight w:val="none"/>
        </w:rPr>
        <w:t>建设单位（盖章）：</w:t>
      </w:r>
      <w:r>
        <w:rPr>
          <w:rFonts w:hint="eastAsia" w:hAnsi="仿宋" w:eastAsia="仿宋"/>
          <w:color w:val="auto"/>
          <w:sz w:val="36"/>
          <w:szCs w:val="36"/>
          <w:highlight w:val="none"/>
          <w:u w:val="single"/>
        </w:rPr>
        <w:t>联佳科技（苏州）股份有限公司</w:t>
      </w:r>
    </w:p>
    <w:p w14:paraId="3BB30152">
      <w:pPr>
        <w:adjustRightInd w:val="0"/>
        <w:snapToGrid w:val="0"/>
        <w:spacing w:line="288" w:lineRule="auto"/>
        <w:rPr>
          <w:rFonts w:hint="default" w:eastAsia="仿宋"/>
          <w:color w:val="auto"/>
          <w:sz w:val="36"/>
          <w:szCs w:val="36"/>
          <w:highlight w:val="none"/>
          <w:u w:val="single"/>
          <w:lang w:val="en-US" w:eastAsia="zh-CN"/>
        </w:rPr>
      </w:pPr>
      <w:r>
        <w:rPr>
          <w:rFonts w:hAnsi="仿宋" w:eastAsia="仿宋"/>
          <w:color w:val="auto"/>
          <w:sz w:val="36"/>
          <w:szCs w:val="36"/>
          <w:highlight w:val="none"/>
        </w:rPr>
        <w:t>编制日期：</w:t>
      </w:r>
      <w:r>
        <w:rPr>
          <w:rFonts w:eastAsia="仿宋"/>
          <w:color w:val="auto"/>
          <w:sz w:val="36"/>
          <w:szCs w:val="36"/>
          <w:highlight w:val="none"/>
          <w:u w:val="single"/>
        </w:rPr>
        <w:t xml:space="preserve">          202</w:t>
      </w:r>
      <w:r>
        <w:rPr>
          <w:rFonts w:hint="eastAsia" w:eastAsia="仿宋"/>
          <w:color w:val="auto"/>
          <w:sz w:val="36"/>
          <w:szCs w:val="36"/>
          <w:highlight w:val="none"/>
          <w:u w:val="single"/>
          <w:lang w:val="en-US" w:eastAsia="zh-CN"/>
        </w:rPr>
        <w:t>6</w:t>
      </w:r>
      <w:r>
        <w:rPr>
          <w:rFonts w:hAnsi="仿宋" w:eastAsia="仿宋"/>
          <w:color w:val="auto"/>
          <w:sz w:val="36"/>
          <w:szCs w:val="36"/>
          <w:highlight w:val="none"/>
          <w:u w:val="single"/>
        </w:rPr>
        <w:t>年</w:t>
      </w:r>
      <w:r>
        <w:rPr>
          <w:rFonts w:hint="eastAsia" w:eastAsia="仿宋"/>
          <w:color w:val="auto"/>
          <w:sz w:val="36"/>
          <w:szCs w:val="36"/>
          <w:highlight w:val="none"/>
          <w:u w:val="single"/>
          <w:lang w:val="en-US" w:eastAsia="zh-CN"/>
        </w:rPr>
        <w:t>8</w:t>
      </w:r>
      <w:r>
        <w:rPr>
          <w:rFonts w:hAnsi="仿宋" w:eastAsia="仿宋"/>
          <w:color w:val="auto"/>
          <w:sz w:val="36"/>
          <w:szCs w:val="36"/>
          <w:highlight w:val="none"/>
          <w:u w:val="single"/>
        </w:rPr>
        <w:t>月</w:t>
      </w:r>
      <w:r>
        <w:rPr>
          <w:rFonts w:eastAsia="仿宋"/>
          <w:color w:val="auto"/>
          <w:sz w:val="36"/>
          <w:szCs w:val="36"/>
          <w:highlight w:val="none"/>
          <w:u w:val="single"/>
        </w:rPr>
        <w:t xml:space="preserve">            </w:t>
      </w:r>
      <w:r>
        <w:rPr>
          <w:rFonts w:hint="eastAsia" w:eastAsia="仿宋"/>
          <w:color w:val="auto"/>
          <w:sz w:val="36"/>
          <w:szCs w:val="36"/>
          <w:highlight w:val="none"/>
          <w:u w:val="single"/>
          <w:lang w:val="en-US" w:eastAsia="zh-CN"/>
        </w:rPr>
        <w:t xml:space="preserve">    </w:t>
      </w:r>
    </w:p>
    <w:p w14:paraId="6F6A5082">
      <w:pPr>
        <w:adjustRightInd w:val="0"/>
        <w:snapToGrid w:val="0"/>
        <w:spacing w:line="288" w:lineRule="auto"/>
        <w:ind w:firstLine="1040"/>
        <w:rPr>
          <w:rFonts w:eastAsia="仿宋_GB2312"/>
          <w:color w:val="auto"/>
          <w:sz w:val="36"/>
          <w:szCs w:val="36"/>
          <w:highlight w:val="none"/>
          <w:u w:val="single"/>
        </w:rPr>
      </w:pPr>
      <w:bookmarkStart w:id="3" w:name="_Hlk57884087"/>
    </w:p>
    <w:p w14:paraId="6BEB1146">
      <w:pPr>
        <w:adjustRightInd w:val="0"/>
        <w:snapToGrid w:val="0"/>
        <w:spacing w:line="288" w:lineRule="auto"/>
        <w:ind w:firstLine="1040"/>
        <w:rPr>
          <w:rFonts w:eastAsia="仿宋_GB2312"/>
          <w:color w:val="auto"/>
          <w:sz w:val="36"/>
          <w:szCs w:val="36"/>
          <w:highlight w:val="none"/>
        </w:rPr>
      </w:pPr>
    </w:p>
    <w:p w14:paraId="5BE7D478">
      <w:pPr>
        <w:adjustRightInd w:val="0"/>
        <w:snapToGrid w:val="0"/>
        <w:spacing w:line="288" w:lineRule="auto"/>
        <w:ind w:firstLine="1040"/>
        <w:rPr>
          <w:rFonts w:eastAsia="仿宋_GB2312"/>
          <w:color w:val="auto"/>
          <w:sz w:val="36"/>
          <w:szCs w:val="36"/>
          <w:highlight w:val="none"/>
        </w:rPr>
      </w:pPr>
    </w:p>
    <w:p w14:paraId="322BDFCE">
      <w:pPr>
        <w:adjustRightInd w:val="0"/>
        <w:snapToGrid w:val="0"/>
        <w:spacing w:line="288" w:lineRule="auto"/>
        <w:ind w:firstLine="1040"/>
        <w:rPr>
          <w:rFonts w:eastAsia="仿宋_GB2312"/>
          <w:color w:val="auto"/>
          <w:sz w:val="36"/>
          <w:szCs w:val="36"/>
          <w:highlight w:val="none"/>
        </w:rPr>
      </w:pPr>
    </w:p>
    <w:bookmarkEnd w:id="3"/>
    <w:p w14:paraId="4582E310">
      <w:pPr>
        <w:adjustRightInd w:val="0"/>
        <w:snapToGrid w:val="0"/>
        <w:spacing w:line="288" w:lineRule="auto"/>
        <w:jc w:val="center"/>
        <w:rPr>
          <w:rFonts w:ascii="仿宋" w:hAnsi="仿宋" w:eastAsia="仿宋"/>
          <w:color w:val="auto"/>
          <w:sz w:val="36"/>
          <w:szCs w:val="36"/>
          <w:highlight w:val="none"/>
        </w:rPr>
        <w:sectPr>
          <w:footerReference r:id="rId3" w:type="default"/>
          <w:footerReference r:id="rId4" w:type="even"/>
          <w:pgSz w:w="11906" w:h="16838"/>
          <w:pgMar w:top="1440" w:right="1797" w:bottom="1440" w:left="1797" w:header="851" w:footer="1077" w:gutter="0"/>
          <w:pgBorders>
            <w:top w:val="none" w:sz="0" w:space="0"/>
            <w:left w:val="none" w:sz="0" w:space="0"/>
            <w:bottom w:val="none" w:sz="0" w:space="0"/>
            <w:right w:val="none" w:sz="0" w:space="0"/>
          </w:pgBorders>
          <w:pgNumType w:start="3"/>
          <w:cols w:space="720" w:num="1"/>
          <w:docGrid w:linePitch="312" w:charSpace="0"/>
        </w:sectPr>
      </w:pPr>
      <w:r>
        <w:rPr>
          <w:rFonts w:ascii="仿宋" w:hAnsi="仿宋" w:eastAsia="仿宋"/>
          <w:color w:val="auto"/>
          <w:sz w:val="36"/>
          <w:szCs w:val="36"/>
          <w:highlight w:val="none"/>
        </w:rPr>
        <w:t>中华人民共和国生态环境部制</w:t>
      </w:r>
    </w:p>
    <w:sdt>
      <w:sdtPr>
        <w:rPr>
          <w:rFonts w:ascii="宋体" w:hAnsi="宋体" w:eastAsia="宋体" w:cs="Times New Roman"/>
          <w:kern w:val="2"/>
          <w:sz w:val="21"/>
          <w:szCs w:val="24"/>
          <w:highlight w:val="none"/>
          <w:lang w:val="en-US" w:eastAsia="zh-CN" w:bidi="ar-SA"/>
        </w:rPr>
        <w:id w:val="147458834"/>
        <w15:color w:val="DBDBDB"/>
        <w:docPartObj>
          <w:docPartGallery w:val="Table of Contents"/>
          <w:docPartUnique/>
        </w:docPartObj>
      </w:sdtPr>
      <w:sdtEndPr>
        <w:rPr>
          <w:rFonts w:ascii="Times New Roman" w:hAnsi="Times New Roman" w:eastAsia="楷体_GB2312" w:cs="Times New Roman"/>
          <w:color w:val="auto"/>
          <w:kern w:val="2"/>
          <w:sz w:val="21"/>
          <w:szCs w:val="36"/>
          <w:highlight w:val="none"/>
          <w:lang w:val="en-US" w:eastAsia="zh-CN" w:bidi="ar-SA"/>
        </w:rPr>
      </w:sdtEndPr>
      <w:sdtContent>
        <w:p w14:paraId="1E4C637F">
          <w:pPr>
            <w:spacing w:before="0" w:beforeLines="0" w:after="0" w:afterLines="0" w:line="240" w:lineRule="auto"/>
            <w:ind w:left="0" w:leftChars="0" w:right="0" w:rightChars="0" w:firstLine="0" w:firstLineChars="0"/>
            <w:jc w:val="center"/>
            <w:rPr>
              <w:sz w:val="32"/>
              <w:szCs w:val="40"/>
              <w:highlight w:val="none"/>
            </w:rPr>
          </w:pPr>
          <w:r>
            <w:rPr>
              <w:rFonts w:ascii="宋体" w:hAnsi="宋体" w:eastAsia="宋体"/>
              <w:sz w:val="32"/>
              <w:szCs w:val="40"/>
              <w:highlight w:val="none"/>
            </w:rPr>
            <w:t>目</w:t>
          </w:r>
          <w:r>
            <w:rPr>
              <w:rFonts w:hint="eastAsia" w:ascii="宋体" w:hAnsi="宋体" w:eastAsia="宋体"/>
              <w:sz w:val="32"/>
              <w:szCs w:val="40"/>
              <w:highlight w:val="none"/>
              <w:lang w:val="en-US" w:eastAsia="zh-CN"/>
            </w:rPr>
            <w:t xml:space="preserve"> </w:t>
          </w:r>
          <w:r>
            <w:rPr>
              <w:rFonts w:ascii="宋体" w:hAnsi="宋体" w:eastAsia="宋体"/>
              <w:sz w:val="32"/>
              <w:szCs w:val="40"/>
              <w:highlight w:val="none"/>
            </w:rPr>
            <w:t>录</w:t>
          </w:r>
        </w:p>
        <w:p w14:paraId="6924E6F9">
          <w:pPr>
            <w:pStyle w:val="13"/>
            <w:tabs>
              <w:tab w:val="right" w:leader="dot" w:pos="8312"/>
            </w:tabs>
            <w:rPr>
              <w:rFonts w:hint="default" w:ascii="Times New Roman" w:hAnsi="Times New Roman" w:eastAsia="宋体" w:cs="Times New Roman"/>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TOC \o "1-1" \h \u </w:instrText>
          </w:r>
          <w:r>
            <w:rPr>
              <w:rFonts w:hint="default" w:ascii="Times New Roman" w:hAnsi="Times New Roman" w:eastAsia="宋体" w:cs="Times New Roman"/>
              <w:color w:val="auto"/>
              <w:sz w:val="24"/>
              <w:szCs w:val="24"/>
              <w:highlight w:val="none"/>
            </w:rPr>
            <w:fldChar w:fldCharType="separate"/>
          </w:r>
        </w:p>
        <w:p w14:paraId="405D751D">
          <w:pPr>
            <w:pStyle w:val="13"/>
            <w:tabs>
              <w:tab w:val="right" w:leader="dot" w:pos="8312"/>
            </w:tabs>
            <w:rPr>
              <w:rFonts w:hint="default" w:ascii="Times New Roman" w:hAnsi="Times New Roman" w:eastAsia="宋体" w:cs="Times New Roman"/>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sz w:val="24"/>
              <w:szCs w:val="24"/>
              <w:highlight w:val="none"/>
            </w:rPr>
            <w:instrText xml:space="preserve"> HYPERLINK \l _Toc24103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napToGrid w:val="0"/>
              <w:sz w:val="24"/>
              <w:szCs w:val="24"/>
              <w:highlight w:val="none"/>
            </w:rPr>
            <w:t>一、建设项目基本情况</w:t>
          </w:r>
          <w:r>
            <w:rPr>
              <w:rFonts w:hint="default" w:ascii="Times New Roman" w:hAnsi="Times New Roman" w:eastAsia="宋体" w:cs="Times New Roman"/>
              <w:sz w:val="24"/>
              <w:szCs w:val="24"/>
              <w:highlight w:val="none"/>
            </w:rPr>
            <w:tab/>
          </w:r>
          <w:r>
            <w:rPr>
              <w:rFonts w:hint="default" w:ascii="Times New Roman" w:hAnsi="Times New Roman" w:eastAsia="宋体" w:cs="Times New Roman"/>
              <w:sz w:val="24"/>
              <w:szCs w:val="24"/>
              <w:highlight w:val="none"/>
            </w:rPr>
            <w:fldChar w:fldCharType="begin"/>
          </w:r>
          <w:r>
            <w:rPr>
              <w:rFonts w:hint="default" w:ascii="Times New Roman" w:hAnsi="Times New Roman" w:eastAsia="宋体" w:cs="Times New Roman"/>
              <w:sz w:val="24"/>
              <w:szCs w:val="24"/>
              <w:highlight w:val="none"/>
            </w:rPr>
            <w:instrText xml:space="preserve"> PAGEREF _Toc24103 \h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z w:val="24"/>
              <w:szCs w:val="24"/>
              <w:highlight w:val="none"/>
            </w:rPr>
            <w:t>1</w:t>
          </w:r>
          <w:r>
            <w:rPr>
              <w:rFonts w:hint="default" w:ascii="Times New Roman" w:hAnsi="Times New Roman" w:eastAsia="宋体" w:cs="Times New Roman"/>
              <w:sz w:val="24"/>
              <w:szCs w:val="24"/>
              <w:highlight w:val="none"/>
            </w:rPr>
            <w:fldChar w:fldCharType="end"/>
          </w:r>
          <w:r>
            <w:rPr>
              <w:rFonts w:hint="default" w:ascii="Times New Roman" w:hAnsi="Times New Roman" w:eastAsia="宋体" w:cs="Times New Roman"/>
              <w:color w:val="auto"/>
              <w:sz w:val="24"/>
              <w:szCs w:val="24"/>
              <w:highlight w:val="none"/>
            </w:rPr>
            <w:fldChar w:fldCharType="end"/>
          </w:r>
        </w:p>
        <w:p w14:paraId="5CE6D92D">
          <w:pPr>
            <w:pStyle w:val="13"/>
            <w:tabs>
              <w:tab w:val="right" w:leader="dot" w:pos="8312"/>
            </w:tabs>
            <w:rPr>
              <w:rFonts w:hint="default" w:ascii="Times New Roman" w:hAnsi="Times New Roman" w:eastAsia="宋体" w:cs="Times New Roman"/>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sz w:val="24"/>
              <w:szCs w:val="24"/>
              <w:highlight w:val="none"/>
            </w:rPr>
            <w:instrText xml:space="preserve"> HYPERLINK \l _Toc10731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napToGrid w:val="0"/>
              <w:sz w:val="24"/>
              <w:szCs w:val="24"/>
              <w:highlight w:val="none"/>
            </w:rPr>
            <w:t>二、建设项目工程分析</w:t>
          </w:r>
          <w:r>
            <w:rPr>
              <w:rFonts w:hint="default" w:ascii="Times New Roman" w:hAnsi="Times New Roman" w:eastAsia="宋体" w:cs="Times New Roman"/>
              <w:sz w:val="24"/>
              <w:szCs w:val="24"/>
              <w:highlight w:val="none"/>
            </w:rPr>
            <w:tab/>
          </w:r>
          <w:r>
            <w:rPr>
              <w:rFonts w:hint="default" w:ascii="Times New Roman" w:hAnsi="Times New Roman" w:eastAsia="宋体" w:cs="Times New Roman"/>
              <w:sz w:val="24"/>
              <w:szCs w:val="24"/>
              <w:highlight w:val="none"/>
            </w:rPr>
            <w:fldChar w:fldCharType="begin"/>
          </w:r>
          <w:r>
            <w:rPr>
              <w:rFonts w:hint="default" w:ascii="Times New Roman" w:hAnsi="Times New Roman" w:eastAsia="宋体" w:cs="Times New Roman"/>
              <w:sz w:val="24"/>
              <w:szCs w:val="24"/>
              <w:highlight w:val="none"/>
            </w:rPr>
            <w:instrText xml:space="preserve"> PAGEREF _Toc10731 \h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z w:val="24"/>
              <w:szCs w:val="24"/>
              <w:highlight w:val="none"/>
            </w:rPr>
            <w:t>38</w:t>
          </w:r>
          <w:r>
            <w:rPr>
              <w:rFonts w:hint="default" w:ascii="Times New Roman" w:hAnsi="Times New Roman" w:eastAsia="宋体" w:cs="Times New Roman"/>
              <w:sz w:val="24"/>
              <w:szCs w:val="24"/>
              <w:highlight w:val="none"/>
            </w:rPr>
            <w:fldChar w:fldCharType="end"/>
          </w:r>
          <w:r>
            <w:rPr>
              <w:rFonts w:hint="default" w:ascii="Times New Roman" w:hAnsi="Times New Roman" w:eastAsia="宋体" w:cs="Times New Roman"/>
              <w:color w:val="auto"/>
              <w:sz w:val="24"/>
              <w:szCs w:val="24"/>
              <w:highlight w:val="none"/>
            </w:rPr>
            <w:fldChar w:fldCharType="end"/>
          </w:r>
        </w:p>
        <w:p w14:paraId="2BA8BBED">
          <w:pPr>
            <w:pStyle w:val="13"/>
            <w:tabs>
              <w:tab w:val="right" w:leader="dot" w:pos="8312"/>
            </w:tabs>
            <w:rPr>
              <w:rFonts w:hint="default" w:ascii="Times New Roman" w:hAnsi="Times New Roman" w:eastAsia="宋体" w:cs="Times New Roman"/>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sz w:val="24"/>
              <w:szCs w:val="24"/>
              <w:highlight w:val="none"/>
            </w:rPr>
            <w:instrText xml:space="preserve"> HYPERLINK \l _Toc2040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napToGrid w:val="0"/>
              <w:sz w:val="24"/>
              <w:szCs w:val="24"/>
              <w:highlight w:val="none"/>
            </w:rPr>
            <w:t>三、区域环境质量现状、环境保护目标及评价标准</w:t>
          </w:r>
          <w:r>
            <w:rPr>
              <w:rFonts w:hint="default" w:ascii="Times New Roman" w:hAnsi="Times New Roman" w:eastAsia="宋体" w:cs="Times New Roman"/>
              <w:sz w:val="24"/>
              <w:szCs w:val="24"/>
              <w:highlight w:val="none"/>
            </w:rPr>
            <w:tab/>
          </w:r>
          <w:r>
            <w:rPr>
              <w:rFonts w:hint="default" w:ascii="Times New Roman" w:hAnsi="Times New Roman" w:eastAsia="宋体" w:cs="Times New Roman"/>
              <w:sz w:val="24"/>
              <w:szCs w:val="24"/>
              <w:highlight w:val="none"/>
            </w:rPr>
            <w:fldChar w:fldCharType="begin"/>
          </w:r>
          <w:r>
            <w:rPr>
              <w:rFonts w:hint="default" w:ascii="Times New Roman" w:hAnsi="Times New Roman" w:eastAsia="宋体" w:cs="Times New Roman"/>
              <w:sz w:val="24"/>
              <w:szCs w:val="24"/>
              <w:highlight w:val="none"/>
            </w:rPr>
            <w:instrText xml:space="preserve"> PAGEREF _Toc2040 \h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z w:val="24"/>
              <w:szCs w:val="24"/>
              <w:highlight w:val="none"/>
            </w:rPr>
            <w:t>54</w:t>
          </w:r>
          <w:r>
            <w:rPr>
              <w:rFonts w:hint="default" w:ascii="Times New Roman" w:hAnsi="Times New Roman" w:eastAsia="宋体" w:cs="Times New Roman"/>
              <w:sz w:val="24"/>
              <w:szCs w:val="24"/>
              <w:highlight w:val="none"/>
            </w:rPr>
            <w:fldChar w:fldCharType="end"/>
          </w:r>
          <w:r>
            <w:rPr>
              <w:rFonts w:hint="default" w:ascii="Times New Roman" w:hAnsi="Times New Roman" w:eastAsia="宋体" w:cs="Times New Roman"/>
              <w:color w:val="auto"/>
              <w:sz w:val="24"/>
              <w:szCs w:val="24"/>
              <w:highlight w:val="none"/>
            </w:rPr>
            <w:fldChar w:fldCharType="end"/>
          </w:r>
        </w:p>
        <w:p w14:paraId="769EF3D0">
          <w:pPr>
            <w:pStyle w:val="13"/>
            <w:tabs>
              <w:tab w:val="right" w:leader="dot" w:pos="8312"/>
            </w:tabs>
            <w:rPr>
              <w:rFonts w:hint="default" w:ascii="Times New Roman" w:hAnsi="Times New Roman" w:eastAsia="宋体" w:cs="Times New Roman"/>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sz w:val="24"/>
              <w:szCs w:val="24"/>
              <w:highlight w:val="none"/>
            </w:rPr>
            <w:instrText xml:space="preserve"> HYPERLINK \l _Toc1202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napToGrid w:val="0"/>
              <w:sz w:val="24"/>
              <w:szCs w:val="24"/>
              <w:highlight w:val="none"/>
            </w:rPr>
            <w:t>四、主要环境影响和保护措施</w:t>
          </w:r>
          <w:r>
            <w:rPr>
              <w:rFonts w:hint="default" w:ascii="Times New Roman" w:hAnsi="Times New Roman" w:eastAsia="宋体" w:cs="Times New Roman"/>
              <w:sz w:val="24"/>
              <w:szCs w:val="24"/>
              <w:highlight w:val="none"/>
            </w:rPr>
            <w:tab/>
          </w:r>
          <w:r>
            <w:rPr>
              <w:rFonts w:hint="default" w:ascii="Times New Roman" w:hAnsi="Times New Roman" w:eastAsia="宋体" w:cs="Times New Roman"/>
              <w:sz w:val="24"/>
              <w:szCs w:val="24"/>
              <w:highlight w:val="none"/>
            </w:rPr>
            <w:fldChar w:fldCharType="begin"/>
          </w:r>
          <w:r>
            <w:rPr>
              <w:rFonts w:hint="default" w:ascii="Times New Roman" w:hAnsi="Times New Roman" w:eastAsia="宋体" w:cs="Times New Roman"/>
              <w:sz w:val="24"/>
              <w:szCs w:val="24"/>
              <w:highlight w:val="none"/>
            </w:rPr>
            <w:instrText xml:space="preserve"> PAGEREF _Toc1202 \h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z w:val="24"/>
              <w:szCs w:val="24"/>
              <w:highlight w:val="none"/>
            </w:rPr>
            <w:t>62</w:t>
          </w:r>
          <w:r>
            <w:rPr>
              <w:rFonts w:hint="default" w:ascii="Times New Roman" w:hAnsi="Times New Roman" w:eastAsia="宋体" w:cs="Times New Roman"/>
              <w:sz w:val="24"/>
              <w:szCs w:val="24"/>
              <w:highlight w:val="none"/>
            </w:rPr>
            <w:fldChar w:fldCharType="end"/>
          </w:r>
          <w:r>
            <w:rPr>
              <w:rFonts w:hint="default" w:ascii="Times New Roman" w:hAnsi="Times New Roman" w:eastAsia="宋体" w:cs="Times New Roman"/>
              <w:color w:val="auto"/>
              <w:sz w:val="24"/>
              <w:szCs w:val="24"/>
              <w:highlight w:val="none"/>
            </w:rPr>
            <w:fldChar w:fldCharType="end"/>
          </w:r>
        </w:p>
        <w:p w14:paraId="65C3E7B5">
          <w:pPr>
            <w:pStyle w:val="13"/>
            <w:tabs>
              <w:tab w:val="right" w:leader="dot" w:pos="8312"/>
            </w:tabs>
            <w:rPr>
              <w:rFonts w:hint="default" w:ascii="Times New Roman" w:hAnsi="Times New Roman" w:eastAsia="宋体" w:cs="Times New Roman"/>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sz w:val="24"/>
              <w:szCs w:val="24"/>
              <w:highlight w:val="none"/>
            </w:rPr>
            <w:instrText xml:space="preserve"> HYPERLINK \l _Toc30990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napToGrid w:val="0"/>
              <w:sz w:val="24"/>
              <w:szCs w:val="24"/>
              <w:highlight w:val="none"/>
            </w:rPr>
            <w:t>五、环境保护措施监督检查清单</w:t>
          </w:r>
          <w:r>
            <w:rPr>
              <w:rFonts w:hint="default" w:ascii="Times New Roman" w:hAnsi="Times New Roman" w:eastAsia="宋体" w:cs="Times New Roman"/>
              <w:sz w:val="24"/>
              <w:szCs w:val="24"/>
              <w:highlight w:val="none"/>
            </w:rPr>
            <w:tab/>
          </w:r>
          <w:r>
            <w:rPr>
              <w:rFonts w:hint="default" w:ascii="Times New Roman" w:hAnsi="Times New Roman" w:eastAsia="宋体" w:cs="Times New Roman"/>
              <w:sz w:val="24"/>
              <w:szCs w:val="24"/>
              <w:highlight w:val="none"/>
            </w:rPr>
            <w:fldChar w:fldCharType="begin"/>
          </w:r>
          <w:r>
            <w:rPr>
              <w:rFonts w:hint="default" w:ascii="Times New Roman" w:hAnsi="Times New Roman" w:eastAsia="宋体" w:cs="Times New Roman"/>
              <w:sz w:val="24"/>
              <w:szCs w:val="24"/>
              <w:highlight w:val="none"/>
            </w:rPr>
            <w:instrText xml:space="preserve"> PAGEREF _Toc30990 \h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z w:val="24"/>
              <w:szCs w:val="24"/>
              <w:highlight w:val="none"/>
            </w:rPr>
            <w:t>90</w:t>
          </w:r>
          <w:r>
            <w:rPr>
              <w:rFonts w:hint="default" w:ascii="Times New Roman" w:hAnsi="Times New Roman" w:eastAsia="宋体" w:cs="Times New Roman"/>
              <w:sz w:val="24"/>
              <w:szCs w:val="24"/>
              <w:highlight w:val="none"/>
            </w:rPr>
            <w:fldChar w:fldCharType="end"/>
          </w:r>
          <w:r>
            <w:rPr>
              <w:rFonts w:hint="default" w:ascii="Times New Roman" w:hAnsi="Times New Roman" w:eastAsia="宋体" w:cs="Times New Roman"/>
              <w:color w:val="auto"/>
              <w:sz w:val="24"/>
              <w:szCs w:val="24"/>
              <w:highlight w:val="none"/>
            </w:rPr>
            <w:fldChar w:fldCharType="end"/>
          </w:r>
        </w:p>
        <w:p w14:paraId="365B93FD">
          <w:pPr>
            <w:pStyle w:val="13"/>
            <w:tabs>
              <w:tab w:val="right" w:leader="dot" w:pos="8312"/>
            </w:tabs>
            <w:rPr>
              <w:rFonts w:hint="default" w:ascii="Times New Roman" w:hAnsi="Times New Roman" w:eastAsia="宋体" w:cs="Times New Roman"/>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sz w:val="24"/>
              <w:szCs w:val="24"/>
              <w:highlight w:val="none"/>
            </w:rPr>
            <w:instrText xml:space="preserve"> HYPERLINK \l _Toc3789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napToGrid w:val="0"/>
              <w:sz w:val="24"/>
              <w:szCs w:val="24"/>
              <w:highlight w:val="none"/>
            </w:rPr>
            <w:t>六、结论</w:t>
          </w:r>
          <w:r>
            <w:rPr>
              <w:rFonts w:hint="default" w:ascii="Times New Roman" w:hAnsi="Times New Roman" w:eastAsia="宋体" w:cs="Times New Roman"/>
              <w:sz w:val="24"/>
              <w:szCs w:val="24"/>
              <w:highlight w:val="none"/>
            </w:rPr>
            <w:tab/>
          </w:r>
          <w:r>
            <w:rPr>
              <w:rFonts w:hint="default" w:ascii="Times New Roman" w:hAnsi="Times New Roman" w:eastAsia="宋体" w:cs="Times New Roman"/>
              <w:sz w:val="24"/>
              <w:szCs w:val="24"/>
              <w:highlight w:val="none"/>
            </w:rPr>
            <w:fldChar w:fldCharType="begin"/>
          </w:r>
          <w:r>
            <w:rPr>
              <w:rFonts w:hint="default" w:ascii="Times New Roman" w:hAnsi="Times New Roman" w:eastAsia="宋体" w:cs="Times New Roman"/>
              <w:sz w:val="24"/>
              <w:szCs w:val="24"/>
              <w:highlight w:val="none"/>
            </w:rPr>
            <w:instrText xml:space="preserve"> PAGEREF _Toc3789 \h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z w:val="24"/>
              <w:szCs w:val="24"/>
              <w:highlight w:val="none"/>
            </w:rPr>
            <w:t>91</w:t>
          </w:r>
          <w:r>
            <w:rPr>
              <w:rFonts w:hint="default" w:ascii="Times New Roman" w:hAnsi="Times New Roman" w:eastAsia="宋体" w:cs="Times New Roman"/>
              <w:sz w:val="24"/>
              <w:szCs w:val="24"/>
              <w:highlight w:val="none"/>
            </w:rPr>
            <w:fldChar w:fldCharType="end"/>
          </w:r>
          <w:r>
            <w:rPr>
              <w:rFonts w:hint="default" w:ascii="Times New Roman" w:hAnsi="Times New Roman" w:eastAsia="宋体" w:cs="Times New Roman"/>
              <w:color w:val="auto"/>
              <w:sz w:val="24"/>
              <w:szCs w:val="24"/>
              <w:highlight w:val="none"/>
            </w:rPr>
            <w:fldChar w:fldCharType="end"/>
          </w:r>
        </w:p>
        <w:p w14:paraId="2E49DC05">
          <w:pPr>
            <w:pStyle w:val="13"/>
            <w:tabs>
              <w:tab w:val="right" w:leader="dot" w:pos="8312"/>
            </w:tabs>
            <w:rPr>
              <w:rFonts w:hint="default" w:ascii="Times New Roman" w:hAnsi="Times New Roman" w:eastAsia="宋体" w:cs="Times New Roman"/>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sz w:val="24"/>
              <w:szCs w:val="24"/>
              <w:highlight w:val="none"/>
            </w:rPr>
            <w:instrText xml:space="preserve"> HYPERLINK \l _Toc17947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napToGrid w:val="0"/>
              <w:sz w:val="24"/>
              <w:szCs w:val="24"/>
              <w:highlight w:val="none"/>
            </w:rPr>
            <w:t>建设项目污染物排放量汇总表</w:t>
          </w:r>
          <w:r>
            <w:rPr>
              <w:rFonts w:hint="default" w:ascii="Times New Roman" w:hAnsi="Times New Roman" w:eastAsia="宋体" w:cs="Times New Roman"/>
              <w:sz w:val="24"/>
              <w:szCs w:val="24"/>
              <w:highlight w:val="none"/>
            </w:rPr>
            <w:tab/>
          </w:r>
          <w:r>
            <w:rPr>
              <w:rFonts w:hint="default" w:ascii="Times New Roman" w:hAnsi="Times New Roman" w:eastAsia="宋体" w:cs="Times New Roman"/>
              <w:sz w:val="24"/>
              <w:szCs w:val="24"/>
              <w:highlight w:val="none"/>
            </w:rPr>
            <w:fldChar w:fldCharType="begin"/>
          </w:r>
          <w:r>
            <w:rPr>
              <w:rFonts w:hint="default" w:ascii="Times New Roman" w:hAnsi="Times New Roman" w:eastAsia="宋体" w:cs="Times New Roman"/>
              <w:sz w:val="24"/>
              <w:szCs w:val="24"/>
              <w:highlight w:val="none"/>
            </w:rPr>
            <w:instrText xml:space="preserve"> PAGEREF _Toc17947 \h </w:instrText>
          </w:r>
          <w:r>
            <w:rPr>
              <w:rFonts w:hint="default" w:ascii="Times New Roman" w:hAnsi="Times New Roman" w:eastAsia="宋体" w:cs="Times New Roman"/>
              <w:sz w:val="24"/>
              <w:szCs w:val="24"/>
              <w:highlight w:val="none"/>
            </w:rPr>
            <w:fldChar w:fldCharType="separate"/>
          </w:r>
          <w:r>
            <w:rPr>
              <w:rFonts w:hint="default" w:ascii="Times New Roman" w:hAnsi="Times New Roman" w:eastAsia="宋体" w:cs="Times New Roman"/>
              <w:sz w:val="24"/>
              <w:szCs w:val="24"/>
              <w:highlight w:val="none"/>
            </w:rPr>
            <w:t>92</w:t>
          </w:r>
          <w:r>
            <w:rPr>
              <w:rFonts w:hint="default" w:ascii="Times New Roman" w:hAnsi="Times New Roman" w:eastAsia="宋体" w:cs="Times New Roman"/>
              <w:sz w:val="24"/>
              <w:szCs w:val="24"/>
              <w:highlight w:val="none"/>
            </w:rPr>
            <w:fldChar w:fldCharType="end"/>
          </w:r>
          <w:r>
            <w:rPr>
              <w:rFonts w:hint="default" w:ascii="Times New Roman" w:hAnsi="Times New Roman" w:eastAsia="宋体" w:cs="Times New Roman"/>
              <w:color w:val="auto"/>
              <w:sz w:val="24"/>
              <w:szCs w:val="24"/>
              <w:highlight w:val="none"/>
            </w:rPr>
            <w:fldChar w:fldCharType="end"/>
          </w:r>
        </w:p>
        <w:p w14:paraId="1ED4529A">
          <w:pPr>
            <w:adjustRightInd w:val="0"/>
            <w:snapToGrid w:val="0"/>
            <w:spacing w:line="288" w:lineRule="auto"/>
            <w:jc w:val="center"/>
            <w:rPr>
              <w:rFonts w:ascii="Times New Roman" w:hAnsi="Times New Roman" w:eastAsia="楷体_GB2312" w:cs="Times New Roman"/>
              <w:color w:val="auto"/>
              <w:kern w:val="2"/>
              <w:sz w:val="21"/>
              <w:szCs w:val="36"/>
              <w:highlight w:val="none"/>
              <w:lang w:val="en-US" w:eastAsia="zh-CN" w:bidi="ar-SA"/>
            </w:rPr>
          </w:pPr>
          <w:r>
            <w:rPr>
              <w:rFonts w:hint="default" w:ascii="Times New Roman" w:hAnsi="Times New Roman" w:eastAsia="宋体" w:cs="Times New Roman"/>
              <w:color w:val="auto"/>
              <w:sz w:val="24"/>
              <w:szCs w:val="24"/>
              <w:highlight w:val="none"/>
            </w:rPr>
            <w:fldChar w:fldCharType="end"/>
          </w:r>
        </w:p>
      </w:sdtContent>
    </w:sdt>
    <w:p w14:paraId="27DC7CD6">
      <w:pPr>
        <w:pStyle w:val="28"/>
        <w:rPr>
          <w:color w:val="auto"/>
          <w:highlight w:val="none"/>
        </w:rPr>
        <w:sectPr>
          <w:pgSz w:w="11906" w:h="16838"/>
          <w:pgMar w:top="1440" w:right="1797" w:bottom="1440" w:left="1797" w:header="851" w:footer="1077" w:gutter="0"/>
          <w:pgBorders>
            <w:top w:val="none" w:sz="0" w:space="0"/>
            <w:left w:val="none" w:sz="0" w:space="0"/>
            <w:bottom w:val="none" w:sz="0" w:space="0"/>
            <w:right w:val="none" w:sz="0" w:space="0"/>
          </w:pgBorders>
          <w:pgNumType w:start="3"/>
          <w:cols w:space="720" w:num="1"/>
          <w:docGrid w:linePitch="312" w:charSpace="0"/>
        </w:sectPr>
      </w:pPr>
    </w:p>
    <w:p w14:paraId="3F118ECD">
      <w:pPr>
        <w:pStyle w:val="19"/>
        <w:spacing w:before="0" w:beforeAutospacing="0" w:after="0" w:afterAutospacing="0"/>
        <w:jc w:val="center"/>
        <w:outlineLvl w:val="0"/>
        <w:rPr>
          <w:rFonts w:ascii="黑体" w:hAnsi="黑体" w:eastAsia="黑体"/>
          <w:snapToGrid w:val="0"/>
          <w:color w:val="auto"/>
          <w:sz w:val="30"/>
          <w:szCs w:val="30"/>
          <w:highlight w:val="none"/>
        </w:rPr>
      </w:pPr>
      <w:bookmarkStart w:id="4" w:name="_Toc24103"/>
      <w:bookmarkStart w:id="5" w:name="_Toc20925"/>
      <w:r>
        <w:rPr>
          <w:rFonts w:ascii="黑体" w:hAnsi="黑体" w:eastAsia="黑体"/>
          <w:snapToGrid w:val="0"/>
          <w:color w:val="auto"/>
          <w:sz w:val="30"/>
          <w:szCs w:val="30"/>
          <w:highlight w:val="none"/>
        </w:rPr>
        <w:t>一、建设项目基本情况</w:t>
      </w:r>
      <w:bookmarkEnd w:id="4"/>
      <w:bookmarkEnd w:id="5"/>
    </w:p>
    <w:tbl>
      <w:tblPr>
        <w:tblStyle w:val="22"/>
        <w:tblW w:w="1005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12"/>
        <w:gridCol w:w="612"/>
        <w:gridCol w:w="2309"/>
        <w:gridCol w:w="2419"/>
        <w:gridCol w:w="4002"/>
      </w:tblGrid>
      <w:tr w14:paraId="40B5A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95" w:hRule="atLeast"/>
          <w:jc w:val="center"/>
        </w:trPr>
        <w:tc>
          <w:tcPr>
            <w:tcW w:w="1324" w:type="dxa"/>
            <w:gridSpan w:val="2"/>
            <w:tcMar>
              <w:top w:w="16" w:type="dxa"/>
              <w:left w:w="16" w:type="dxa"/>
              <w:right w:w="16" w:type="dxa"/>
            </w:tcMar>
            <w:vAlign w:val="center"/>
          </w:tcPr>
          <w:p w14:paraId="2940F8F6">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建设项目名称</w:t>
            </w:r>
          </w:p>
        </w:tc>
        <w:tc>
          <w:tcPr>
            <w:tcW w:w="8730" w:type="dxa"/>
            <w:gridSpan w:val="3"/>
            <w:vAlign w:val="center"/>
          </w:tcPr>
          <w:p w14:paraId="05D9BDCA">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rFonts w:hint="default"/>
                <w:color w:val="auto"/>
                <w:sz w:val="24"/>
                <w:szCs w:val="24"/>
                <w:highlight w:val="none"/>
                <w:lang w:val="en-US"/>
              </w:rPr>
            </w:pPr>
            <w:r>
              <w:rPr>
                <w:rFonts w:hint="default" w:ascii="Times New Roman" w:hAnsi="Times New Roman" w:eastAsia="宋体" w:cs="Times New Roman"/>
                <w:color w:val="auto"/>
                <w:sz w:val="24"/>
                <w:szCs w:val="24"/>
                <w:highlight w:val="none"/>
              </w:rPr>
              <w:t>联佳科技（苏州）股份有限公司航空航天精密零部件和其他精密零部件改扩建项目</w:t>
            </w:r>
          </w:p>
        </w:tc>
      </w:tr>
      <w:tr w14:paraId="6D1830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324" w:type="dxa"/>
            <w:gridSpan w:val="2"/>
            <w:tcMar>
              <w:top w:w="16" w:type="dxa"/>
              <w:left w:w="16" w:type="dxa"/>
              <w:right w:w="16" w:type="dxa"/>
            </w:tcMar>
            <w:vAlign w:val="center"/>
          </w:tcPr>
          <w:p w14:paraId="7BF44CCF">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项目代码</w:t>
            </w:r>
          </w:p>
        </w:tc>
        <w:tc>
          <w:tcPr>
            <w:tcW w:w="8730" w:type="dxa"/>
            <w:gridSpan w:val="3"/>
            <w:vAlign w:val="center"/>
          </w:tcPr>
          <w:p w14:paraId="5DAF4355">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color w:val="auto"/>
                <w:sz w:val="24"/>
                <w:szCs w:val="24"/>
                <w:highlight w:val="none"/>
              </w:rPr>
            </w:pPr>
            <w:r>
              <w:rPr>
                <w:rFonts w:hint="default" w:ascii="Times New Roman" w:hAnsi="Times New Roman" w:eastAsia="宋体" w:cs="Times New Roman"/>
                <w:color w:val="auto"/>
                <w:sz w:val="24"/>
                <w:szCs w:val="24"/>
                <w:highlight w:val="none"/>
              </w:rPr>
              <w:t>2607-320571-89-02-850912</w:t>
            </w:r>
          </w:p>
        </w:tc>
      </w:tr>
      <w:tr w14:paraId="766FB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24" w:type="dxa"/>
            <w:gridSpan w:val="2"/>
            <w:tcMar>
              <w:top w:w="16" w:type="dxa"/>
              <w:left w:w="16" w:type="dxa"/>
              <w:right w:w="16" w:type="dxa"/>
            </w:tcMar>
            <w:vAlign w:val="center"/>
          </w:tcPr>
          <w:p w14:paraId="5BB312EF">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建设单位联系人</w:t>
            </w:r>
          </w:p>
        </w:tc>
        <w:tc>
          <w:tcPr>
            <w:tcW w:w="2309" w:type="dxa"/>
            <w:vAlign w:val="center"/>
          </w:tcPr>
          <w:p w14:paraId="27D27714">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color w:val="auto"/>
                <w:sz w:val="24"/>
                <w:szCs w:val="24"/>
                <w:highlight w:val="none"/>
              </w:rPr>
            </w:pPr>
            <w:r>
              <w:rPr>
                <w:rFonts w:hint="default" w:ascii="Times New Roman" w:hAnsi="Times New Roman" w:eastAsia="宋体" w:cs="Times New Roman"/>
                <w:color w:val="auto"/>
                <w:sz w:val="24"/>
                <w:szCs w:val="24"/>
                <w:highlight w:val="none"/>
              </w:rPr>
              <w:t>施文燕</w:t>
            </w:r>
          </w:p>
        </w:tc>
        <w:tc>
          <w:tcPr>
            <w:tcW w:w="2419" w:type="dxa"/>
            <w:vAlign w:val="center"/>
          </w:tcPr>
          <w:p w14:paraId="0BA624E4">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color w:val="auto"/>
                <w:sz w:val="24"/>
                <w:szCs w:val="24"/>
                <w:highlight w:val="none"/>
              </w:rPr>
            </w:pPr>
            <w:r>
              <w:rPr>
                <w:rFonts w:hint="default" w:ascii="Times New Roman" w:hAnsi="Times New Roman" w:eastAsia="宋体" w:cs="Times New Roman"/>
                <w:color w:val="auto"/>
                <w:sz w:val="24"/>
                <w:szCs w:val="24"/>
                <w:highlight w:val="none"/>
              </w:rPr>
              <w:t>联系方式</w:t>
            </w:r>
          </w:p>
        </w:tc>
        <w:tc>
          <w:tcPr>
            <w:tcW w:w="4002" w:type="dxa"/>
            <w:vAlign w:val="center"/>
          </w:tcPr>
          <w:p w14:paraId="08C70F90">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rFonts w:hint="default" w:eastAsia="宋体"/>
                <w:color w:val="auto"/>
                <w:sz w:val="24"/>
                <w:szCs w:val="24"/>
                <w:highlight w:val="none"/>
                <w:lang w:val="en-US" w:eastAsia="zh-CN"/>
              </w:rPr>
            </w:pPr>
            <w:r>
              <w:rPr>
                <w:rFonts w:hint="default" w:ascii="Times New Roman" w:hAnsi="Times New Roman" w:eastAsia="宋体" w:cs="Times New Roman"/>
                <w:color w:val="auto"/>
                <w:sz w:val="24"/>
                <w:szCs w:val="24"/>
                <w:highlight w:val="none"/>
              </w:rPr>
              <w:t>13913552501</w:t>
            </w:r>
          </w:p>
        </w:tc>
      </w:tr>
      <w:tr w14:paraId="6D30D9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50" w:hRule="atLeast"/>
          <w:jc w:val="center"/>
        </w:trPr>
        <w:tc>
          <w:tcPr>
            <w:tcW w:w="1324" w:type="dxa"/>
            <w:gridSpan w:val="2"/>
            <w:tcMar>
              <w:top w:w="16" w:type="dxa"/>
              <w:left w:w="16" w:type="dxa"/>
              <w:right w:w="16" w:type="dxa"/>
            </w:tcMar>
            <w:vAlign w:val="center"/>
          </w:tcPr>
          <w:p w14:paraId="47A9C816">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建设地点</w:t>
            </w:r>
          </w:p>
        </w:tc>
        <w:tc>
          <w:tcPr>
            <w:tcW w:w="8730" w:type="dxa"/>
            <w:gridSpan w:val="3"/>
            <w:vAlign w:val="center"/>
          </w:tcPr>
          <w:p w14:paraId="5E6DDBD1">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color w:val="auto"/>
                <w:sz w:val="24"/>
                <w:szCs w:val="24"/>
                <w:highlight w:val="none"/>
              </w:rPr>
            </w:pPr>
            <w:r>
              <w:rPr>
                <w:rFonts w:hint="default" w:ascii="Times New Roman" w:hAnsi="Times New Roman" w:eastAsia="宋体" w:cs="Times New Roman"/>
                <w:color w:val="auto"/>
                <w:sz w:val="24"/>
                <w:szCs w:val="24"/>
                <w:highlight w:val="none"/>
              </w:rPr>
              <w:t>苏州市漕湖街道永昌路28号A栋11单元</w:t>
            </w:r>
          </w:p>
        </w:tc>
      </w:tr>
      <w:tr w14:paraId="736DE3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1324" w:type="dxa"/>
            <w:gridSpan w:val="2"/>
            <w:tcMar>
              <w:top w:w="16" w:type="dxa"/>
              <w:left w:w="16" w:type="dxa"/>
              <w:right w:w="16" w:type="dxa"/>
            </w:tcMar>
            <w:vAlign w:val="center"/>
          </w:tcPr>
          <w:p w14:paraId="040F5678">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地理坐标</w:t>
            </w:r>
          </w:p>
        </w:tc>
        <w:tc>
          <w:tcPr>
            <w:tcW w:w="8730" w:type="dxa"/>
            <w:gridSpan w:val="3"/>
            <w:vAlign w:val="center"/>
          </w:tcPr>
          <w:p w14:paraId="737AAF65">
            <w:pPr>
              <w:keepNext w:val="0"/>
              <w:keepLines w:val="0"/>
              <w:pageBreakBefore w:val="0"/>
              <w:suppressLineNumbers w:val="0"/>
              <w:kinsoku/>
              <w:wordWrap/>
              <w:overflowPunct/>
              <w:topLinePunct w:val="0"/>
              <w:bidi w:val="0"/>
              <w:spacing w:before="0" w:beforeAutospacing="0" w:afterAutospacing="0" w:line="276" w:lineRule="auto"/>
              <w:ind w:left="0" w:leftChars="0" w:right="0" w:rightChars="0"/>
              <w:jc w:val="center"/>
              <w:rPr>
                <w:rFonts w:hint="eastAsia" w:eastAsia="宋体"/>
                <w:color w:val="auto"/>
                <w:sz w:val="24"/>
                <w:szCs w:val="24"/>
                <w:highlight w:val="none"/>
                <w:u w:val="single"/>
                <w:lang w:eastAsia="zh-CN"/>
              </w:rPr>
            </w:pPr>
            <w:r>
              <w:rPr>
                <w:rFonts w:hint="default" w:ascii="Times New Roman" w:hAnsi="Times New Roman" w:eastAsia="宋体" w:cs="Times New Roman"/>
                <w:color w:val="auto"/>
                <w:sz w:val="24"/>
                <w:szCs w:val="24"/>
                <w:highlight w:val="none"/>
              </w:rPr>
              <w:t>120度3</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分</w:t>
            </w:r>
            <w:r>
              <w:rPr>
                <w:rFonts w:hint="default"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2.157</w:t>
            </w:r>
            <w:r>
              <w:rPr>
                <w:rFonts w:hint="default" w:ascii="Times New Roman" w:hAnsi="Times New Roman" w:eastAsia="宋体" w:cs="Times New Roman"/>
                <w:color w:val="auto"/>
                <w:sz w:val="24"/>
                <w:szCs w:val="24"/>
                <w:highlight w:val="none"/>
              </w:rPr>
              <w:t>秒，31度</w:t>
            </w:r>
            <w:r>
              <w:rPr>
                <w:rFonts w:hint="default" w:ascii="Times New Roman" w:hAnsi="Times New Roman" w:eastAsia="宋体"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rPr>
              <w:t>分</w:t>
            </w:r>
            <w:r>
              <w:rPr>
                <w:rFonts w:hint="eastAsia" w:ascii="Times New Roman" w:hAnsi="Times New Roman" w:eastAsia="宋体" w:cs="Times New Roman"/>
                <w:color w:val="auto"/>
                <w:sz w:val="24"/>
                <w:szCs w:val="24"/>
                <w:highlight w:val="none"/>
                <w:lang w:val="en-US" w:eastAsia="zh-CN"/>
              </w:rPr>
              <w:t>49.335</w:t>
            </w:r>
            <w:r>
              <w:rPr>
                <w:rFonts w:hint="default" w:ascii="Times New Roman" w:hAnsi="Times New Roman" w:eastAsia="宋体" w:cs="Times New Roman"/>
                <w:color w:val="auto"/>
                <w:sz w:val="24"/>
                <w:szCs w:val="24"/>
                <w:highlight w:val="none"/>
              </w:rPr>
              <w:t>秒</w:t>
            </w:r>
          </w:p>
        </w:tc>
      </w:tr>
      <w:tr w14:paraId="6B93F2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44" w:hRule="atLeast"/>
          <w:jc w:val="center"/>
        </w:trPr>
        <w:tc>
          <w:tcPr>
            <w:tcW w:w="1324" w:type="dxa"/>
            <w:gridSpan w:val="2"/>
            <w:tcMar>
              <w:top w:w="16" w:type="dxa"/>
              <w:left w:w="16" w:type="dxa"/>
              <w:right w:w="16" w:type="dxa"/>
            </w:tcMar>
            <w:vAlign w:val="center"/>
          </w:tcPr>
          <w:p w14:paraId="20A73D07">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国民经济</w:t>
            </w:r>
          </w:p>
          <w:p w14:paraId="6702486F">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行业类别</w:t>
            </w:r>
          </w:p>
        </w:tc>
        <w:tc>
          <w:tcPr>
            <w:tcW w:w="2309" w:type="dxa"/>
            <w:vAlign w:val="center"/>
          </w:tcPr>
          <w:p w14:paraId="61B8DE6E">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C3311金属结构制造</w:t>
            </w:r>
          </w:p>
          <w:p w14:paraId="6B96C036">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C3741飞机制造</w:t>
            </w:r>
          </w:p>
        </w:tc>
        <w:tc>
          <w:tcPr>
            <w:tcW w:w="2419" w:type="dxa"/>
            <w:vAlign w:val="center"/>
          </w:tcPr>
          <w:p w14:paraId="5FAEF7DB">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14:paraId="73F8B6E1">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rFonts w:hint="default"/>
                <w:color w:val="auto"/>
                <w:sz w:val="24"/>
                <w:szCs w:val="24"/>
                <w:highlight w:val="none"/>
                <w:lang w:val="en-US" w:eastAsia="zh-CN"/>
              </w:rPr>
            </w:pPr>
            <w:r>
              <w:rPr>
                <w:rFonts w:hint="default" w:ascii="Times New Roman" w:hAnsi="Times New Roman" w:eastAsia="宋体" w:cs="Times New Roman"/>
                <w:color w:val="auto"/>
                <w:sz w:val="24"/>
                <w:szCs w:val="24"/>
                <w:highlight w:val="none"/>
              </w:rPr>
              <w:t>行业类别</w:t>
            </w:r>
          </w:p>
        </w:tc>
        <w:tc>
          <w:tcPr>
            <w:tcW w:w="4002" w:type="dxa"/>
            <w:vAlign w:val="center"/>
          </w:tcPr>
          <w:p w14:paraId="4BFEF264">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三十、金属制品业 33</w:t>
            </w:r>
            <w:r>
              <w:rPr>
                <w:rFonts w:hint="eastAsia" w:cs="Times New Roman"/>
                <w:color w:val="auto"/>
                <w:sz w:val="24"/>
                <w:szCs w:val="24"/>
                <w:highlight w:val="none"/>
                <w:lang w:val="en-US" w:eastAsia="zh-CN"/>
              </w:rPr>
              <w:t xml:space="preserve"> 66</w:t>
            </w:r>
            <w:r>
              <w:rPr>
                <w:rFonts w:hint="default" w:ascii="Times New Roman" w:hAnsi="Times New Roman" w:eastAsia="宋体" w:cs="Times New Roman"/>
                <w:color w:val="auto"/>
                <w:sz w:val="24"/>
                <w:szCs w:val="24"/>
                <w:highlight w:val="none"/>
              </w:rPr>
              <w:t>结构性金属制品制造331</w:t>
            </w:r>
          </w:p>
          <w:p w14:paraId="415CD044">
            <w:pPr>
              <w:keepNext w:val="0"/>
              <w:keepLines w:val="0"/>
              <w:pageBreakBefore w:val="0"/>
              <w:suppressLineNumbers w:val="0"/>
              <w:kinsoku/>
              <w:wordWrap/>
              <w:overflowPunct/>
              <w:topLinePunct w:val="0"/>
              <w:bidi w:val="0"/>
              <w:adjustRightInd w:val="0"/>
              <w:snapToGrid w:val="0"/>
              <w:spacing w:before="0" w:beforeAutospacing="0" w:afterAutospacing="0" w:line="276" w:lineRule="auto"/>
              <w:ind w:left="0" w:leftChars="0" w:right="0" w:rightChars="0"/>
              <w:jc w:val="center"/>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三十四、铁路、船舶、航空航天和其他运输设备制造业 37 </w:t>
            </w:r>
            <w:r>
              <w:rPr>
                <w:rFonts w:hint="eastAsia" w:cs="Times New Roman"/>
                <w:color w:val="auto"/>
                <w:sz w:val="24"/>
                <w:szCs w:val="24"/>
                <w:highlight w:val="none"/>
                <w:lang w:val="en-US" w:eastAsia="zh-CN"/>
              </w:rPr>
              <w:t>74</w:t>
            </w:r>
            <w:r>
              <w:rPr>
                <w:rFonts w:hint="eastAsia" w:ascii="Times New Roman" w:hAnsi="Times New Roman" w:eastAsia="宋体" w:cs="Times New Roman"/>
                <w:color w:val="auto"/>
                <w:sz w:val="24"/>
                <w:szCs w:val="24"/>
                <w:highlight w:val="none"/>
                <w:lang w:val="en-US" w:eastAsia="zh-CN"/>
              </w:rPr>
              <w:t>航空、航天器及设备制造 374</w:t>
            </w:r>
          </w:p>
        </w:tc>
      </w:tr>
      <w:tr w14:paraId="7112DD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24" w:type="dxa"/>
            <w:gridSpan w:val="2"/>
            <w:tcMar>
              <w:top w:w="16" w:type="dxa"/>
              <w:left w:w="16" w:type="dxa"/>
              <w:right w:w="16" w:type="dxa"/>
            </w:tcMar>
            <w:vAlign w:val="center"/>
          </w:tcPr>
          <w:p w14:paraId="1F67CB06">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建设性质</w:t>
            </w:r>
          </w:p>
        </w:tc>
        <w:tc>
          <w:tcPr>
            <w:tcW w:w="2309" w:type="dxa"/>
            <w:vAlign w:val="center"/>
          </w:tcPr>
          <w:p w14:paraId="26A494E1">
            <w:pPr>
              <w:keepNext w:val="0"/>
              <w:keepLines w:val="0"/>
              <w:pageBreakBefore w:val="0"/>
              <w:widowControl w:val="0"/>
              <w:kinsoku/>
              <w:wordWrap/>
              <w:overflowPunct/>
              <w:topLinePunct w:val="0"/>
              <w:bidi w:val="0"/>
              <w:jc w:val="left"/>
              <w:textAlignment w:val="auto"/>
              <w:rPr>
                <w:color w:val="auto"/>
                <w:sz w:val="24"/>
                <w:szCs w:val="24"/>
                <w:highlight w:val="none"/>
              </w:rPr>
            </w:pPr>
            <w:r>
              <w:rPr>
                <w:color w:val="auto"/>
                <w:sz w:val="24"/>
                <w:szCs w:val="24"/>
                <w:highlight w:val="none"/>
              </w:rPr>
              <w:sym w:font="Wingdings 2" w:char="00A3"/>
            </w:r>
            <w:r>
              <w:rPr>
                <w:color w:val="auto"/>
                <w:sz w:val="24"/>
                <w:szCs w:val="24"/>
                <w:highlight w:val="none"/>
              </w:rPr>
              <w:t>新建（迁建）</w:t>
            </w:r>
          </w:p>
          <w:p w14:paraId="2B58217C">
            <w:pPr>
              <w:keepNext w:val="0"/>
              <w:keepLines w:val="0"/>
              <w:pageBreakBefore w:val="0"/>
              <w:widowControl w:val="0"/>
              <w:kinsoku/>
              <w:wordWrap/>
              <w:overflowPunct/>
              <w:topLinePunct w:val="0"/>
              <w:bidi w:val="0"/>
              <w:jc w:val="left"/>
              <w:textAlignment w:val="auto"/>
              <w:rPr>
                <w:color w:val="auto"/>
                <w:sz w:val="24"/>
                <w:szCs w:val="24"/>
                <w:highlight w:val="none"/>
              </w:rPr>
            </w:pPr>
            <w:r>
              <w:rPr>
                <w:color w:val="auto"/>
                <w:sz w:val="24"/>
                <w:szCs w:val="24"/>
                <w:highlight w:val="none"/>
              </w:rPr>
              <w:sym w:font="Wingdings 2" w:char="00A3"/>
            </w:r>
            <w:r>
              <w:rPr>
                <w:color w:val="auto"/>
                <w:sz w:val="24"/>
                <w:szCs w:val="24"/>
                <w:highlight w:val="none"/>
              </w:rPr>
              <w:t>改建</w:t>
            </w:r>
          </w:p>
          <w:p w14:paraId="37A02161">
            <w:pPr>
              <w:keepNext w:val="0"/>
              <w:keepLines w:val="0"/>
              <w:pageBreakBefore w:val="0"/>
              <w:widowControl w:val="0"/>
              <w:kinsoku/>
              <w:wordWrap/>
              <w:overflowPunct/>
              <w:topLinePunct w:val="0"/>
              <w:bidi w:val="0"/>
              <w:jc w:val="left"/>
              <w:textAlignment w:val="auto"/>
              <w:rPr>
                <w:color w:val="auto"/>
                <w:sz w:val="24"/>
                <w:szCs w:val="24"/>
                <w:highlight w:val="none"/>
              </w:rPr>
            </w:pPr>
            <w:r>
              <w:rPr>
                <w:color w:val="auto"/>
                <w:sz w:val="24"/>
                <w:szCs w:val="24"/>
                <w:highlight w:val="none"/>
              </w:rPr>
              <w:sym w:font="Wingdings 2" w:char="00A3"/>
            </w:r>
            <w:r>
              <w:rPr>
                <w:color w:val="auto"/>
                <w:sz w:val="24"/>
                <w:szCs w:val="24"/>
                <w:highlight w:val="none"/>
              </w:rPr>
              <w:t>扩建</w:t>
            </w:r>
          </w:p>
          <w:p w14:paraId="723A5C59">
            <w:pPr>
              <w:keepNext w:val="0"/>
              <w:keepLines w:val="0"/>
              <w:pageBreakBefore w:val="0"/>
              <w:widowControl w:val="0"/>
              <w:kinsoku/>
              <w:wordWrap/>
              <w:overflowPunct/>
              <w:topLinePunct w:val="0"/>
              <w:bidi w:val="0"/>
              <w:jc w:val="left"/>
              <w:textAlignment w:val="auto"/>
              <w:rPr>
                <w:color w:val="auto"/>
                <w:sz w:val="24"/>
                <w:szCs w:val="24"/>
                <w:highlight w:val="none"/>
              </w:rPr>
            </w:pPr>
            <w:r>
              <w:rPr>
                <w:color w:val="auto"/>
                <w:sz w:val="24"/>
                <w:szCs w:val="24"/>
                <w:highlight w:val="none"/>
              </w:rPr>
              <w:sym w:font="Wingdings 2" w:char="00A3"/>
            </w:r>
            <w:r>
              <w:rPr>
                <w:color w:val="auto"/>
                <w:sz w:val="24"/>
                <w:szCs w:val="24"/>
                <w:highlight w:val="none"/>
              </w:rPr>
              <w:t>技术改造</w:t>
            </w:r>
          </w:p>
        </w:tc>
        <w:tc>
          <w:tcPr>
            <w:tcW w:w="2419" w:type="dxa"/>
            <w:vAlign w:val="center"/>
          </w:tcPr>
          <w:p w14:paraId="4E0F8AA0">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建设项目</w:t>
            </w:r>
          </w:p>
          <w:p w14:paraId="5B20C9E7">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申报情形</w:t>
            </w:r>
          </w:p>
        </w:tc>
        <w:tc>
          <w:tcPr>
            <w:tcW w:w="4002" w:type="dxa"/>
            <w:vAlign w:val="center"/>
          </w:tcPr>
          <w:p w14:paraId="01A15B6C">
            <w:pPr>
              <w:keepNext w:val="0"/>
              <w:keepLines w:val="0"/>
              <w:pageBreakBefore w:val="0"/>
              <w:widowControl w:val="0"/>
              <w:kinsoku/>
              <w:wordWrap/>
              <w:overflowPunct/>
              <w:topLinePunct w:val="0"/>
              <w:bidi w:val="0"/>
              <w:jc w:val="left"/>
              <w:textAlignment w:val="auto"/>
              <w:rPr>
                <w:color w:val="auto"/>
                <w:sz w:val="24"/>
                <w:szCs w:val="24"/>
                <w:highlight w:val="none"/>
              </w:rPr>
            </w:pPr>
            <w:r>
              <w:rPr>
                <w:color w:val="auto"/>
                <w:sz w:val="24"/>
                <w:szCs w:val="24"/>
                <w:highlight w:val="none"/>
              </w:rPr>
              <w:sym w:font="Wingdings 2" w:char="0052"/>
            </w:r>
            <w:r>
              <w:rPr>
                <w:color w:val="auto"/>
                <w:sz w:val="24"/>
                <w:szCs w:val="24"/>
                <w:highlight w:val="none"/>
              </w:rPr>
              <w:t>首次申报项目</w:t>
            </w:r>
          </w:p>
          <w:p w14:paraId="00202521">
            <w:pPr>
              <w:keepNext w:val="0"/>
              <w:keepLines w:val="0"/>
              <w:pageBreakBefore w:val="0"/>
              <w:widowControl w:val="0"/>
              <w:kinsoku/>
              <w:wordWrap/>
              <w:overflowPunct/>
              <w:topLinePunct w:val="0"/>
              <w:bidi w:val="0"/>
              <w:jc w:val="left"/>
              <w:textAlignment w:val="auto"/>
              <w:rPr>
                <w:color w:val="auto"/>
                <w:sz w:val="24"/>
                <w:szCs w:val="24"/>
                <w:highlight w:val="none"/>
              </w:rPr>
            </w:pPr>
            <w:r>
              <w:rPr>
                <w:color w:val="auto"/>
                <w:sz w:val="24"/>
                <w:szCs w:val="24"/>
                <w:highlight w:val="none"/>
              </w:rPr>
              <w:sym w:font="Wingdings 2" w:char="00A3"/>
            </w:r>
            <w:r>
              <w:rPr>
                <w:color w:val="auto"/>
                <w:sz w:val="24"/>
                <w:szCs w:val="24"/>
                <w:highlight w:val="none"/>
              </w:rPr>
              <w:t>不予批准后再次申报项目</w:t>
            </w:r>
          </w:p>
          <w:p w14:paraId="1F8DE9CF">
            <w:pPr>
              <w:keepNext w:val="0"/>
              <w:keepLines w:val="0"/>
              <w:pageBreakBefore w:val="0"/>
              <w:widowControl w:val="0"/>
              <w:kinsoku/>
              <w:wordWrap/>
              <w:overflowPunct/>
              <w:topLinePunct w:val="0"/>
              <w:bidi w:val="0"/>
              <w:jc w:val="left"/>
              <w:textAlignment w:val="auto"/>
              <w:rPr>
                <w:color w:val="auto"/>
                <w:sz w:val="24"/>
                <w:szCs w:val="24"/>
                <w:highlight w:val="none"/>
              </w:rPr>
            </w:pPr>
            <w:r>
              <w:rPr>
                <w:color w:val="auto"/>
                <w:sz w:val="24"/>
                <w:szCs w:val="24"/>
                <w:highlight w:val="none"/>
              </w:rPr>
              <w:sym w:font="Wingdings 2" w:char="00A3"/>
            </w:r>
            <w:r>
              <w:rPr>
                <w:color w:val="auto"/>
                <w:sz w:val="24"/>
                <w:szCs w:val="24"/>
                <w:highlight w:val="none"/>
              </w:rPr>
              <w:t>超五年重新审核项目</w:t>
            </w:r>
          </w:p>
          <w:p w14:paraId="61814919">
            <w:pPr>
              <w:keepNext w:val="0"/>
              <w:keepLines w:val="0"/>
              <w:pageBreakBefore w:val="0"/>
              <w:widowControl w:val="0"/>
              <w:kinsoku/>
              <w:wordWrap/>
              <w:overflowPunct/>
              <w:topLinePunct w:val="0"/>
              <w:bidi w:val="0"/>
              <w:jc w:val="left"/>
              <w:textAlignment w:val="auto"/>
              <w:rPr>
                <w:color w:val="auto"/>
                <w:sz w:val="24"/>
                <w:szCs w:val="24"/>
                <w:highlight w:val="none"/>
              </w:rPr>
            </w:pPr>
            <w:r>
              <w:rPr>
                <w:color w:val="auto"/>
                <w:sz w:val="24"/>
                <w:szCs w:val="24"/>
                <w:highlight w:val="none"/>
              </w:rPr>
              <w:sym w:font="Wingdings 2" w:char="00A3"/>
            </w:r>
            <w:r>
              <w:rPr>
                <w:color w:val="auto"/>
                <w:sz w:val="24"/>
                <w:szCs w:val="24"/>
                <w:highlight w:val="none"/>
              </w:rPr>
              <w:t>重大变动重新报批项目</w:t>
            </w:r>
          </w:p>
        </w:tc>
      </w:tr>
      <w:tr w14:paraId="4FB894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51" w:hRule="atLeast"/>
          <w:jc w:val="center"/>
        </w:trPr>
        <w:tc>
          <w:tcPr>
            <w:tcW w:w="1324" w:type="dxa"/>
            <w:gridSpan w:val="2"/>
            <w:tcMar>
              <w:top w:w="16" w:type="dxa"/>
              <w:left w:w="16" w:type="dxa"/>
              <w:right w:w="16" w:type="dxa"/>
            </w:tcMar>
            <w:vAlign w:val="center"/>
          </w:tcPr>
          <w:p w14:paraId="168046FC">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项目审批（核准/备案）部门（选填）</w:t>
            </w:r>
          </w:p>
        </w:tc>
        <w:tc>
          <w:tcPr>
            <w:tcW w:w="2309" w:type="dxa"/>
            <w:vAlign w:val="center"/>
          </w:tcPr>
          <w:p w14:paraId="5D365ADF">
            <w:pPr>
              <w:keepNext w:val="0"/>
              <w:keepLines w:val="0"/>
              <w:pageBreakBefore w:val="0"/>
              <w:widowControl w:val="0"/>
              <w:kinsoku/>
              <w:wordWrap/>
              <w:overflowPunct/>
              <w:topLinePunct w:val="0"/>
              <w:bidi w:val="0"/>
              <w:adjustRightInd w:val="0"/>
              <w:snapToGrid w:val="0"/>
              <w:jc w:val="center"/>
              <w:textAlignment w:val="auto"/>
              <w:rPr>
                <w:rFonts w:hint="default" w:eastAsia="宋体"/>
                <w:color w:val="auto"/>
                <w:sz w:val="24"/>
                <w:szCs w:val="24"/>
                <w:highlight w:val="none"/>
                <w:lang w:val="en-US" w:eastAsia="zh-CN"/>
              </w:rPr>
            </w:pPr>
            <w:r>
              <w:rPr>
                <w:rFonts w:hint="default" w:ascii="Times New Roman" w:hAnsi="Times New Roman" w:eastAsia="宋体" w:cs="Times New Roman"/>
                <w:color w:val="auto"/>
                <w:sz w:val="24"/>
                <w:szCs w:val="24"/>
                <w:highlight w:val="none"/>
              </w:rPr>
              <w:t>苏州</w:t>
            </w:r>
            <w:r>
              <w:rPr>
                <w:rFonts w:hint="default" w:ascii="Times New Roman" w:hAnsi="Times New Roman" w:eastAsia="宋体" w:cs="Times New Roman"/>
                <w:color w:val="auto"/>
                <w:sz w:val="24"/>
                <w:szCs w:val="24"/>
                <w:highlight w:val="none"/>
                <w:lang w:val="en-US" w:eastAsia="zh-CN"/>
              </w:rPr>
              <w:t>工业园区</w:t>
            </w:r>
            <w:r>
              <w:rPr>
                <w:rFonts w:hint="default" w:ascii="Times New Roman" w:hAnsi="Times New Roman" w:eastAsia="宋体" w:cs="Times New Roman"/>
                <w:color w:val="auto"/>
                <w:sz w:val="24"/>
                <w:szCs w:val="24"/>
                <w:highlight w:val="none"/>
              </w:rPr>
              <w:t>行政审批局</w:t>
            </w:r>
          </w:p>
        </w:tc>
        <w:tc>
          <w:tcPr>
            <w:tcW w:w="2419" w:type="dxa"/>
            <w:vAlign w:val="center"/>
          </w:tcPr>
          <w:p w14:paraId="420C5B9E">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项目审批（核准/</w:t>
            </w:r>
          </w:p>
          <w:p w14:paraId="7A99402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color w:val="auto"/>
                <w:sz w:val="24"/>
                <w:szCs w:val="24"/>
                <w:highlight w:val="none"/>
              </w:rPr>
            </w:pPr>
            <w:r>
              <w:rPr>
                <w:color w:val="auto"/>
                <w:sz w:val="24"/>
                <w:szCs w:val="24"/>
                <w:highlight w:val="none"/>
              </w:rPr>
              <w:t>备案）文号（选填）</w:t>
            </w:r>
          </w:p>
        </w:tc>
        <w:tc>
          <w:tcPr>
            <w:tcW w:w="4002" w:type="dxa"/>
            <w:vAlign w:val="center"/>
          </w:tcPr>
          <w:p w14:paraId="6DF57E80">
            <w:pPr>
              <w:keepNext w:val="0"/>
              <w:keepLines w:val="0"/>
              <w:pageBreakBefore w:val="0"/>
              <w:widowControl w:val="0"/>
              <w:kinsoku/>
              <w:wordWrap/>
              <w:overflowPunct/>
              <w:topLinePunct w:val="0"/>
              <w:bidi w:val="0"/>
              <w:adjustRightInd w:val="0"/>
              <w:snapToGrid w:val="0"/>
              <w:jc w:val="center"/>
              <w:textAlignment w:val="auto"/>
              <w:rPr>
                <w:rFonts w:hint="default" w:eastAsia="宋体"/>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苏园</w:t>
            </w:r>
            <w:r>
              <w:rPr>
                <w:rFonts w:hint="default" w:ascii="Times New Roman" w:hAnsi="Times New Roman" w:eastAsia="宋体" w:cs="Times New Roman"/>
                <w:color w:val="auto"/>
                <w:sz w:val="24"/>
                <w:szCs w:val="24"/>
                <w:highlight w:val="none"/>
              </w:rPr>
              <w:t>行审备〔202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26</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号</w:t>
            </w:r>
          </w:p>
        </w:tc>
      </w:tr>
      <w:tr w14:paraId="1F2733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24" w:type="dxa"/>
            <w:gridSpan w:val="2"/>
            <w:tcMar>
              <w:top w:w="16" w:type="dxa"/>
              <w:left w:w="16" w:type="dxa"/>
              <w:right w:w="16" w:type="dxa"/>
            </w:tcMar>
            <w:vAlign w:val="center"/>
          </w:tcPr>
          <w:p w14:paraId="5B8D728B">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总投资</w:t>
            </w:r>
          </w:p>
          <w:p w14:paraId="7561771F">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（万元）</w:t>
            </w:r>
          </w:p>
        </w:tc>
        <w:tc>
          <w:tcPr>
            <w:tcW w:w="2309" w:type="dxa"/>
            <w:vAlign w:val="center"/>
          </w:tcPr>
          <w:p w14:paraId="75FD720D">
            <w:pPr>
              <w:keepNext w:val="0"/>
              <w:keepLines w:val="0"/>
              <w:pageBreakBefore w:val="0"/>
              <w:widowControl w:val="0"/>
              <w:kinsoku/>
              <w:wordWrap/>
              <w:overflowPunct/>
              <w:topLinePunct w:val="0"/>
              <w:bidi w:val="0"/>
              <w:adjustRightInd w:val="0"/>
              <w:snapToGrid w:val="0"/>
              <w:jc w:val="center"/>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3500</w:t>
            </w:r>
          </w:p>
        </w:tc>
        <w:tc>
          <w:tcPr>
            <w:tcW w:w="2419" w:type="dxa"/>
            <w:tcMar>
              <w:top w:w="16" w:type="dxa"/>
              <w:left w:w="16" w:type="dxa"/>
              <w:right w:w="16" w:type="dxa"/>
            </w:tcMar>
            <w:vAlign w:val="center"/>
          </w:tcPr>
          <w:p w14:paraId="7507DE4B">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环保投资</w:t>
            </w:r>
          </w:p>
          <w:p w14:paraId="66C9532B">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（万元）</w:t>
            </w:r>
          </w:p>
        </w:tc>
        <w:tc>
          <w:tcPr>
            <w:tcW w:w="4002" w:type="dxa"/>
            <w:vAlign w:val="center"/>
          </w:tcPr>
          <w:p w14:paraId="1067EB59">
            <w:pPr>
              <w:keepNext w:val="0"/>
              <w:keepLines w:val="0"/>
              <w:pageBreakBefore w:val="0"/>
              <w:widowControl w:val="0"/>
              <w:kinsoku/>
              <w:wordWrap/>
              <w:overflowPunct/>
              <w:topLinePunct w:val="0"/>
              <w:bidi w:val="0"/>
              <w:adjustRightInd w:val="0"/>
              <w:snapToGrid w:val="0"/>
              <w:jc w:val="center"/>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300</w:t>
            </w:r>
          </w:p>
        </w:tc>
      </w:tr>
      <w:tr w14:paraId="4C0289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24" w:type="dxa"/>
            <w:gridSpan w:val="2"/>
            <w:tcMar>
              <w:top w:w="16" w:type="dxa"/>
              <w:left w:w="16" w:type="dxa"/>
              <w:right w:w="16" w:type="dxa"/>
            </w:tcMar>
            <w:vAlign w:val="center"/>
          </w:tcPr>
          <w:p w14:paraId="05D9AFF3">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环保投资占比（%）</w:t>
            </w:r>
          </w:p>
        </w:tc>
        <w:tc>
          <w:tcPr>
            <w:tcW w:w="2309" w:type="dxa"/>
            <w:vAlign w:val="center"/>
          </w:tcPr>
          <w:p w14:paraId="46C722B6">
            <w:pPr>
              <w:keepNext w:val="0"/>
              <w:keepLines w:val="0"/>
              <w:pageBreakBefore w:val="0"/>
              <w:widowControl w:val="0"/>
              <w:kinsoku/>
              <w:wordWrap/>
              <w:overflowPunct/>
              <w:topLinePunct w:val="0"/>
              <w:bidi w:val="0"/>
              <w:adjustRightInd w:val="0"/>
              <w:snapToGrid w:val="0"/>
              <w:jc w:val="center"/>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8.57</w:t>
            </w:r>
          </w:p>
        </w:tc>
        <w:tc>
          <w:tcPr>
            <w:tcW w:w="2419" w:type="dxa"/>
            <w:tcMar>
              <w:top w:w="16" w:type="dxa"/>
              <w:left w:w="16" w:type="dxa"/>
              <w:right w:w="16" w:type="dxa"/>
            </w:tcMar>
            <w:vAlign w:val="center"/>
          </w:tcPr>
          <w:p w14:paraId="34C5AC96">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施工工期</w:t>
            </w:r>
          </w:p>
        </w:tc>
        <w:tc>
          <w:tcPr>
            <w:tcW w:w="4002" w:type="dxa"/>
            <w:vAlign w:val="center"/>
          </w:tcPr>
          <w:p w14:paraId="44BC96D8">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个月</w:t>
            </w:r>
          </w:p>
        </w:tc>
      </w:tr>
      <w:tr w14:paraId="0B5837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24" w:type="dxa"/>
            <w:gridSpan w:val="2"/>
            <w:tcMar>
              <w:top w:w="16" w:type="dxa"/>
              <w:left w:w="16" w:type="dxa"/>
              <w:right w:w="16" w:type="dxa"/>
            </w:tcMar>
            <w:vAlign w:val="center"/>
          </w:tcPr>
          <w:p w14:paraId="52B04302">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是否开工建设</w:t>
            </w:r>
          </w:p>
        </w:tc>
        <w:tc>
          <w:tcPr>
            <w:tcW w:w="2309" w:type="dxa"/>
            <w:vAlign w:val="center"/>
          </w:tcPr>
          <w:p w14:paraId="7E6B58D4">
            <w:pPr>
              <w:keepNext w:val="0"/>
              <w:keepLines w:val="0"/>
              <w:pageBreakBefore w:val="0"/>
              <w:widowControl w:val="0"/>
              <w:kinsoku/>
              <w:wordWrap/>
              <w:overflowPunct/>
              <w:topLinePunct w:val="0"/>
              <w:bidi w:val="0"/>
              <w:adjustRightInd w:val="0"/>
              <w:snapToGrid w:val="0"/>
              <w:textAlignment w:val="auto"/>
              <w:rPr>
                <w:color w:val="auto"/>
                <w:sz w:val="24"/>
                <w:szCs w:val="24"/>
                <w:highlight w:val="none"/>
              </w:rPr>
            </w:pPr>
            <w:r>
              <w:rPr>
                <w:color w:val="auto"/>
                <w:sz w:val="24"/>
                <w:szCs w:val="24"/>
                <w:highlight w:val="none"/>
              </w:rPr>
              <w:sym w:font="Wingdings 2" w:char="F052"/>
            </w:r>
            <w:r>
              <w:rPr>
                <w:color w:val="auto"/>
                <w:sz w:val="24"/>
                <w:szCs w:val="24"/>
                <w:highlight w:val="none"/>
              </w:rPr>
              <w:t>否</w:t>
            </w:r>
          </w:p>
          <w:p w14:paraId="4548175F">
            <w:pPr>
              <w:keepNext w:val="0"/>
              <w:keepLines w:val="0"/>
              <w:pageBreakBefore w:val="0"/>
              <w:widowControl w:val="0"/>
              <w:kinsoku/>
              <w:wordWrap/>
              <w:overflowPunct/>
              <w:topLinePunct w:val="0"/>
              <w:bidi w:val="0"/>
              <w:adjustRightInd w:val="0"/>
              <w:snapToGrid w:val="0"/>
              <w:textAlignment w:val="auto"/>
              <w:rPr>
                <w:color w:val="auto"/>
                <w:sz w:val="24"/>
                <w:szCs w:val="24"/>
                <w:highlight w:val="none"/>
              </w:rPr>
            </w:pPr>
            <w:r>
              <w:rPr>
                <w:color w:val="auto"/>
                <w:sz w:val="24"/>
                <w:szCs w:val="24"/>
                <w:highlight w:val="none"/>
              </w:rPr>
              <w:sym w:font="Wingdings 2" w:char="00A3"/>
            </w:r>
            <w:r>
              <w:rPr>
                <w:color w:val="auto"/>
                <w:sz w:val="24"/>
                <w:szCs w:val="24"/>
                <w:highlight w:val="none"/>
              </w:rPr>
              <w:t>是：</w:t>
            </w:r>
            <w:r>
              <w:rPr>
                <w:color w:val="auto"/>
                <w:sz w:val="24"/>
                <w:szCs w:val="24"/>
                <w:highlight w:val="none"/>
                <w:u w:val="single"/>
              </w:rPr>
              <w:t xml:space="preserve">             </w:t>
            </w:r>
          </w:p>
        </w:tc>
        <w:tc>
          <w:tcPr>
            <w:tcW w:w="2419" w:type="dxa"/>
            <w:tcMar>
              <w:top w:w="16" w:type="dxa"/>
              <w:left w:w="16" w:type="dxa"/>
              <w:right w:w="16" w:type="dxa"/>
            </w:tcMar>
            <w:vAlign w:val="center"/>
          </w:tcPr>
          <w:p w14:paraId="45813E89">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用地（用海）</w:t>
            </w:r>
          </w:p>
          <w:p w14:paraId="5D6E2EE7">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color w:val="auto"/>
                <w:sz w:val="24"/>
                <w:szCs w:val="24"/>
                <w:highlight w:val="none"/>
              </w:rPr>
              <w:t>面积（m</w:t>
            </w:r>
            <w:r>
              <w:rPr>
                <w:color w:val="auto"/>
                <w:sz w:val="24"/>
                <w:szCs w:val="24"/>
                <w:highlight w:val="none"/>
                <w:vertAlign w:val="superscript"/>
              </w:rPr>
              <w:t>2</w:t>
            </w:r>
            <w:r>
              <w:rPr>
                <w:color w:val="auto"/>
                <w:sz w:val="24"/>
                <w:szCs w:val="24"/>
                <w:highlight w:val="none"/>
              </w:rPr>
              <w:t>）</w:t>
            </w:r>
          </w:p>
        </w:tc>
        <w:tc>
          <w:tcPr>
            <w:tcW w:w="4002" w:type="dxa"/>
            <w:vAlign w:val="center"/>
          </w:tcPr>
          <w:p w14:paraId="3153DEDC">
            <w:pPr>
              <w:keepNext w:val="0"/>
              <w:keepLines w:val="0"/>
              <w:pageBreakBefore w:val="0"/>
              <w:widowControl w:val="0"/>
              <w:kinsoku/>
              <w:wordWrap/>
              <w:overflowPunct/>
              <w:topLinePunct w:val="0"/>
              <w:bidi w:val="0"/>
              <w:adjustRightInd w:val="0"/>
              <w:snapToGrid w:val="0"/>
              <w:jc w:val="center"/>
              <w:textAlignment w:val="auto"/>
              <w:rPr>
                <w:color w:val="auto"/>
                <w:sz w:val="24"/>
                <w:szCs w:val="24"/>
                <w:highlight w:val="none"/>
              </w:rPr>
            </w:pPr>
            <w:r>
              <w:rPr>
                <w:rFonts w:hint="eastAsia"/>
                <w:color w:val="auto"/>
                <w:sz w:val="24"/>
                <w:szCs w:val="24"/>
                <w:highlight w:val="none"/>
                <w:lang w:val="en-US" w:eastAsia="zh-CN"/>
              </w:rPr>
              <w:t>4738.27m</w:t>
            </w:r>
            <w:r>
              <w:rPr>
                <w:rFonts w:hint="eastAsia"/>
                <w:color w:val="auto"/>
                <w:sz w:val="24"/>
                <w:szCs w:val="24"/>
                <w:highlight w:val="none"/>
                <w:vertAlign w:val="superscript"/>
                <w:lang w:val="en-US" w:eastAsia="zh-CN"/>
              </w:rPr>
              <w:t>2</w:t>
            </w:r>
            <w:r>
              <w:rPr>
                <w:rFonts w:hint="eastAsia"/>
                <w:color w:val="auto"/>
                <w:sz w:val="24"/>
                <w:szCs w:val="24"/>
                <w:highlight w:val="none"/>
              </w:rPr>
              <w:t>（租赁建筑面积）</w:t>
            </w:r>
          </w:p>
        </w:tc>
      </w:tr>
      <w:tr w14:paraId="2C9ED1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24" w:type="dxa"/>
            <w:gridSpan w:val="2"/>
            <w:vAlign w:val="center"/>
          </w:tcPr>
          <w:p w14:paraId="7B25C40B">
            <w:pPr>
              <w:keepNext w:val="0"/>
              <w:keepLines w:val="0"/>
              <w:pageBreakBefore w:val="0"/>
              <w:widowControl w:val="0"/>
              <w:kinsoku/>
              <w:wordWrap/>
              <w:overflowPunct/>
              <w:topLinePunct w:val="0"/>
              <w:autoSpaceDE w:val="0"/>
              <w:autoSpaceDN w:val="0"/>
              <w:bidi w:val="0"/>
              <w:adjustRightInd w:val="0"/>
              <w:snapToGrid w:val="0"/>
              <w:jc w:val="center"/>
              <w:textAlignment w:val="auto"/>
              <w:rPr>
                <w:color w:val="auto"/>
                <w:kern w:val="0"/>
                <w:sz w:val="24"/>
                <w:szCs w:val="24"/>
                <w:highlight w:val="none"/>
              </w:rPr>
            </w:pPr>
            <w:r>
              <w:rPr>
                <w:color w:val="auto"/>
                <w:kern w:val="0"/>
                <w:sz w:val="24"/>
                <w:szCs w:val="24"/>
                <w:highlight w:val="none"/>
              </w:rPr>
              <w:t>专项评价设置情况</w:t>
            </w:r>
          </w:p>
        </w:tc>
        <w:tc>
          <w:tcPr>
            <w:tcW w:w="8730" w:type="dxa"/>
            <w:gridSpan w:val="3"/>
            <w:vAlign w:val="center"/>
          </w:tcPr>
          <w:p w14:paraId="29BBE6D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无</w:t>
            </w:r>
          </w:p>
        </w:tc>
      </w:tr>
      <w:tr w14:paraId="70A16E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14:paraId="3976E5EC">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color w:val="auto"/>
                <w:kern w:val="0"/>
                <w:sz w:val="24"/>
                <w:szCs w:val="24"/>
                <w:highlight w:val="none"/>
              </w:rPr>
            </w:pPr>
            <w:r>
              <w:rPr>
                <w:color w:val="auto"/>
                <w:sz w:val="24"/>
                <w:szCs w:val="24"/>
                <w:highlight w:val="none"/>
              </w:rPr>
              <w:t>规划情况</w:t>
            </w:r>
          </w:p>
        </w:tc>
        <w:tc>
          <w:tcPr>
            <w:tcW w:w="9342" w:type="dxa"/>
            <w:gridSpan w:val="4"/>
            <w:vAlign w:val="center"/>
          </w:tcPr>
          <w:p w14:paraId="581298BD">
            <w:pPr>
              <w:keepNext w:val="0"/>
              <w:keepLines w:val="0"/>
              <w:pageBreakBefore w:val="0"/>
              <w:widowControl/>
              <w:kinsoku/>
              <w:wordWrap/>
              <w:overflowPunct/>
              <w:topLinePunct w:val="0"/>
              <w:autoSpaceDE/>
              <w:autoSpaceDN/>
              <w:bidi w:val="0"/>
              <w:adjustRightInd/>
              <w:snapToGrid/>
              <w:spacing w:line="360" w:lineRule="auto"/>
              <w:textAlignment w:val="auto"/>
              <w:rPr>
                <w:b/>
                <w:bCs w:val="0"/>
                <w:color w:val="auto"/>
                <w:sz w:val="24"/>
                <w:szCs w:val="24"/>
                <w:highlight w:val="none"/>
              </w:rPr>
            </w:pPr>
            <w:r>
              <w:rPr>
                <w:rFonts w:hint="eastAsia" w:hAnsi="宋体"/>
                <w:b/>
                <w:bCs w:val="0"/>
                <w:color w:val="auto"/>
                <w:sz w:val="24"/>
                <w:szCs w:val="24"/>
                <w:highlight w:val="none"/>
                <w:lang w:val="en-US" w:eastAsia="zh-CN"/>
              </w:rPr>
              <w:t>1 规划</w:t>
            </w:r>
            <w:r>
              <w:rPr>
                <w:rFonts w:hAnsi="宋体"/>
                <w:b/>
                <w:bCs w:val="0"/>
                <w:color w:val="auto"/>
                <w:sz w:val="24"/>
                <w:szCs w:val="24"/>
                <w:highlight w:val="none"/>
              </w:rPr>
              <w:t>名称：</w:t>
            </w:r>
            <w:r>
              <w:rPr>
                <w:rFonts w:hint="eastAsia" w:hAnsi="宋体"/>
                <w:b/>
                <w:bCs w:val="0"/>
                <w:color w:val="auto"/>
                <w:sz w:val="24"/>
                <w:szCs w:val="24"/>
                <w:highlight w:val="none"/>
              </w:rPr>
              <w:t>《苏州相城经济技术开发区开发建设规划（2022-2035）》</w:t>
            </w:r>
            <w:r>
              <w:rPr>
                <w:rFonts w:hAnsi="宋体"/>
                <w:b/>
                <w:bCs w:val="0"/>
                <w:color w:val="auto"/>
                <w:sz w:val="24"/>
                <w:szCs w:val="24"/>
                <w:highlight w:val="none"/>
              </w:rPr>
              <w:t>；</w:t>
            </w:r>
          </w:p>
          <w:p w14:paraId="05188216">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bCs/>
                <w:color w:val="auto"/>
                <w:sz w:val="24"/>
                <w:szCs w:val="24"/>
                <w:highlight w:val="none"/>
              </w:rPr>
            </w:pPr>
            <w:r>
              <w:rPr>
                <w:rFonts w:hAnsi="宋体"/>
                <w:b w:val="0"/>
                <w:bCs/>
                <w:color w:val="auto"/>
                <w:sz w:val="24"/>
                <w:szCs w:val="24"/>
                <w:highlight w:val="none"/>
              </w:rPr>
              <w:t>审批机关：</w:t>
            </w:r>
            <w:r>
              <w:rPr>
                <w:rFonts w:hint="eastAsia" w:hAnsi="宋体"/>
                <w:bCs/>
                <w:color w:val="auto"/>
                <w:sz w:val="24"/>
                <w:szCs w:val="24"/>
                <w:highlight w:val="none"/>
                <w:lang w:val="en-US" w:eastAsia="zh-CN"/>
              </w:rPr>
              <w:t>/</w:t>
            </w:r>
            <w:r>
              <w:rPr>
                <w:rFonts w:hAnsi="宋体"/>
                <w:bCs/>
                <w:color w:val="auto"/>
                <w:sz w:val="24"/>
                <w:szCs w:val="24"/>
                <w:highlight w:val="none"/>
              </w:rPr>
              <w:t>；</w:t>
            </w:r>
          </w:p>
          <w:p w14:paraId="2A1634ED">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hAnsi="宋体"/>
                <w:bCs/>
                <w:color w:val="auto"/>
                <w:sz w:val="24"/>
                <w:szCs w:val="24"/>
                <w:highlight w:val="none"/>
                <w:lang w:eastAsia="zh-CN"/>
              </w:rPr>
            </w:pPr>
            <w:r>
              <w:rPr>
                <w:rFonts w:hAnsi="宋体"/>
                <w:b w:val="0"/>
                <w:bCs/>
                <w:color w:val="auto"/>
                <w:sz w:val="24"/>
                <w:szCs w:val="24"/>
                <w:highlight w:val="none"/>
              </w:rPr>
              <w:t>审批文件名称及文号：</w:t>
            </w:r>
            <w:r>
              <w:rPr>
                <w:rFonts w:hint="eastAsia" w:hAnsi="宋体"/>
                <w:bCs/>
                <w:color w:val="auto"/>
                <w:sz w:val="24"/>
                <w:szCs w:val="24"/>
                <w:highlight w:val="none"/>
                <w:lang w:val="en-US" w:eastAsia="zh-CN"/>
              </w:rPr>
              <w:t>/</w:t>
            </w:r>
            <w:r>
              <w:rPr>
                <w:rFonts w:hint="eastAsia" w:hAnsi="宋体"/>
                <w:bCs/>
                <w:color w:val="auto"/>
                <w:sz w:val="24"/>
                <w:szCs w:val="24"/>
                <w:highlight w:val="none"/>
                <w:lang w:eastAsia="zh-CN"/>
              </w:rPr>
              <w:t>；</w:t>
            </w:r>
          </w:p>
          <w:p w14:paraId="3DF4981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hAnsi="宋体"/>
                <w:bCs/>
                <w:color w:val="auto"/>
                <w:sz w:val="24"/>
                <w:szCs w:val="24"/>
                <w:highlight w:val="none"/>
                <w:lang w:val="en-US" w:eastAsia="zh-CN"/>
              </w:rPr>
            </w:pPr>
            <w:r>
              <w:rPr>
                <w:rFonts w:hint="eastAsia" w:hAnsi="宋体"/>
                <w:b/>
                <w:bCs w:val="0"/>
                <w:color w:val="auto"/>
                <w:sz w:val="24"/>
                <w:szCs w:val="24"/>
                <w:highlight w:val="none"/>
                <w:lang w:val="en-US" w:eastAsia="zh-CN"/>
              </w:rPr>
              <w:t>2 规划名称：《苏州市相城区漕湖北桥片区总体规划（2015-2030）》</w:t>
            </w:r>
          </w:p>
          <w:p w14:paraId="4A12FD3B">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hAnsi="宋体"/>
                <w:b w:val="0"/>
                <w:bCs/>
                <w:color w:val="auto"/>
                <w:sz w:val="24"/>
                <w:szCs w:val="24"/>
                <w:highlight w:val="none"/>
                <w:lang w:val="en-US" w:eastAsia="zh-CN"/>
              </w:rPr>
            </w:pPr>
            <w:r>
              <w:rPr>
                <w:rFonts w:hint="eastAsia" w:hAnsi="宋体"/>
                <w:b w:val="0"/>
                <w:bCs/>
                <w:color w:val="auto"/>
                <w:sz w:val="24"/>
                <w:szCs w:val="24"/>
                <w:highlight w:val="none"/>
                <w:lang w:val="en-US" w:eastAsia="zh-CN"/>
              </w:rPr>
              <w:t>审批机关：苏州市人民</w:t>
            </w:r>
            <w:bookmarkStart w:id="24" w:name="_GoBack"/>
            <w:bookmarkEnd w:id="24"/>
            <w:r>
              <w:rPr>
                <w:rFonts w:hint="eastAsia" w:hAnsi="宋体"/>
                <w:b w:val="0"/>
                <w:bCs/>
                <w:color w:val="auto"/>
                <w:sz w:val="24"/>
                <w:szCs w:val="24"/>
                <w:highlight w:val="none"/>
                <w:lang w:val="en-US" w:eastAsia="zh-CN"/>
              </w:rPr>
              <w:t>政府；</w:t>
            </w:r>
          </w:p>
          <w:p w14:paraId="33DC642C">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cs="Times New Roman"/>
                <w:b w:val="0"/>
                <w:bCs w:val="0"/>
                <w:color w:val="auto"/>
                <w:sz w:val="24"/>
                <w:szCs w:val="24"/>
                <w:highlight w:val="none"/>
                <w:lang w:eastAsia="zh-CN"/>
              </w:rPr>
            </w:pPr>
            <w:r>
              <w:rPr>
                <w:rFonts w:hint="default" w:ascii="Times New Roman" w:hAnsi="Times New Roman" w:eastAsia="宋体" w:cs="Times New Roman"/>
                <w:b w:val="0"/>
                <w:bCs/>
                <w:color w:val="auto"/>
                <w:sz w:val="24"/>
                <w:szCs w:val="24"/>
                <w:highlight w:val="none"/>
              </w:rPr>
              <w:t>审批文件名称及文号</w:t>
            </w:r>
            <w:r>
              <w:rPr>
                <w:rFonts w:hint="eastAsia" w:cs="Times New Roman"/>
                <w:b w:val="0"/>
                <w:bCs/>
                <w:color w:val="auto"/>
                <w:sz w:val="24"/>
                <w:szCs w:val="24"/>
                <w:highlight w:val="none"/>
                <w:lang w:eastAsia="zh-CN"/>
              </w:rPr>
              <w:t>：</w:t>
            </w:r>
            <w:r>
              <w:rPr>
                <w:rFonts w:hint="eastAsia" w:cs="Times New Roman"/>
                <w:b w:val="0"/>
                <w:bCs w:val="0"/>
                <w:color w:val="auto"/>
                <w:sz w:val="24"/>
                <w:szCs w:val="24"/>
                <w:highlight w:val="none"/>
                <w:lang w:eastAsia="zh-CN"/>
              </w:rPr>
              <w:t>《市政府关于苏州市相城区漕湖北桥片区总体规划（2015</w:t>
            </w:r>
            <w:r>
              <w:rPr>
                <w:rFonts w:hint="eastAsia" w:cs="Times New Roman"/>
                <w:b w:val="0"/>
                <w:bCs w:val="0"/>
                <w:color w:val="auto"/>
                <w:sz w:val="24"/>
                <w:szCs w:val="24"/>
                <w:highlight w:val="none"/>
                <w:lang w:val="en-US" w:eastAsia="zh-CN"/>
              </w:rPr>
              <w:t>-</w:t>
            </w:r>
            <w:r>
              <w:rPr>
                <w:rFonts w:hint="eastAsia" w:cs="Times New Roman"/>
                <w:b w:val="0"/>
                <w:bCs w:val="0"/>
                <w:color w:val="auto"/>
                <w:sz w:val="24"/>
                <w:szCs w:val="24"/>
                <w:highlight w:val="none"/>
                <w:lang w:eastAsia="zh-CN"/>
              </w:rPr>
              <w:t>2030）的批复》（苏府复〔2016〕54号）；</w:t>
            </w:r>
          </w:p>
          <w:p w14:paraId="5B86D228">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宋体" w:eastAsia="宋体" w:cs="Times New Roman"/>
                <w:b/>
                <w:bCs w:val="0"/>
                <w:color w:val="auto"/>
                <w:sz w:val="24"/>
                <w:szCs w:val="24"/>
                <w:highlight w:val="none"/>
                <w:lang w:val="en-US" w:eastAsia="zh-CN"/>
              </w:rPr>
            </w:pPr>
            <w:r>
              <w:rPr>
                <w:rFonts w:hint="eastAsia" w:ascii="Times New Roman" w:hAnsi="宋体" w:eastAsia="宋体" w:cs="Times New Roman"/>
                <w:b/>
                <w:bCs w:val="0"/>
                <w:color w:val="auto"/>
                <w:sz w:val="24"/>
                <w:szCs w:val="24"/>
                <w:highlight w:val="none"/>
                <w:lang w:val="en-US" w:eastAsia="zh-CN"/>
              </w:rPr>
              <w:t>3 规划名称：《苏州市相城区漕湖北桥东部、南部片区控制性详细规划》</w:t>
            </w:r>
          </w:p>
          <w:p w14:paraId="1B52FB8E">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hAnsi="宋体"/>
                <w:b w:val="0"/>
                <w:bCs/>
                <w:color w:val="auto"/>
                <w:sz w:val="24"/>
                <w:szCs w:val="24"/>
                <w:highlight w:val="none"/>
                <w:lang w:val="en-US" w:eastAsia="zh-CN"/>
              </w:rPr>
            </w:pPr>
            <w:r>
              <w:rPr>
                <w:rFonts w:hint="eastAsia" w:hAnsi="宋体"/>
                <w:b w:val="0"/>
                <w:bCs/>
                <w:color w:val="auto"/>
                <w:sz w:val="24"/>
                <w:szCs w:val="24"/>
                <w:highlight w:val="none"/>
                <w:lang w:val="en-US" w:eastAsia="zh-CN"/>
              </w:rPr>
              <w:t>审批机关：苏州市人民政府；</w:t>
            </w:r>
          </w:p>
          <w:p w14:paraId="704AB3D5">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cs="Times New Roman"/>
                <w:b w:val="0"/>
                <w:bCs w:val="0"/>
                <w:color w:val="auto"/>
                <w:sz w:val="24"/>
                <w:szCs w:val="24"/>
                <w:highlight w:val="none"/>
                <w:lang w:eastAsia="zh-CN"/>
              </w:rPr>
            </w:pPr>
            <w:r>
              <w:rPr>
                <w:rFonts w:hint="default" w:ascii="Times New Roman" w:hAnsi="Times New Roman" w:eastAsia="宋体" w:cs="Times New Roman"/>
                <w:b w:val="0"/>
                <w:bCs/>
                <w:color w:val="auto"/>
                <w:sz w:val="24"/>
                <w:szCs w:val="24"/>
                <w:highlight w:val="none"/>
              </w:rPr>
              <w:t>审批文件名称及文号：</w:t>
            </w:r>
            <w:r>
              <w:rPr>
                <w:rFonts w:hint="eastAsia" w:cs="Times New Roman"/>
                <w:b w:val="0"/>
                <w:bCs w:val="0"/>
                <w:color w:val="auto"/>
                <w:sz w:val="24"/>
                <w:szCs w:val="24"/>
                <w:highlight w:val="none"/>
                <w:lang w:eastAsia="zh-CN"/>
              </w:rPr>
              <w:t>《市政府关于苏州市相城区漕湖北桥东部、南部片区控制性详细规划的批复》</w:t>
            </w:r>
            <w:r>
              <w:rPr>
                <w:rFonts w:hint="eastAsia" w:cs="Times New Roman"/>
                <w:b w:val="0"/>
                <w:bCs/>
                <w:color w:val="auto"/>
                <w:sz w:val="24"/>
                <w:szCs w:val="24"/>
                <w:highlight w:val="none"/>
                <w:lang w:eastAsia="zh-CN"/>
              </w:rPr>
              <w:t>（</w:t>
            </w:r>
            <w:r>
              <w:rPr>
                <w:rFonts w:hint="eastAsia" w:hAnsi="宋体"/>
                <w:b w:val="0"/>
                <w:bCs/>
                <w:color w:val="auto"/>
                <w:sz w:val="24"/>
                <w:szCs w:val="24"/>
                <w:highlight w:val="none"/>
                <w:lang w:val="en-US" w:eastAsia="zh-CN"/>
              </w:rPr>
              <w:t>苏府复〔2016〕56号</w:t>
            </w:r>
            <w:r>
              <w:rPr>
                <w:rFonts w:hint="eastAsia" w:cs="Times New Roman"/>
                <w:b w:val="0"/>
                <w:bCs/>
                <w:color w:val="auto"/>
                <w:sz w:val="24"/>
                <w:szCs w:val="24"/>
                <w:highlight w:val="none"/>
                <w:lang w:eastAsia="zh-CN"/>
              </w:rPr>
              <w:t>）</w:t>
            </w:r>
            <w:r>
              <w:rPr>
                <w:rFonts w:hint="eastAsia" w:cs="Times New Roman"/>
                <w:color w:val="auto"/>
                <w:sz w:val="24"/>
                <w:szCs w:val="24"/>
                <w:highlight w:val="none"/>
                <w:lang w:eastAsia="zh-CN"/>
              </w:rPr>
              <w:t>；</w:t>
            </w:r>
          </w:p>
          <w:p w14:paraId="34BE7E0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hAnsi="宋体"/>
                <w:bCs/>
                <w:color w:val="auto"/>
                <w:sz w:val="24"/>
                <w:szCs w:val="24"/>
                <w:highlight w:val="none"/>
                <w:lang w:val="en-US" w:eastAsia="zh-CN"/>
              </w:rPr>
            </w:pPr>
            <w:r>
              <w:rPr>
                <w:rFonts w:hint="eastAsia" w:hAnsi="宋体"/>
                <w:b/>
                <w:bCs w:val="0"/>
                <w:color w:val="auto"/>
                <w:sz w:val="24"/>
                <w:szCs w:val="24"/>
                <w:highlight w:val="none"/>
                <w:lang w:val="en-US" w:eastAsia="zh-CN"/>
              </w:rPr>
              <w:t>4 规划名称：《</w:t>
            </w:r>
            <w:r>
              <w:rPr>
                <w:rFonts w:hint="eastAsia" w:hAnsi="宋体"/>
                <w:b/>
                <w:bCs w:val="0"/>
                <w:color w:val="auto"/>
                <w:sz w:val="24"/>
                <w:highlight w:val="none"/>
              </w:rPr>
              <w:t>苏州市相城区国土空间总体规划</w:t>
            </w:r>
            <w:r>
              <w:rPr>
                <w:rFonts w:hint="eastAsia" w:ascii="宋体" w:hAnsi="宋体" w:cs="宋体"/>
                <w:b/>
                <w:bCs w:val="0"/>
                <w:color w:val="auto"/>
                <w:sz w:val="24"/>
                <w:highlight w:val="none"/>
                <w:lang w:eastAsia="zh-CN"/>
              </w:rPr>
              <w:t>（</w:t>
            </w:r>
            <w:r>
              <w:rPr>
                <w:rFonts w:hint="eastAsia" w:hAnsi="宋体"/>
                <w:b/>
                <w:bCs w:val="0"/>
                <w:color w:val="auto"/>
                <w:sz w:val="24"/>
                <w:highlight w:val="none"/>
              </w:rPr>
              <w:t>2021-2035年</w:t>
            </w:r>
            <w:r>
              <w:rPr>
                <w:rFonts w:hint="eastAsia" w:ascii="宋体" w:hAnsi="宋体" w:cs="宋体"/>
                <w:b/>
                <w:bCs w:val="0"/>
                <w:color w:val="auto"/>
                <w:sz w:val="24"/>
                <w:highlight w:val="none"/>
                <w:lang w:eastAsia="zh-CN"/>
              </w:rPr>
              <w:t>）</w:t>
            </w:r>
            <w:r>
              <w:rPr>
                <w:rFonts w:hint="eastAsia" w:hAnsi="宋体"/>
                <w:b/>
                <w:bCs w:val="0"/>
                <w:color w:val="auto"/>
                <w:sz w:val="24"/>
                <w:szCs w:val="24"/>
                <w:highlight w:val="none"/>
                <w:lang w:val="en-US" w:eastAsia="zh-CN"/>
              </w:rPr>
              <w:t>》</w:t>
            </w:r>
            <w:r>
              <w:rPr>
                <w:rFonts w:hint="eastAsia" w:hAnsi="宋体"/>
                <w:bCs/>
                <w:color w:val="auto"/>
                <w:sz w:val="24"/>
                <w:szCs w:val="24"/>
                <w:highlight w:val="none"/>
                <w:lang w:val="en-US" w:eastAsia="zh-CN"/>
              </w:rPr>
              <w:t>；</w:t>
            </w:r>
          </w:p>
          <w:p w14:paraId="72CEC634">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hAnsi="宋体"/>
                <w:b w:val="0"/>
                <w:bCs/>
                <w:color w:val="auto"/>
                <w:sz w:val="24"/>
                <w:szCs w:val="24"/>
                <w:highlight w:val="none"/>
                <w:lang w:val="en-US" w:eastAsia="zh-CN"/>
              </w:rPr>
            </w:pPr>
            <w:r>
              <w:rPr>
                <w:rFonts w:hint="eastAsia" w:hAnsi="宋体"/>
                <w:b w:val="0"/>
                <w:bCs/>
                <w:color w:val="auto"/>
                <w:sz w:val="24"/>
                <w:szCs w:val="24"/>
                <w:highlight w:val="none"/>
                <w:lang w:val="en-US" w:eastAsia="zh-CN"/>
              </w:rPr>
              <w:t>审批机关：江苏省人民政府；</w:t>
            </w:r>
          </w:p>
          <w:p w14:paraId="37C18DA1">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cs="Times New Roman"/>
                <w:color w:val="auto"/>
                <w:sz w:val="24"/>
                <w:szCs w:val="24"/>
                <w:highlight w:val="none"/>
                <w:lang w:eastAsia="zh-CN"/>
              </w:rPr>
            </w:pPr>
            <w:r>
              <w:rPr>
                <w:rFonts w:hint="default" w:ascii="Times New Roman" w:hAnsi="Times New Roman" w:eastAsia="宋体" w:cs="Times New Roman"/>
                <w:b w:val="0"/>
                <w:bCs/>
                <w:color w:val="auto"/>
                <w:sz w:val="24"/>
                <w:szCs w:val="24"/>
                <w:highlight w:val="none"/>
              </w:rPr>
              <w:t>审批文件名称及文号：</w:t>
            </w:r>
            <w:r>
              <w:rPr>
                <w:rFonts w:hint="default" w:ascii="Times New Roman" w:hAnsi="Times New Roman" w:eastAsia="宋体" w:cs="Times New Roman"/>
                <w:color w:val="auto"/>
                <w:sz w:val="24"/>
                <w:szCs w:val="24"/>
                <w:highlight w:val="none"/>
              </w:rPr>
              <w:t>《</w:t>
            </w:r>
            <w:r>
              <w:rPr>
                <w:rFonts w:hint="default"/>
                <w:color w:val="auto"/>
                <w:sz w:val="24"/>
                <w:highlight w:val="none"/>
              </w:rPr>
              <w:t>省政府关于</w:t>
            </w:r>
            <w:r>
              <w:rPr>
                <w:rFonts w:hint="eastAsia"/>
                <w:color w:val="auto"/>
                <w:sz w:val="24"/>
                <w:highlight w:val="none"/>
                <w:lang w:eastAsia="zh-CN"/>
              </w:rPr>
              <w:t>〈</w:t>
            </w:r>
            <w:r>
              <w:rPr>
                <w:rFonts w:hint="default"/>
                <w:color w:val="auto"/>
                <w:sz w:val="24"/>
                <w:highlight w:val="none"/>
              </w:rPr>
              <w:t>张家港市、常熟市、太仓市、昆山市、苏州工业园</w:t>
            </w:r>
            <w:r>
              <w:rPr>
                <w:rFonts w:hint="eastAsia"/>
                <w:color w:val="auto"/>
                <w:sz w:val="24"/>
                <w:highlight w:val="none"/>
                <w:lang w:val="en-US" w:eastAsia="zh-CN"/>
              </w:rPr>
              <w:t>区</w:t>
            </w:r>
            <w:r>
              <w:rPr>
                <w:rFonts w:hint="default"/>
                <w:color w:val="auto"/>
                <w:sz w:val="24"/>
                <w:highlight w:val="none"/>
              </w:rPr>
              <w:t>、吴江区、吴中区、相城区、苏州高新区</w:t>
            </w:r>
            <w:r>
              <w:rPr>
                <w:rFonts w:hint="eastAsia"/>
                <w:color w:val="auto"/>
                <w:sz w:val="24"/>
                <w:highlight w:val="none"/>
                <w:lang w:eastAsia="zh-CN"/>
              </w:rPr>
              <w:t>（</w:t>
            </w:r>
            <w:r>
              <w:rPr>
                <w:rFonts w:hint="default"/>
                <w:color w:val="auto"/>
                <w:sz w:val="24"/>
                <w:highlight w:val="none"/>
              </w:rPr>
              <w:t>虎丘区</w:t>
            </w:r>
            <w:r>
              <w:rPr>
                <w:rFonts w:hint="eastAsia"/>
                <w:color w:val="auto"/>
                <w:sz w:val="24"/>
                <w:highlight w:val="none"/>
                <w:lang w:eastAsia="zh-CN"/>
              </w:rPr>
              <w:t>）</w:t>
            </w:r>
            <w:r>
              <w:rPr>
                <w:rFonts w:hint="default"/>
                <w:color w:val="auto"/>
                <w:sz w:val="24"/>
                <w:highlight w:val="none"/>
              </w:rPr>
              <w:t>国土空间总体规划</w:t>
            </w:r>
            <w:r>
              <w:rPr>
                <w:rFonts w:hint="eastAsia"/>
                <w:color w:val="auto"/>
                <w:sz w:val="24"/>
                <w:highlight w:val="none"/>
                <w:lang w:eastAsia="zh-CN"/>
              </w:rPr>
              <w:t>（</w:t>
            </w:r>
            <w:r>
              <w:rPr>
                <w:rFonts w:hint="default"/>
                <w:color w:val="auto"/>
                <w:sz w:val="24"/>
                <w:highlight w:val="none"/>
              </w:rPr>
              <w:t>2021-2035年</w:t>
            </w:r>
            <w:r>
              <w:rPr>
                <w:rFonts w:hint="eastAsia"/>
                <w:color w:val="auto"/>
                <w:sz w:val="24"/>
                <w:highlight w:val="none"/>
                <w:lang w:eastAsia="zh-CN"/>
              </w:rPr>
              <w:t>）〉</w:t>
            </w:r>
            <w:r>
              <w:rPr>
                <w:rFonts w:hint="default"/>
                <w:color w:val="auto"/>
                <w:sz w:val="24"/>
                <w:highlight w:val="none"/>
              </w:rPr>
              <w:t>的批复</w:t>
            </w:r>
            <w:r>
              <w:rPr>
                <w:rFonts w:hint="default" w:ascii="Times New Roman" w:hAnsi="Times New Roman" w:eastAsia="宋体" w:cs="Times New Roman"/>
                <w:color w:val="auto"/>
                <w:sz w:val="24"/>
                <w:szCs w:val="24"/>
                <w:highlight w:val="none"/>
              </w:rPr>
              <w:t>》（苏</w:t>
            </w:r>
            <w:r>
              <w:rPr>
                <w:rFonts w:hint="eastAsia" w:cs="Times New Roman"/>
                <w:color w:val="auto"/>
                <w:sz w:val="24"/>
                <w:szCs w:val="24"/>
                <w:highlight w:val="none"/>
                <w:lang w:val="en-US" w:eastAsia="zh-CN"/>
              </w:rPr>
              <w:t>政复</w:t>
            </w:r>
            <w:r>
              <w:rPr>
                <w:rFonts w:hint="default" w:ascii="Times New Roman" w:hAnsi="Times New Roman" w:eastAsia="宋体" w:cs="Times New Roman"/>
                <w:color w:val="auto"/>
                <w:sz w:val="24"/>
                <w:szCs w:val="24"/>
                <w:highlight w:val="none"/>
              </w:rPr>
              <w:t>〔202</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号）</w:t>
            </w:r>
            <w:r>
              <w:rPr>
                <w:rFonts w:hint="eastAsia" w:cs="Times New Roman"/>
                <w:color w:val="auto"/>
                <w:sz w:val="24"/>
                <w:szCs w:val="24"/>
                <w:highlight w:val="none"/>
                <w:lang w:eastAsia="zh-CN"/>
              </w:rPr>
              <w:t>；</w:t>
            </w:r>
          </w:p>
          <w:p w14:paraId="46D7648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宋体" w:eastAsia="宋体" w:cs="Times New Roman"/>
                <w:b/>
                <w:bCs w:val="0"/>
                <w:color w:val="auto"/>
                <w:sz w:val="24"/>
                <w:szCs w:val="24"/>
                <w:highlight w:val="none"/>
                <w:lang w:val="en-US" w:eastAsia="zh-CN"/>
              </w:rPr>
            </w:pPr>
            <w:r>
              <w:rPr>
                <w:rFonts w:hint="eastAsia" w:ascii="Times New Roman" w:hAnsi="宋体" w:eastAsia="宋体" w:cs="Times New Roman"/>
                <w:b/>
                <w:bCs w:val="0"/>
                <w:color w:val="auto"/>
                <w:sz w:val="24"/>
                <w:szCs w:val="24"/>
                <w:highlight w:val="none"/>
                <w:lang w:val="en-US" w:eastAsia="zh-CN"/>
              </w:rPr>
              <w:t>5 规划名称：《苏州工业园区苏相合作区XC0406、XC0501、XC0502、XC0503单元国土空间详细规划》</w:t>
            </w:r>
          </w:p>
          <w:p w14:paraId="2487E9B7">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hAnsi="宋体"/>
                <w:b w:val="0"/>
                <w:bCs/>
                <w:color w:val="auto"/>
                <w:sz w:val="24"/>
                <w:szCs w:val="24"/>
                <w:highlight w:val="none"/>
                <w:lang w:val="en-US" w:eastAsia="zh-CN"/>
              </w:rPr>
            </w:pPr>
            <w:r>
              <w:rPr>
                <w:rFonts w:hint="eastAsia" w:hAnsi="宋体"/>
                <w:b w:val="0"/>
                <w:bCs/>
                <w:color w:val="auto"/>
                <w:sz w:val="24"/>
                <w:szCs w:val="24"/>
                <w:highlight w:val="none"/>
                <w:lang w:val="en-US" w:eastAsia="zh-CN"/>
              </w:rPr>
              <w:t>审批机关：/；</w:t>
            </w:r>
          </w:p>
          <w:p w14:paraId="6F6B8A11">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default" w:ascii="Times New Roman" w:hAnsi="宋体" w:eastAsia="宋体" w:cs="Times New Roman"/>
                <w:b/>
                <w:bCs w:val="0"/>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rPr>
              <w:t>审批文件名称及文号：</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eastAsia="zh-CN"/>
              </w:rPr>
              <w:t>；</w:t>
            </w:r>
          </w:p>
        </w:tc>
      </w:tr>
      <w:tr w14:paraId="0C15B8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14:paraId="45A43C45">
            <w:pPr>
              <w:adjustRightInd w:val="0"/>
              <w:snapToGrid w:val="0"/>
              <w:jc w:val="center"/>
              <w:rPr>
                <w:color w:val="auto"/>
                <w:kern w:val="0"/>
                <w:sz w:val="24"/>
                <w:szCs w:val="24"/>
                <w:highlight w:val="none"/>
              </w:rPr>
            </w:pPr>
            <w:r>
              <w:rPr>
                <w:color w:val="auto"/>
                <w:sz w:val="24"/>
                <w:szCs w:val="24"/>
                <w:highlight w:val="none"/>
              </w:rPr>
              <w:t>规划环境影响评价情况</w:t>
            </w:r>
          </w:p>
        </w:tc>
        <w:tc>
          <w:tcPr>
            <w:tcW w:w="9342" w:type="dxa"/>
            <w:gridSpan w:val="4"/>
            <w:vAlign w:val="center"/>
          </w:tcPr>
          <w:p w14:paraId="044890BB">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b/>
                <w:bCs/>
                <w:color w:val="auto"/>
                <w:kern w:val="0"/>
                <w:sz w:val="24"/>
                <w:szCs w:val="24"/>
                <w:highlight w:val="none"/>
                <w:lang w:val="en-US" w:eastAsia="zh-CN"/>
              </w:rPr>
            </w:pPr>
            <w:r>
              <w:rPr>
                <w:rFonts w:hint="eastAsia"/>
                <w:b/>
                <w:bCs/>
                <w:color w:val="auto"/>
                <w:kern w:val="0"/>
                <w:sz w:val="24"/>
                <w:szCs w:val="24"/>
                <w:highlight w:val="none"/>
                <w:lang w:val="en-US" w:eastAsia="zh-CN"/>
              </w:rPr>
              <w:t>规划环境影响评价文件名称：《苏州相城经济技术开发区开发建设规划（2022-2035）环境影响报告书》</w:t>
            </w:r>
          </w:p>
          <w:p w14:paraId="19B721DE">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color w:val="auto"/>
                <w:kern w:val="0"/>
                <w:sz w:val="24"/>
                <w:szCs w:val="24"/>
                <w:highlight w:val="none"/>
                <w:lang w:val="en-US" w:eastAsia="zh-CN"/>
              </w:rPr>
            </w:pPr>
            <w:r>
              <w:rPr>
                <w:rFonts w:hint="eastAsia"/>
                <w:b w:val="0"/>
                <w:bCs w:val="0"/>
                <w:color w:val="auto"/>
                <w:kern w:val="0"/>
                <w:sz w:val="24"/>
                <w:szCs w:val="24"/>
                <w:highlight w:val="none"/>
                <w:lang w:val="en-US" w:eastAsia="zh-CN"/>
              </w:rPr>
              <w:t>审查机关：</w:t>
            </w:r>
            <w:r>
              <w:rPr>
                <w:rFonts w:hint="eastAsia"/>
                <w:color w:val="auto"/>
                <w:kern w:val="0"/>
                <w:sz w:val="24"/>
                <w:szCs w:val="24"/>
                <w:highlight w:val="none"/>
                <w:lang w:val="en-US" w:eastAsia="zh-CN"/>
              </w:rPr>
              <w:t>江苏省生态环境厅</w:t>
            </w:r>
          </w:p>
          <w:p w14:paraId="2CB02030">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审查文件名称及文号：《省生态环境厅关于&lt;苏州相城经济技术开发区开发建设规划（2022-2035）环境影响报告书&gt;的审查意见》，苏环审〔2025〕16号，2025年3月11日</w:t>
            </w:r>
          </w:p>
        </w:tc>
      </w:tr>
      <w:tr w14:paraId="4C7B4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14:paraId="101717C6">
            <w:pPr>
              <w:autoSpaceDE w:val="0"/>
              <w:autoSpaceDN w:val="0"/>
              <w:adjustRightInd w:val="0"/>
              <w:snapToGrid w:val="0"/>
              <w:jc w:val="center"/>
              <w:rPr>
                <w:color w:val="auto"/>
                <w:kern w:val="0"/>
                <w:sz w:val="24"/>
                <w:szCs w:val="24"/>
                <w:highlight w:val="none"/>
              </w:rPr>
            </w:pPr>
            <w:r>
              <w:rPr>
                <w:color w:val="auto"/>
                <w:kern w:val="0"/>
                <w:sz w:val="24"/>
                <w:szCs w:val="24"/>
                <w:highlight w:val="none"/>
              </w:rPr>
              <w:t>规划及规划环境影响评价符合性分析</w:t>
            </w:r>
          </w:p>
        </w:tc>
        <w:tc>
          <w:tcPr>
            <w:tcW w:w="9342" w:type="dxa"/>
            <w:gridSpan w:val="4"/>
            <w:vAlign w:val="center"/>
          </w:tcPr>
          <w:p w14:paraId="5E03A91A">
            <w:pPr>
              <w:autoSpaceDE w:val="0"/>
              <w:autoSpaceDN w:val="0"/>
              <w:adjustRightInd w:val="0"/>
              <w:snapToGrid w:val="0"/>
              <w:spacing w:line="360" w:lineRule="auto"/>
              <w:rPr>
                <w:b/>
                <w:bCs/>
                <w:color w:val="auto"/>
                <w:kern w:val="0"/>
                <w:sz w:val="24"/>
                <w:szCs w:val="24"/>
                <w:highlight w:val="none"/>
              </w:rPr>
            </w:pPr>
            <w:r>
              <w:rPr>
                <w:rFonts w:hint="eastAsia"/>
                <w:b/>
                <w:bCs/>
                <w:color w:val="auto"/>
                <w:kern w:val="0"/>
                <w:sz w:val="24"/>
                <w:szCs w:val="24"/>
                <w:highlight w:val="none"/>
                <w:lang w:val="en-US" w:eastAsia="zh-CN"/>
              </w:rPr>
              <w:t>1、</w:t>
            </w:r>
            <w:r>
              <w:rPr>
                <w:rFonts w:hint="eastAsia"/>
                <w:b/>
                <w:bCs/>
                <w:color w:val="auto"/>
                <w:kern w:val="0"/>
                <w:sz w:val="24"/>
                <w:szCs w:val="24"/>
                <w:highlight w:val="none"/>
              </w:rPr>
              <w:t>与《苏州相城经济技术开发区开发建设规划（2022-2035）》相符性分析</w:t>
            </w:r>
          </w:p>
          <w:p w14:paraId="30ACD9F3">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b/>
                <w:bCs/>
                <w:color w:val="auto"/>
                <w:kern w:val="0"/>
                <w:sz w:val="24"/>
                <w:szCs w:val="24"/>
                <w:highlight w:val="none"/>
              </w:rPr>
            </w:pPr>
            <w:r>
              <w:rPr>
                <w:rFonts w:hint="eastAsia"/>
                <w:b/>
                <w:bCs/>
                <w:color w:val="auto"/>
                <w:kern w:val="0"/>
                <w:sz w:val="24"/>
                <w:szCs w:val="24"/>
                <w:highlight w:val="none"/>
                <w:lang w:val="en-US" w:eastAsia="zh-CN"/>
              </w:rPr>
              <w:t xml:space="preserve">1.1  </w:t>
            </w:r>
            <w:r>
              <w:rPr>
                <w:rFonts w:hint="eastAsia"/>
                <w:b/>
                <w:bCs/>
                <w:color w:val="auto"/>
                <w:kern w:val="0"/>
                <w:sz w:val="24"/>
                <w:szCs w:val="24"/>
                <w:highlight w:val="none"/>
              </w:rPr>
              <w:t>规划范围</w:t>
            </w:r>
          </w:p>
          <w:p w14:paraId="2C59231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规划范围为相城经济技术开发区的管辖范围，总面积约91.84平方公里，其中：</w:t>
            </w:r>
          </w:p>
          <w:p w14:paraId="650089E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澄阳片区：北到太阳路，东到227省道，西到相城大道，南到阳澄湖东路，面积11.65平方公里；</w:t>
            </w:r>
          </w:p>
          <w:p w14:paraId="71AE3E1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bCs/>
                <w:color w:val="auto"/>
                <w:kern w:val="0"/>
                <w:sz w:val="24"/>
                <w:szCs w:val="24"/>
                <w:highlight w:val="none"/>
              </w:rPr>
            </w:pPr>
            <w:r>
              <w:rPr>
                <w:rFonts w:hint="eastAsia"/>
                <w:bCs/>
                <w:color w:val="auto"/>
                <w:kern w:val="0"/>
                <w:sz w:val="24"/>
                <w:szCs w:val="24"/>
                <w:highlight w:val="none"/>
              </w:rPr>
              <w:t>环漕湖片区：北到常熟辛庄南边界，东到元和塘-苏泾路、西到苏锡边界-望虞河，南到太东路，面积80.19平方公里。环漕湖片区包括漕湖片区（苏相合作区）及北桥片区。</w:t>
            </w:r>
          </w:p>
          <w:p w14:paraId="4B19FE4E">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eastAsia="宋体"/>
                <w:b/>
                <w:bCs/>
                <w:color w:val="auto"/>
                <w:kern w:val="0"/>
                <w:sz w:val="24"/>
                <w:szCs w:val="24"/>
                <w:highlight w:val="none"/>
                <w:lang w:eastAsia="zh-CN"/>
              </w:rPr>
            </w:pPr>
            <w:r>
              <w:rPr>
                <w:rFonts w:hint="eastAsia"/>
                <w:b/>
                <w:bCs/>
                <w:color w:val="auto"/>
                <w:kern w:val="0"/>
                <w:sz w:val="24"/>
                <w:szCs w:val="24"/>
                <w:highlight w:val="none"/>
                <w:lang w:val="en-US" w:eastAsia="zh-CN"/>
              </w:rPr>
              <w:t xml:space="preserve">1.2  </w:t>
            </w:r>
            <w:r>
              <w:rPr>
                <w:rFonts w:hint="eastAsia"/>
                <w:b/>
                <w:bCs/>
                <w:color w:val="auto"/>
                <w:kern w:val="0"/>
                <w:sz w:val="24"/>
                <w:szCs w:val="24"/>
                <w:highlight w:val="none"/>
              </w:rPr>
              <w:t>规划</w:t>
            </w:r>
            <w:r>
              <w:rPr>
                <w:rFonts w:hint="eastAsia"/>
                <w:b/>
                <w:bCs/>
                <w:color w:val="auto"/>
                <w:kern w:val="0"/>
                <w:sz w:val="24"/>
                <w:szCs w:val="24"/>
                <w:highlight w:val="none"/>
                <w:lang w:val="en-US" w:eastAsia="zh-CN"/>
              </w:rPr>
              <w:t>时段</w:t>
            </w:r>
          </w:p>
          <w:p w14:paraId="576118E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bCs/>
                <w:color w:val="auto"/>
                <w:kern w:val="0"/>
                <w:sz w:val="24"/>
                <w:szCs w:val="24"/>
                <w:highlight w:val="none"/>
              </w:rPr>
            </w:pPr>
            <w:r>
              <w:rPr>
                <w:rFonts w:hint="eastAsia"/>
                <w:bCs/>
                <w:color w:val="auto"/>
                <w:kern w:val="0"/>
                <w:sz w:val="24"/>
                <w:szCs w:val="24"/>
                <w:highlight w:val="none"/>
              </w:rPr>
              <w:t>近期：20</w:t>
            </w:r>
            <w:r>
              <w:rPr>
                <w:rFonts w:hint="eastAsia"/>
                <w:bCs/>
                <w:color w:val="auto"/>
                <w:kern w:val="0"/>
                <w:sz w:val="24"/>
                <w:szCs w:val="24"/>
                <w:highlight w:val="none"/>
                <w:lang w:val="en-US" w:eastAsia="zh-CN"/>
              </w:rPr>
              <w:t>22</w:t>
            </w:r>
            <w:r>
              <w:rPr>
                <w:rFonts w:hint="eastAsia"/>
                <w:bCs/>
                <w:color w:val="auto"/>
                <w:kern w:val="0"/>
                <w:sz w:val="24"/>
                <w:szCs w:val="24"/>
                <w:highlight w:val="none"/>
                <w:lang w:eastAsia="zh-CN"/>
              </w:rPr>
              <w:t>—</w:t>
            </w:r>
            <w:r>
              <w:rPr>
                <w:rFonts w:hint="eastAsia"/>
                <w:bCs/>
                <w:color w:val="auto"/>
                <w:kern w:val="0"/>
                <w:sz w:val="24"/>
                <w:szCs w:val="24"/>
                <w:highlight w:val="none"/>
              </w:rPr>
              <w:t>202</w:t>
            </w:r>
            <w:r>
              <w:rPr>
                <w:rFonts w:hint="eastAsia"/>
                <w:bCs/>
                <w:color w:val="auto"/>
                <w:kern w:val="0"/>
                <w:sz w:val="24"/>
                <w:szCs w:val="24"/>
                <w:highlight w:val="none"/>
                <w:lang w:val="en-US" w:eastAsia="zh-CN"/>
              </w:rPr>
              <w:t>5</w:t>
            </w:r>
            <w:r>
              <w:rPr>
                <w:rFonts w:hint="eastAsia"/>
                <w:bCs/>
                <w:color w:val="auto"/>
                <w:kern w:val="0"/>
                <w:sz w:val="24"/>
                <w:szCs w:val="24"/>
                <w:highlight w:val="none"/>
              </w:rPr>
              <w:t>年：远期：202</w:t>
            </w:r>
            <w:r>
              <w:rPr>
                <w:rFonts w:hint="eastAsia"/>
                <w:bCs/>
                <w:color w:val="auto"/>
                <w:kern w:val="0"/>
                <w:sz w:val="24"/>
                <w:szCs w:val="24"/>
                <w:highlight w:val="none"/>
                <w:lang w:val="en-US" w:eastAsia="zh-CN"/>
              </w:rPr>
              <w:t>6</w:t>
            </w:r>
            <w:r>
              <w:rPr>
                <w:rFonts w:hint="eastAsia"/>
                <w:bCs/>
                <w:color w:val="auto"/>
                <w:kern w:val="0"/>
                <w:sz w:val="24"/>
                <w:szCs w:val="24"/>
                <w:highlight w:val="none"/>
                <w:lang w:eastAsia="zh-CN"/>
              </w:rPr>
              <w:t>—</w:t>
            </w:r>
            <w:r>
              <w:rPr>
                <w:rFonts w:hint="eastAsia"/>
                <w:bCs/>
                <w:color w:val="auto"/>
                <w:kern w:val="0"/>
                <w:sz w:val="24"/>
                <w:szCs w:val="24"/>
                <w:highlight w:val="none"/>
              </w:rPr>
              <w:t>203</w:t>
            </w:r>
            <w:r>
              <w:rPr>
                <w:rFonts w:hint="eastAsia"/>
                <w:bCs/>
                <w:color w:val="auto"/>
                <w:kern w:val="0"/>
                <w:sz w:val="24"/>
                <w:szCs w:val="24"/>
                <w:highlight w:val="none"/>
                <w:lang w:val="en-US" w:eastAsia="zh-CN"/>
              </w:rPr>
              <w:t>5</w:t>
            </w:r>
            <w:r>
              <w:rPr>
                <w:rFonts w:hint="eastAsia"/>
                <w:bCs/>
                <w:color w:val="auto"/>
                <w:kern w:val="0"/>
                <w:sz w:val="24"/>
                <w:szCs w:val="24"/>
                <w:highlight w:val="none"/>
              </w:rPr>
              <w:t>年。</w:t>
            </w:r>
          </w:p>
          <w:p w14:paraId="69EB9F97">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default"/>
                <w:bCs/>
                <w:color w:val="auto"/>
                <w:kern w:val="0"/>
                <w:sz w:val="24"/>
                <w:szCs w:val="24"/>
                <w:highlight w:val="none"/>
                <w:lang w:val="en-US"/>
              </w:rPr>
            </w:pPr>
            <w:r>
              <w:rPr>
                <w:rFonts w:hint="eastAsia"/>
                <w:b/>
                <w:bCs/>
                <w:color w:val="auto"/>
                <w:kern w:val="0"/>
                <w:sz w:val="24"/>
                <w:szCs w:val="24"/>
                <w:highlight w:val="none"/>
                <w:lang w:val="en-US" w:eastAsia="zh-CN"/>
              </w:rPr>
              <w:t>1.3  总体发展目标</w:t>
            </w:r>
          </w:p>
          <w:p w14:paraId="6AE4444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以发展先进制造业为主导，以承接重大产业项目为重点，以与产业发展相适应的现代服务业为支撑，充分发挥</w:t>
            </w:r>
            <w:r>
              <w:rPr>
                <w:rFonts w:hint="eastAsia"/>
                <w:bCs/>
                <w:color w:val="auto"/>
                <w:kern w:val="0"/>
                <w:sz w:val="24"/>
                <w:szCs w:val="24"/>
                <w:highlight w:val="none"/>
                <w:lang w:eastAsia="zh-CN"/>
              </w:rPr>
              <w:t>“</w:t>
            </w:r>
            <w:r>
              <w:rPr>
                <w:rFonts w:hint="eastAsia"/>
                <w:bCs/>
                <w:color w:val="auto"/>
                <w:kern w:val="0"/>
                <w:sz w:val="24"/>
                <w:szCs w:val="24"/>
                <w:highlight w:val="none"/>
              </w:rPr>
              <w:t>产业升级合作示范基地</w:t>
            </w:r>
            <w:r>
              <w:rPr>
                <w:rFonts w:hint="eastAsia"/>
                <w:bCs/>
                <w:color w:val="auto"/>
                <w:kern w:val="0"/>
                <w:sz w:val="24"/>
                <w:szCs w:val="24"/>
                <w:highlight w:val="none"/>
                <w:lang w:eastAsia="zh-CN"/>
              </w:rPr>
              <w:t>”</w:t>
            </w:r>
            <w:r>
              <w:rPr>
                <w:rFonts w:hint="eastAsia"/>
                <w:bCs/>
                <w:color w:val="auto"/>
                <w:kern w:val="0"/>
                <w:sz w:val="24"/>
                <w:szCs w:val="24"/>
                <w:highlight w:val="none"/>
              </w:rPr>
              <w:t>的引领作用，促进区域协调发展。全面实施</w:t>
            </w:r>
            <w:r>
              <w:rPr>
                <w:rFonts w:hint="eastAsia"/>
                <w:bCs/>
                <w:color w:val="auto"/>
                <w:kern w:val="0"/>
                <w:sz w:val="24"/>
                <w:szCs w:val="24"/>
                <w:highlight w:val="none"/>
                <w:lang w:eastAsia="zh-CN"/>
              </w:rPr>
              <w:t>“</w:t>
            </w:r>
            <w:r>
              <w:rPr>
                <w:rFonts w:hint="eastAsia"/>
                <w:bCs/>
                <w:color w:val="auto"/>
                <w:kern w:val="0"/>
                <w:sz w:val="24"/>
                <w:szCs w:val="24"/>
                <w:highlight w:val="none"/>
              </w:rPr>
              <w:t>强工业、重创新、优人居、惠民生</w:t>
            </w:r>
            <w:r>
              <w:rPr>
                <w:rFonts w:hint="eastAsia"/>
                <w:bCs/>
                <w:color w:val="auto"/>
                <w:kern w:val="0"/>
                <w:sz w:val="24"/>
                <w:szCs w:val="24"/>
                <w:highlight w:val="none"/>
                <w:lang w:eastAsia="zh-CN"/>
              </w:rPr>
              <w:t>”</w:t>
            </w:r>
            <w:r>
              <w:rPr>
                <w:rFonts w:hint="eastAsia"/>
                <w:bCs/>
                <w:color w:val="auto"/>
                <w:kern w:val="0"/>
                <w:sz w:val="24"/>
                <w:szCs w:val="24"/>
                <w:highlight w:val="none"/>
              </w:rPr>
              <w:t>四大战略，将片区建设成为社会和谐，创新增长，城乡协调，全面发展的现代化片区。</w:t>
            </w:r>
          </w:p>
          <w:p w14:paraId="7AA9F73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bCs/>
                <w:color w:val="auto"/>
                <w:kern w:val="0"/>
                <w:sz w:val="24"/>
                <w:szCs w:val="24"/>
                <w:highlight w:val="none"/>
              </w:rPr>
            </w:pPr>
            <w:r>
              <w:rPr>
                <w:rFonts w:hint="eastAsia"/>
                <w:bCs/>
                <w:color w:val="auto"/>
                <w:kern w:val="0"/>
                <w:sz w:val="24"/>
                <w:szCs w:val="24"/>
                <w:highlight w:val="none"/>
              </w:rPr>
              <w:t>突出高水平合作、高起点规划、高标准建设、高质量发展，用改革的办法、创新的思维和市场化的手段，探索构建长期稳定、持续高效、互利共赢的管理体制机制，加快推动开发建设，大力培育新动能、激发新活力、塑造新优势，把规划区打造成为跨区合作新样板、创新发展新引擎、城市建设新地标、生态提升新典范、社会治理新标杆，成为苏州工业园区全面建成世界一流高科技园区的有机组成部分，为苏州全域合作、协同发展勇探新路树立典范。</w:t>
            </w:r>
          </w:p>
          <w:p w14:paraId="1B12A04A">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default"/>
                <w:b/>
                <w:bCs/>
                <w:color w:val="auto"/>
                <w:kern w:val="0"/>
                <w:sz w:val="24"/>
                <w:szCs w:val="24"/>
                <w:highlight w:val="none"/>
                <w:lang w:val="en-US"/>
              </w:rPr>
            </w:pPr>
            <w:r>
              <w:rPr>
                <w:rFonts w:hint="eastAsia"/>
                <w:b/>
                <w:bCs/>
                <w:color w:val="auto"/>
                <w:kern w:val="0"/>
                <w:sz w:val="24"/>
                <w:szCs w:val="24"/>
                <w:highlight w:val="none"/>
                <w:lang w:val="en-US" w:eastAsia="zh-CN"/>
              </w:rPr>
              <w:t>1.4  片区定位</w:t>
            </w:r>
          </w:p>
          <w:p w14:paraId="52371FA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bCs/>
                <w:color w:val="auto"/>
                <w:kern w:val="0"/>
                <w:sz w:val="24"/>
                <w:szCs w:val="24"/>
                <w:highlight w:val="none"/>
              </w:rPr>
            </w:pPr>
            <w:r>
              <w:rPr>
                <w:rFonts w:hint="eastAsia"/>
                <w:bCs/>
                <w:color w:val="auto"/>
                <w:kern w:val="0"/>
                <w:sz w:val="24"/>
                <w:szCs w:val="24"/>
                <w:highlight w:val="none"/>
              </w:rPr>
              <w:t>构建立足长三角经济圈、辐射全国的高端产业之区；体现典型江南水乡特色的环湖生态之区；促进创新型增长、建设宜居家园的和谐幸福之区。</w:t>
            </w:r>
          </w:p>
          <w:p w14:paraId="3722A879">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eastAsia="宋体"/>
                <w:b/>
                <w:bCs/>
                <w:color w:val="auto"/>
                <w:kern w:val="0"/>
                <w:sz w:val="24"/>
                <w:szCs w:val="24"/>
                <w:highlight w:val="none"/>
                <w:lang w:val="en-US" w:eastAsia="zh-CN"/>
              </w:rPr>
            </w:pPr>
            <w:r>
              <w:rPr>
                <w:rFonts w:hint="eastAsia"/>
                <w:b/>
                <w:bCs/>
                <w:color w:val="auto"/>
                <w:kern w:val="0"/>
                <w:sz w:val="24"/>
                <w:szCs w:val="24"/>
                <w:highlight w:val="none"/>
                <w:lang w:val="en-US" w:eastAsia="zh-CN"/>
              </w:rPr>
              <w:t xml:space="preserve">1.5  </w:t>
            </w:r>
            <w:r>
              <w:rPr>
                <w:rFonts w:hint="eastAsia"/>
                <w:b/>
                <w:bCs/>
                <w:color w:val="auto"/>
                <w:kern w:val="0"/>
                <w:sz w:val="24"/>
                <w:szCs w:val="24"/>
                <w:highlight w:val="none"/>
              </w:rPr>
              <w:t>空间布局</w:t>
            </w:r>
            <w:r>
              <w:rPr>
                <w:rFonts w:hint="eastAsia"/>
                <w:b/>
                <w:bCs/>
                <w:color w:val="auto"/>
                <w:kern w:val="0"/>
                <w:sz w:val="24"/>
                <w:szCs w:val="24"/>
                <w:highlight w:val="none"/>
                <w:lang w:val="en-US" w:eastAsia="zh-CN"/>
              </w:rPr>
              <w:t>结构</w:t>
            </w:r>
          </w:p>
          <w:p w14:paraId="4450C3D8">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eastAsia="宋体"/>
                <w:bCs/>
                <w:color w:val="auto"/>
                <w:kern w:val="0"/>
                <w:sz w:val="24"/>
                <w:szCs w:val="24"/>
                <w:highlight w:val="none"/>
                <w:lang w:val="en-US" w:eastAsia="zh-CN"/>
              </w:rPr>
            </w:pPr>
            <w:r>
              <w:rPr>
                <w:rFonts w:hint="eastAsia"/>
                <w:b/>
                <w:bCs/>
                <w:color w:val="auto"/>
                <w:kern w:val="0"/>
                <w:sz w:val="24"/>
                <w:szCs w:val="24"/>
                <w:highlight w:val="none"/>
                <w:lang w:eastAsia="zh-CN"/>
              </w:rPr>
              <w:t>（</w:t>
            </w:r>
            <w:r>
              <w:rPr>
                <w:rFonts w:hint="eastAsia"/>
                <w:b/>
                <w:bCs/>
                <w:color w:val="auto"/>
                <w:kern w:val="0"/>
                <w:sz w:val="24"/>
                <w:szCs w:val="24"/>
                <w:highlight w:val="none"/>
                <w:lang w:val="en-US" w:eastAsia="zh-CN"/>
              </w:rPr>
              <w:t>1</w:t>
            </w:r>
            <w:r>
              <w:rPr>
                <w:rFonts w:hint="eastAsia"/>
                <w:b/>
                <w:bCs/>
                <w:color w:val="auto"/>
                <w:kern w:val="0"/>
                <w:sz w:val="24"/>
                <w:szCs w:val="24"/>
                <w:highlight w:val="none"/>
                <w:lang w:eastAsia="zh-CN"/>
              </w:rPr>
              <w:t>）澄</w:t>
            </w:r>
            <w:r>
              <w:rPr>
                <w:rFonts w:hint="eastAsia"/>
                <w:b/>
                <w:bCs/>
                <w:color w:val="auto"/>
                <w:kern w:val="0"/>
                <w:sz w:val="24"/>
                <w:szCs w:val="24"/>
                <w:highlight w:val="none"/>
                <w:lang w:val="en-US" w:eastAsia="zh-CN"/>
              </w:rPr>
              <w:t>阳片区</w:t>
            </w:r>
          </w:p>
          <w:p w14:paraId="0C6A2E9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澄阳片区以安元路为界，规划形成</w:t>
            </w:r>
            <w:r>
              <w:rPr>
                <w:rFonts w:hint="eastAsia"/>
                <w:bCs/>
                <w:color w:val="auto"/>
                <w:kern w:val="0"/>
                <w:sz w:val="24"/>
                <w:szCs w:val="24"/>
                <w:highlight w:val="none"/>
                <w:lang w:eastAsia="zh-CN"/>
              </w:rPr>
              <w:t>“</w:t>
            </w:r>
            <w:r>
              <w:rPr>
                <w:rFonts w:hint="eastAsia"/>
                <w:bCs/>
                <w:color w:val="auto"/>
                <w:kern w:val="0"/>
                <w:sz w:val="24"/>
                <w:szCs w:val="24"/>
                <w:highlight w:val="none"/>
              </w:rPr>
              <w:t>南北两片</w:t>
            </w:r>
            <w:r>
              <w:rPr>
                <w:rFonts w:hint="eastAsia"/>
                <w:bCs/>
                <w:color w:val="auto"/>
                <w:kern w:val="0"/>
                <w:sz w:val="24"/>
                <w:szCs w:val="24"/>
                <w:highlight w:val="none"/>
                <w:lang w:eastAsia="zh-CN"/>
              </w:rPr>
              <w:t>”</w:t>
            </w:r>
            <w:r>
              <w:rPr>
                <w:rFonts w:hint="eastAsia"/>
                <w:bCs/>
                <w:color w:val="auto"/>
                <w:kern w:val="0"/>
                <w:sz w:val="24"/>
                <w:szCs w:val="24"/>
                <w:highlight w:val="none"/>
              </w:rPr>
              <w:t>的空间布局结构。</w:t>
            </w:r>
          </w:p>
          <w:p w14:paraId="437465D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lang w:val="en-US" w:eastAsia="zh-CN"/>
              </w:rPr>
              <w:t>1）</w:t>
            </w:r>
            <w:r>
              <w:rPr>
                <w:rFonts w:hint="eastAsia"/>
                <w:bCs/>
                <w:color w:val="auto"/>
                <w:kern w:val="0"/>
                <w:sz w:val="24"/>
                <w:szCs w:val="24"/>
                <w:highlight w:val="none"/>
              </w:rPr>
              <w:t>阳澄湖研发创业片区：位于安元路以北，以工业发展为基础，集研发孵化、生活休闲功能为一体，协同创新、产城融合的综合型产业社区。</w:t>
            </w:r>
          </w:p>
          <w:p w14:paraId="00EDD70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bCs/>
                <w:color w:val="auto"/>
                <w:kern w:val="0"/>
                <w:sz w:val="24"/>
                <w:szCs w:val="24"/>
                <w:highlight w:val="none"/>
              </w:rPr>
            </w:pPr>
            <w:r>
              <w:rPr>
                <w:rFonts w:hint="eastAsia"/>
                <w:bCs/>
                <w:color w:val="auto"/>
                <w:kern w:val="0"/>
                <w:sz w:val="24"/>
                <w:szCs w:val="24"/>
                <w:highlight w:val="none"/>
                <w:lang w:val="en-US" w:eastAsia="zh-CN"/>
              </w:rPr>
              <w:t>2）</w:t>
            </w:r>
            <w:r>
              <w:rPr>
                <w:rFonts w:hint="eastAsia"/>
                <w:bCs/>
                <w:color w:val="auto"/>
                <w:kern w:val="0"/>
                <w:sz w:val="24"/>
                <w:szCs w:val="24"/>
                <w:highlight w:val="none"/>
              </w:rPr>
              <w:t>城东生活服务片：位于安元路以南，以居住、公共服务功能为主，形成综合性生活服务片区。</w:t>
            </w:r>
          </w:p>
          <w:p w14:paraId="22770978">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b/>
                <w:bCs/>
                <w:color w:val="auto"/>
                <w:kern w:val="0"/>
                <w:sz w:val="24"/>
                <w:szCs w:val="24"/>
                <w:highlight w:val="none"/>
              </w:rPr>
            </w:pPr>
            <w:r>
              <w:rPr>
                <w:rFonts w:hint="eastAsia"/>
                <w:b/>
                <w:bCs/>
                <w:color w:val="auto"/>
                <w:kern w:val="0"/>
                <w:sz w:val="24"/>
                <w:szCs w:val="24"/>
                <w:highlight w:val="none"/>
                <w:lang w:eastAsia="zh-CN"/>
              </w:rPr>
              <w:t>（</w:t>
            </w:r>
            <w:r>
              <w:rPr>
                <w:rFonts w:hint="eastAsia"/>
                <w:b/>
                <w:bCs/>
                <w:color w:val="auto"/>
                <w:kern w:val="0"/>
                <w:sz w:val="24"/>
                <w:szCs w:val="24"/>
                <w:highlight w:val="none"/>
                <w:lang w:val="en-US" w:eastAsia="zh-CN"/>
              </w:rPr>
              <w:t>2</w:t>
            </w:r>
            <w:r>
              <w:rPr>
                <w:rFonts w:hint="eastAsia"/>
                <w:b/>
                <w:bCs/>
                <w:color w:val="auto"/>
                <w:kern w:val="0"/>
                <w:sz w:val="24"/>
                <w:szCs w:val="24"/>
                <w:highlight w:val="none"/>
                <w:lang w:eastAsia="zh-CN"/>
              </w:rPr>
              <w:t>）</w:t>
            </w:r>
            <w:r>
              <w:rPr>
                <w:rFonts w:hint="eastAsia"/>
                <w:b/>
                <w:bCs/>
                <w:color w:val="auto"/>
                <w:kern w:val="0"/>
                <w:sz w:val="24"/>
                <w:szCs w:val="24"/>
                <w:highlight w:val="none"/>
                <w:lang w:val="en-US" w:eastAsia="zh-CN"/>
              </w:rPr>
              <w:t>环漕湖片区</w:t>
            </w:r>
          </w:p>
          <w:p w14:paraId="7C9601B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整个片区规划形成“一廊八片”的空间布局结构，其中冶长泾以南为苏相合作区范围。</w:t>
            </w:r>
          </w:p>
          <w:p w14:paraId="3D9BCC3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1）“一廊”：“双湖”生态廊道依托漕湖优质生态资源，向北与无锡的鹅真荡、向南与相城中心城区生态绿核联结，共同形成以生态湿地、森林公园为主要形式的区域性生态廊道。</w:t>
            </w:r>
          </w:p>
          <w:p w14:paraId="31E91B7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2）“八片”：环漕湖生态休闲商务片区、苏相现代产业园、漕湖城镇综合功能区、北桥城镇综合功能片区、智能制造产业园、灵峰产业园、生态农业观光区、漕湖田园综合体。</w:t>
            </w:r>
          </w:p>
          <w:p w14:paraId="08AFAF7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a.环漕湖生态休闲商务片区：依托滨水优质生态资源，通过自然生态岸线将休闲商业设施、高档商务办公、创智研发等有机串联而成。</w:t>
            </w:r>
          </w:p>
          <w:p w14:paraId="7F32931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b.苏相现代产业园：分为南北两个片区。南区位于漕湖以南、苏虞张公路西侧地区，是地区层面产业升级、合作示范的主要高端产业承载空间。北区位于北桥东，位于广济北路以东、苏虞张公路两侧地区，主要为智能制造产业承载空间。</w:t>
            </w:r>
          </w:p>
          <w:p w14:paraId="03013DB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c.漕湖城镇综合功能片区：位于规划区东南部，形成为苏相合作区配套的生活服务性居住片区。</w:t>
            </w:r>
          </w:p>
          <w:p w14:paraId="2C8FF8A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d.北桥城镇综合功能片区：位于规划区中部，依托原北桥老镇区向南发展，形成新老镇区连片整体发展的格局。集中发展城镇建设用地，重点完善各类公共设施配套。</w:t>
            </w:r>
          </w:p>
          <w:p w14:paraId="0654176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e.智能制造产业园：位于东部区域的庄基石桥片区，总体以高端智能制造为主发展创新集群，承接高铁新城智能产业研发成果落地。</w:t>
            </w:r>
          </w:p>
          <w:p w14:paraId="5ACE729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f.灵峰产业园：位于北部区域，在现有产业基础上，进行产业的提档升级，引导向高端智能制造发展。</w:t>
            </w:r>
          </w:p>
          <w:p w14:paraId="6512DFA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g.生态农业观光区：位于北部和西南区域，发展为集农业生产、科教、游览功能于一体的高产、高效、优质的生态农业观光区。</w:t>
            </w:r>
          </w:p>
          <w:p w14:paraId="63CB4F7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eastAsia"/>
                <w:bCs/>
                <w:color w:val="auto"/>
                <w:kern w:val="0"/>
                <w:sz w:val="24"/>
                <w:szCs w:val="24"/>
                <w:highlight w:val="none"/>
                <w:lang w:val="en-US" w:eastAsia="zh-CN"/>
              </w:rPr>
              <w:t>h.漕湖田园综合体：整合漕湖与鹅真荡生态资源，开发农业观光、休闲和体验等功能的基础性资源，引入租赁、代养、采摘以及观光休闲等理念，推动智慧农业与旅游产业融合发展。</w:t>
            </w:r>
          </w:p>
          <w:p w14:paraId="4445B6A1">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b/>
                <w:bCs/>
                <w:color w:val="auto"/>
                <w:kern w:val="0"/>
                <w:sz w:val="24"/>
                <w:szCs w:val="24"/>
                <w:highlight w:val="none"/>
              </w:rPr>
            </w:pPr>
            <w:r>
              <w:rPr>
                <w:rFonts w:hint="eastAsia"/>
                <w:b/>
                <w:bCs/>
                <w:color w:val="auto"/>
                <w:kern w:val="0"/>
                <w:sz w:val="24"/>
                <w:szCs w:val="24"/>
                <w:highlight w:val="none"/>
              </w:rPr>
              <w:t>1.6  产业发展规划</w:t>
            </w:r>
          </w:p>
          <w:p w14:paraId="78B7BC97">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eastAsia" w:eastAsia="宋体"/>
                <w:b/>
                <w:bCs/>
                <w:color w:val="auto"/>
                <w:kern w:val="0"/>
                <w:sz w:val="24"/>
                <w:szCs w:val="24"/>
                <w:highlight w:val="none"/>
                <w:lang w:eastAsia="zh-CN"/>
              </w:rPr>
            </w:pPr>
            <w:r>
              <w:rPr>
                <w:rFonts w:hint="eastAsia"/>
                <w:b/>
                <w:bCs/>
                <w:color w:val="auto"/>
                <w:kern w:val="0"/>
                <w:sz w:val="24"/>
                <w:szCs w:val="24"/>
                <w:highlight w:val="none"/>
                <w:lang w:eastAsia="zh-CN"/>
              </w:rPr>
              <w:t>（</w:t>
            </w:r>
            <w:r>
              <w:rPr>
                <w:rFonts w:hint="eastAsia"/>
                <w:b/>
                <w:bCs/>
                <w:color w:val="auto"/>
                <w:kern w:val="0"/>
                <w:sz w:val="24"/>
                <w:szCs w:val="24"/>
                <w:highlight w:val="none"/>
                <w:lang w:val="en-US" w:eastAsia="zh-CN"/>
              </w:rPr>
              <w:t>1</w:t>
            </w:r>
            <w:r>
              <w:rPr>
                <w:rFonts w:hint="eastAsia"/>
                <w:b/>
                <w:bCs/>
                <w:color w:val="auto"/>
                <w:kern w:val="0"/>
                <w:sz w:val="24"/>
                <w:szCs w:val="24"/>
                <w:highlight w:val="none"/>
                <w:lang w:eastAsia="zh-CN"/>
              </w:rPr>
              <w:t>）</w:t>
            </w:r>
            <w:r>
              <w:rPr>
                <w:rFonts w:hint="eastAsia"/>
                <w:b/>
                <w:bCs/>
                <w:color w:val="auto"/>
                <w:kern w:val="0"/>
                <w:sz w:val="24"/>
                <w:szCs w:val="24"/>
                <w:highlight w:val="none"/>
              </w:rPr>
              <w:t>产业发展</w:t>
            </w:r>
            <w:r>
              <w:rPr>
                <w:rFonts w:hint="eastAsia"/>
                <w:b/>
                <w:bCs/>
                <w:color w:val="auto"/>
                <w:kern w:val="0"/>
                <w:sz w:val="24"/>
                <w:szCs w:val="24"/>
                <w:highlight w:val="none"/>
                <w:lang w:val="en-US" w:eastAsia="zh-CN"/>
              </w:rPr>
              <w:t>目标</w:t>
            </w:r>
          </w:p>
          <w:p w14:paraId="06B0D31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bCs/>
                <w:color w:val="auto"/>
                <w:kern w:val="0"/>
                <w:sz w:val="24"/>
                <w:szCs w:val="24"/>
                <w:highlight w:val="none"/>
              </w:rPr>
            </w:pPr>
            <w:r>
              <w:rPr>
                <w:rFonts w:hint="eastAsia"/>
                <w:bCs/>
                <w:color w:val="auto"/>
                <w:kern w:val="0"/>
                <w:sz w:val="24"/>
                <w:szCs w:val="24"/>
                <w:highlight w:val="none"/>
              </w:rPr>
              <w:t>以打造长三角科创发展</w:t>
            </w:r>
            <w:r>
              <w:rPr>
                <w:rFonts w:hint="eastAsia"/>
                <w:bCs/>
                <w:color w:val="auto"/>
                <w:kern w:val="0"/>
                <w:sz w:val="24"/>
                <w:szCs w:val="24"/>
                <w:highlight w:val="none"/>
                <w:lang w:eastAsia="zh-CN"/>
              </w:rPr>
              <w:t>“</w:t>
            </w:r>
            <w:r>
              <w:rPr>
                <w:rFonts w:hint="eastAsia"/>
                <w:bCs/>
                <w:color w:val="auto"/>
                <w:kern w:val="0"/>
                <w:sz w:val="24"/>
                <w:szCs w:val="24"/>
                <w:highlight w:val="none"/>
              </w:rPr>
              <w:t>最美窗口</w:t>
            </w:r>
            <w:r>
              <w:rPr>
                <w:rFonts w:hint="eastAsia"/>
                <w:bCs/>
                <w:color w:val="auto"/>
                <w:kern w:val="0"/>
                <w:sz w:val="24"/>
                <w:szCs w:val="24"/>
                <w:highlight w:val="none"/>
                <w:lang w:eastAsia="zh-CN"/>
              </w:rPr>
              <w:t>”</w:t>
            </w:r>
            <w:r>
              <w:rPr>
                <w:rFonts w:hint="eastAsia"/>
                <w:bCs/>
                <w:color w:val="auto"/>
                <w:kern w:val="0"/>
                <w:sz w:val="24"/>
                <w:szCs w:val="24"/>
                <w:highlight w:val="none"/>
              </w:rPr>
              <w:t>为目标，相城经开区正推动</w:t>
            </w:r>
            <w:r>
              <w:rPr>
                <w:rFonts w:hint="eastAsia"/>
                <w:bCs/>
                <w:color w:val="auto"/>
                <w:kern w:val="0"/>
                <w:sz w:val="24"/>
                <w:szCs w:val="24"/>
                <w:highlight w:val="none"/>
                <w:lang w:eastAsia="zh-CN"/>
              </w:rPr>
              <w:t>“</w:t>
            </w:r>
            <w:r>
              <w:rPr>
                <w:rFonts w:hint="eastAsia"/>
                <w:bCs/>
                <w:color w:val="auto"/>
                <w:kern w:val="0"/>
                <w:sz w:val="24"/>
                <w:szCs w:val="24"/>
                <w:highlight w:val="none"/>
              </w:rPr>
              <w:t>产、城、人</w:t>
            </w:r>
            <w:r>
              <w:rPr>
                <w:rFonts w:hint="eastAsia"/>
                <w:bCs/>
                <w:color w:val="auto"/>
                <w:kern w:val="0"/>
                <w:sz w:val="24"/>
                <w:szCs w:val="24"/>
                <w:highlight w:val="none"/>
                <w:lang w:eastAsia="zh-CN"/>
              </w:rPr>
              <w:t>”</w:t>
            </w:r>
            <w:r>
              <w:rPr>
                <w:rFonts w:hint="eastAsia"/>
                <w:bCs/>
                <w:color w:val="auto"/>
                <w:kern w:val="0"/>
                <w:sz w:val="24"/>
                <w:szCs w:val="24"/>
                <w:highlight w:val="none"/>
              </w:rPr>
              <w:t>深度融合发展，布局以</w:t>
            </w:r>
            <w:r>
              <w:rPr>
                <w:rFonts w:hint="eastAsia"/>
                <w:bCs/>
                <w:color w:val="auto"/>
                <w:kern w:val="0"/>
                <w:sz w:val="24"/>
                <w:szCs w:val="24"/>
                <w:highlight w:val="none"/>
                <w:lang w:eastAsia="zh-CN"/>
              </w:rPr>
              <w:t>“</w:t>
            </w:r>
            <w:r>
              <w:rPr>
                <w:rFonts w:hint="eastAsia"/>
                <w:bCs/>
                <w:color w:val="auto"/>
                <w:kern w:val="0"/>
                <w:sz w:val="24"/>
                <w:szCs w:val="24"/>
                <w:highlight w:val="none"/>
              </w:rPr>
              <w:t>工业互联网、智能制造</w:t>
            </w:r>
            <w:r>
              <w:rPr>
                <w:rFonts w:hint="eastAsia"/>
                <w:bCs/>
                <w:color w:val="auto"/>
                <w:kern w:val="0"/>
                <w:sz w:val="24"/>
                <w:szCs w:val="24"/>
                <w:highlight w:val="none"/>
                <w:lang w:eastAsia="zh-CN"/>
              </w:rPr>
              <w:t>”</w:t>
            </w:r>
            <w:r>
              <w:rPr>
                <w:rFonts w:hint="eastAsia"/>
                <w:bCs/>
                <w:color w:val="auto"/>
                <w:kern w:val="0"/>
                <w:sz w:val="24"/>
                <w:szCs w:val="24"/>
                <w:highlight w:val="none"/>
              </w:rPr>
              <w:t>为先导，以</w:t>
            </w:r>
            <w:r>
              <w:rPr>
                <w:rFonts w:hint="eastAsia"/>
                <w:bCs/>
                <w:color w:val="auto"/>
                <w:kern w:val="0"/>
                <w:sz w:val="24"/>
                <w:szCs w:val="24"/>
                <w:highlight w:val="none"/>
                <w:lang w:eastAsia="zh-CN"/>
              </w:rPr>
              <w:t>“</w:t>
            </w:r>
            <w:r>
              <w:rPr>
                <w:rFonts w:hint="eastAsia"/>
                <w:bCs/>
                <w:color w:val="auto"/>
                <w:kern w:val="0"/>
                <w:sz w:val="24"/>
                <w:szCs w:val="24"/>
                <w:highlight w:val="none"/>
              </w:rPr>
              <w:t>新一代信息技术、高端装备制造、新材料、生命健康为核心优势产业</w:t>
            </w:r>
            <w:r>
              <w:rPr>
                <w:rFonts w:hint="eastAsia"/>
                <w:bCs/>
                <w:color w:val="auto"/>
                <w:kern w:val="0"/>
                <w:sz w:val="24"/>
                <w:szCs w:val="24"/>
                <w:highlight w:val="none"/>
                <w:lang w:eastAsia="zh-CN"/>
              </w:rPr>
              <w:t>”</w:t>
            </w:r>
            <w:r>
              <w:rPr>
                <w:rFonts w:hint="eastAsia"/>
                <w:bCs/>
                <w:color w:val="auto"/>
                <w:kern w:val="0"/>
                <w:sz w:val="24"/>
                <w:szCs w:val="24"/>
                <w:highlight w:val="none"/>
              </w:rPr>
              <w:t>为核心，以及现代商贸服务、现代综合农业等X个突破产业的</w:t>
            </w:r>
            <w:r>
              <w:rPr>
                <w:rFonts w:hint="eastAsia"/>
                <w:bCs/>
                <w:color w:val="auto"/>
                <w:kern w:val="0"/>
                <w:sz w:val="24"/>
                <w:szCs w:val="24"/>
                <w:highlight w:val="none"/>
                <w:lang w:eastAsia="zh-CN"/>
              </w:rPr>
              <w:t>“</w:t>
            </w:r>
            <w:r>
              <w:rPr>
                <w:rFonts w:hint="eastAsia"/>
                <w:bCs/>
                <w:color w:val="auto"/>
                <w:kern w:val="0"/>
                <w:sz w:val="24"/>
                <w:szCs w:val="24"/>
                <w:highlight w:val="none"/>
              </w:rPr>
              <w:t>6+X</w:t>
            </w:r>
            <w:r>
              <w:rPr>
                <w:rFonts w:hint="eastAsia"/>
                <w:bCs/>
                <w:color w:val="auto"/>
                <w:kern w:val="0"/>
                <w:sz w:val="24"/>
                <w:szCs w:val="24"/>
                <w:highlight w:val="none"/>
                <w:lang w:eastAsia="zh-CN"/>
              </w:rPr>
              <w:t>”</w:t>
            </w:r>
            <w:r>
              <w:rPr>
                <w:rFonts w:hint="eastAsia"/>
                <w:bCs/>
                <w:color w:val="auto"/>
                <w:kern w:val="0"/>
                <w:sz w:val="24"/>
                <w:szCs w:val="24"/>
                <w:highlight w:val="none"/>
              </w:rPr>
              <w:t>产业布局，把区位优势、资源禀赋转化成创新优势、发展优势。</w:t>
            </w:r>
          </w:p>
          <w:p w14:paraId="575E783D">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eastAsia" w:eastAsia="宋体"/>
                <w:b/>
                <w:bCs/>
                <w:color w:val="auto"/>
                <w:kern w:val="0"/>
                <w:sz w:val="24"/>
                <w:szCs w:val="24"/>
                <w:highlight w:val="none"/>
                <w:lang w:val="en-US" w:eastAsia="zh-CN"/>
              </w:rPr>
            </w:pPr>
            <w:r>
              <w:rPr>
                <w:rFonts w:hint="eastAsia"/>
                <w:b/>
                <w:bCs/>
                <w:color w:val="auto"/>
                <w:kern w:val="0"/>
                <w:sz w:val="24"/>
                <w:szCs w:val="24"/>
                <w:highlight w:val="none"/>
                <w:lang w:eastAsia="zh-CN"/>
              </w:rPr>
              <w:t>（</w:t>
            </w:r>
            <w:r>
              <w:rPr>
                <w:rFonts w:hint="eastAsia"/>
                <w:b/>
                <w:bCs/>
                <w:color w:val="auto"/>
                <w:kern w:val="0"/>
                <w:sz w:val="24"/>
                <w:szCs w:val="24"/>
                <w:highlight w:val="none"/>
                <w:lang w:val="en-US" w:eastAsia="zh-CN"/>
              </w:rPr>
              <w:t>2</w:t>
            </w:r>
            <w:r>
              <w:rPr>
                <w:rFonts w:hint="eastAsia"/>
                <w:b/>
                <w:bCs/>
                <w:color w:val="auto"/>
                <w:kern w:val="0"/>
                <w:sz w:val="24"/>
                <w:szCs w:val="24"/>
                <w:highlight w:val="none"/>
                <w:lang w:eastAsia="zh-CN"/>
              </w:rPr>
              <w:t>）</w:t>
            </w:r>
            <w:r>
              <w:rPr>
                <w:rFonts w:hint="eastAsia"/>
                <w:b/>
                <w:bCs/>
                <w:color w:val="auto"/>
                <w:kern w:val="0"/>
                <w:sz w:val="24"/>
                <w:szCs w:val="24"/>
                <w:highlight w:val="none"/>
              </w:rPr>
              <w:t>产业</w:t>
            </w:r>
            <w:r>
              <w:rPr>
                <w:rFonts w:hint="eastAsia"/>
                <w:b/>
                <w:bCs/>
                <w:color w:val="auto"/>
                <w:kern w:val="0"/>
                <w:sz w:val="24"/>
                <w:szCs w:val="24"/>
                <w:highlight w:val="none"/>
                <w:lang w:val="en-US" w:eastAsia="zh-CN"/>
              </w:rPr>
              <w:t>定位</w:t>
            </w:r>
          </w:p>
          <w:p w14:paraId="6BF6092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lang w:val="en-US" w:eastAsia="zh-CN"/>
              </w:rPr>
              <w:t>1）</w:t>
            </w:r>
            <w:r>
              <w:rPr>
                <w:rFonts w:hint="eastAsia"/>
                <w:bCs/>
                <w:color w:val="auto"/>
                <w:kern w:val="0"/>
                <w:sz w:val="24"/>
                <w:szCs w:val="24"/>
                <w:highlight w:val="none"/>
              </w:rPr>
              <w:t>以</w:t>
            </w:r>
            <w:r>
              <w:rPr>
                <w:rFonts w:hint="eastAsia"/>
                <w:bCs/>
                <w:color w:val="auto"/>
                <w:kern w:val="0"/>
                <w:sz w:val="24"/>
                <w:szCs w:val="24"/>
                <w:highlight w:val="none"/>
                <w:lang w:eastAsia="zh-CN"/>
              </w:rPr>
              <w:t>“</w:t>
            </w:r>
            <w:r>
              <w:rPr>
                <w:rFonts w:hint="eastAsia"/>
                <w:bCs/>
                <w:color w:val="auto"/>
                <w:kern w:val="0"/>
                <w:sz w:val="24"/>
                <w:szCs w:val="24"/>
                <w:highlight w:val="none"/>
              </w:rPr>
              <w:t>四大核心、两大先导</w:t>
            </w:r>
            <w:r>
              <w:rPr>
                <w:rFonts w:hint="eastAsia"/>
                <w:bCs/>
                <w:color w:val="auto"/>
                <w:kern w:val="0"/>
                <w:sz w:val="24"/>
                <w:szCs w:val="24"/>
                <w:highlight w:val="none"/>
                <w:lang w:eastAsia="zh-CN"/>
              </w:rPr>
              <w:t>”</w:t>
            </w:r>
            <w:r>
              <w:rPr>
                <w:rFonts w:hint="eastAsia"/>
                <w:bCs/>
                <w:color w:val="auto"/>
                <w:kern w:val="0"/>
                <w:sz w:val="24"/>
                <w:szCs w:val="24"/>
                <w:highlight w:val="none"/>
              </w:rPr>
              <w:t>六类产业为主导</w:t>
            </w:r>
          </w:p>
          <w:p w14:paraId="3F9A402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充分发挥区位条件、资源禀赋优势，以创新为动力，以市场为导向，积极承接苏州工业园区产业转移，按照产业集聚的原则，突出资源和能源的节约集约利用，构建</w:t>
            </w:r>
            <w:r>
              <w:rPr>
                <w:rFonts w:hint="eastAsia"/>
                <w:bCs/>
                <w:color w:val="auto"/>
                <w:kern w:val="0"/>
                <w:sz w:val="24"/>
                <w:szCs w:val="24"/>
                <w:highlight w:val="none"/>
                <w:lang w:eastAsia="zh-CN"/>
              </w:rPr>
              <w:t>“</w:t>
            </w:r>
            <w:r>
              <w:rPr>
                <w:rFonts w:hint="eastAsia"/>
                <w:bCs/>
                <w:color w:val="auto"/>
                <w:kern w:val="0"/>
                <w:sz w:val="24"/>
                <w:szCs w:val="24"/>
                <w:highlight w:val="none"/>
              </w:rPr>
              <w:t>四大核心、两大先导</w:t>
            </w:r>
            <w:r>
              <w:rPr>
                <w:rFonts w:hint="eastAsia"/>
                <w:bCs/>
                <w:color w:val="auto"/>
                <w:kern w:val="0"/>
                <w:sz w:val="24"/>
                <w:szCs w:val="24"/>
                <w:highlight w:val="none"/>
                <w:lang w:eastAsia="zh-CN"/>
              </w:rPr>
              <w:t>”</w:t>
            </w:r>
            <w:r>
              <w:rPr>
                <w:rFonts w:hint="eastAsia"/>
                <w:bCs/>
                <w:color w:val="auto"/>
                <w:kern w:val="0"/>
                <w:sz w:val="24"/>
                <w:szCs w:val="24"/>
                <w:highlight w:val="none"/>
              </w:rPr>
              <w:t>的现代产业格局，即以新一代信息技术、高端装备制造、新材料、生命健康为核心优势产业，以工业互联网、智能制造为先导产业。</w:t>
            </w:r>
          </w:p>
          <w:p w14:paraId="67673D1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四大核心优势产业</w:t>
            </w:r>
          </w:p>
          <w:p w14:paraId="0063DFD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a.新一代电子信息产业</w:t>
            </w:r>
          </w:p>
          <w:p w14:paraId="2FF76B7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细分领域为：智能家电、智能家居、卫星导航与位置服务、柔性电子作为前沿领域予以重视；</w:t>
            </w:r>
          </w:p>
          <w:p w14:paraId="0F5975B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b.高端装备制造产业</w:t>
            </w:r>
          </w:p>
          <w:p w14:paraId="209C9AF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细分领域为：汽车零部件（汽车电子、车身内外饰、车身轻量化部件、新能源车关键零部件）、智能网联汽车关键零部件生产制造作为重点领域予以高度重视；</w:t>
            </w:r>
          </w:p>
          <w:p w14:paraId="0B8B474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c.新材料产业</w:t>
            </w:r>
          </w:p>
          <w:p w14:paraId="458B541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细分领域为：碳基复合材料、航空航天材料。</w:t>
            </w:r>
          </w:p>
          <w:p w14:paraId="7621B39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d.生命健康产业</w:t>
            </w:r>
          </w:p>
          <w:p w14:paraId="1F968C6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细分领域为：生物医药材料、生物技术服务如基因技术。</w:t>
            </w:r>
          </w:p>
          <w:p w14:paraId="78D50BF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两大先导产业</w:t>
            </w:r>
          </w:p>
          <w:p w14:paraId="451DFFA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a.工业互联网</w:t>
            </w:r>
          </w:p>
          <w:p w14:paraId="5C75DF9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细分领域为：工业软件、数据建模、工业大数据、设备资源管理、云基础设施等。</w:t>
            </w:r>
          </w:p>
          <w:p w14:paraId="6982C6E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b.智能制造</w:t>
            </w:r>
          </w:p>
          <w:p w14:paraId="5C68B63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细分领域为：系统集成商、智能装备、工业数据库和云计算等。</w:t>
            </w:r>
          </w:p>
          <w:p w14:paraId="4D44C07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eastAsia="宋体"/>
                <w:bCs/>
                <w:color w:val="auto"/>
                <w:kern w:val="0"/>
                <w:sz w:val="24"/>
                <w:szCs w:val="24"/>
                <w:highlight w:val="none"/>
                <w:lang w:eastAsia="zh-CN"/>
              </w:rPr>
            </w:pPr>
            <w:r>
              <w:rPr>
                <w:rFonts w:hint="eastAsia"/>
                <w:bCs/>
                <w:color w:val="auto"/>
                <w:kern w:val="0"/>
                <w:sz w:val="24"/>
                <w:szCs w:val="24"/>
                <w:highlight w:val="none"/>
                <w:lang w:val="en-US" w:eastAsia="zh-CN"/>
              </w:rPr>
              <w:t>2）</w:t>
            </w:r>
            <w:r>
              <w:rPr>
                <w:rFonts w:hint="eastAsia"/>
                <w:bCs/>
                <w:color w:val="auto"/>
                <w:kern w:val="0"/>
                <w:sz w:val="24"/>
                <w:szCs w:val="24"/>
                <w:highlight w:val="none"/>
              </w:rPr>
              <w:t>品牌名片产业</w:t>
            </w:r>
            <w:r>
              <w:rPr>
                <w:rFonts w:hint="eastAsia"/>
                <w:bCs/>
                <w:color w:val="auto"/>
                <w:kern w:val="0"/>
                <w:sz w:val="24"/>
                <w:szCs w:val="24"/>
                <w:highlight w:val="none"/>
                <w:lang w:eastAsia="zh-CN"/>
              </w:rPr>
              <w:t>“</w:t>
            </w:r>
            <w:r>
              <w:rPr>
                <w:rFonts w:hint="eastAsia"/>
                <w:bCs/>
                <w:color w:val="auto"/>
                <w:kern w:val="0"/>
                <w:sz w:val="24"/>
                <w:szCs w:val="24"/>
                <w:highlight w:val="none"/>
              </w:rPr>
              <w:t>X</w:t>
            </w:r>
            <w:r>
              <w:rPr>
                <w:rFonts w:hint="eastAsia"/>
                <w:bCs/>
                <w:color w:val="auto"/>
                <w:kern w:val="0"/>
                <w:sz w:val="24"/>
                <w:szCs w:val="24"/>
                <w:highlight w:val="none"/>
                <w:lang w:eastAsia="zh-CN"/>
              </w:rPr>
              <w:t>”</w:t>
            </w:r>
          </w:p>
          <w:p w14:paraId="580D1C9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重点打造现代服务业，作为产业发展配套和支撑协调发展。细分领域：金融服务业、科技服务业、软件与信息服务业、咨询与人力资源服务业等。</w:t>
            </w:r>
          </w:p>
          <w:p w14:paraId="5345C2C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推进数字金融、数字城市、航空航天等产业，作为新型产业发展链的补充领域。经开区将根据自身资源及区位优势，加快构建现代化全产业链条的新格局。</w:t>
            </w:r>
          </w:p>
          <w:p w14:paraId="24572EE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同时，因地制宜，发展现代综合农业。在北部的北桥街道建设生态农业示范园以及粮油生产为主的现代农业园，打造粮食、瓜果、蔬菜等绿色、无公害品牌农产品基地。</w:t>
            </w:r>
          </w:p>
          <w:p w14:paraId="53CCCAD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rPr>
            </w:pPr>
            <w:r>
              <w:rPr>
                <w:rFonts w:hint="eastAsia"/>
                <w:bCs/>
                <w:color w:val="auto"/>
                <w:kern w:val="0"/>
                <w:sz w:val="24"/>
                <w:szCs w:val="24"/>
                <w:highlight w:val="none"/>
              </w:rPr>
              <w:t>此外，部分有条件的农田转为开发农业观光、休闲和体验等功能的基础性资源，结合服务业，引入租赁、代养、采摘以及观光休闲等理念，为城市居民与农村交流、接触农业提供场所和机会。</w:t>
            </w:r>
          </w:p>
          <w:p w14:paraId="5F961309">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eastAsia"/>
                <w:bCs/>
                <w:color w:val="auto"/>
                <w:kern w:val="0"/>
                <w:sz w:val="24"/>
                <w:szCs w:val="24"/>
                <w:highlight w:val="none"/>
                <w:lang w:val="en-US" w:eastAsia="zh-CN"/>
              </w:rPr>
            </w:pPr>
            <w:r>
              <w:rPr>
                <w:rFonts w:hint="eastAsia"/>
                <w:b/>
                <w:bCs w:val="0"/>
                <w:color w:val="auto"/>
                <w:kern w:val="0"/>
                <w:sz w:val="24"/>
                <w:szCs w:val="24"/>
                <w:highlight w:val="none"/>
                <w:lang w:eastAsia="zh-CN"/>
              </w:rPr>
              <w:t>（</w:t>
            </w:r>
            <w:r>
              <w:rPr>
                <w:rFonts w:hint="eastAsia"/>
                <w:b/>
                <w:bCs w:val="0"/>
                <w:color w:val="auto"/>
                <w:kern w:val="0"/>
                <w:sz w:val="24"/>
                <w:szCs w:val="24"/>
                <w:highlight w:val="none"/>
                <w:lang w:val="en-US" w:eastAsia="zh-CN"/>
              </w:rPr>
              <w:t>3</w:t>
            </w:r>
            <w:r>
              <w:rPr>
                <w:rFonts w:hint="eastAsia"/>
                <w:b/>
                <w:bCs w:val="0"/>
                <w:color w:val="auto"/>
                <w:kern w:val="0"/>
                <w:sz w:val="24"/>
                <w:szCs w:val="24"/>
                <w:highlight w:val="none"/>
                <w:lang w:eastAsia="zh-CN"/>
              </w:rPr>
              <w:t>）</w:t>
            </w:r>
            <w:r>
              <w:rPr>
                <w:rFonts w:hint="eastAsia"/>
                <w:b/>
                <w:bCs w:val="0"/>
                <w:color w:val="auto"/>
                <w:kern w:val="0"/>
                <w:sz w:val="24"/>
                <w:szCs w:val="24"/>
                <w:highlight w:val="none"/>
                <w:lang w:val="en-US" w:eastAsia="zh-CN"/>
              </w:rPr>
              <w:t>产业空间布局</w:t>
            </w:r>
          </w:p>
          <w:p w14:paraId="5B5B3BB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在充分研究相城经开区发展条件及其承担的功能基础上，形成</w:t>
            </w:r>
            <w:r>
              <w:rPr>
                <w:rFonts w:hint="eastAsia"/>
                <w:bCs/>
                <w:color w:val="auto"/>
                <w:kern w:val="0"/>
                <w:sz w:val="24"/>
                <w:szCs w:val="24"/>
                <w:highlight w:val="none"/>
                <w:lang w:val="en-US" w:eastAsia="zh-CN"/>
              </w:rPr>
              <w:t>“</w:t>
            </w:r>
            <w:r>
              <w:rPr>
                <w:rFonts w:hint="default"/>
                <w:bCs/>
                <w:color w:val="auto"/>
                <w:kern w:val="0"/>
                <w:sz w:val="24"/>
                <w:szCs w:val="24"/>
                <w:highlight w:val="none"/>
                <w:lang w:val="en-US" w:eastAsia="zh-CN"/>
              </w:rPr>
              <w:t>一心、六园+田园综合体</w:t>
            </w:r>
            <w:r>
              <w:rPr>
                <w:rFonts w:hint="eastAsia"/>
                <w:bCs/>
                <w:color w:val="auto"/>
                <w:kern w:val="0"/>
                <w:sz w:val="24"/>
                <w:szCs w:val="24"/>
                <w:highlight w:val="none"/>
                <w:lang w:val="en-US" w:eastAsia="zh-CN"/>
              </w:rPr>
              <w:t>”</w:t>
            </w:r>
            <w:r>
              <w:rPr>
                <w:rFonts w:hint="default"/>
                <w:bCs/>
                <w:color w:val="auto"/>
                <w:kern w:val="0"/>
                <w:sz w:val="24"/>
                <w:szCs w:val="24"/>
                <w:highlight w:val="none"/>
                <w:lang w:val="en-US" w:eastAsia="zh-CN"/>
              </w:rPr>
              <w:t>的产业布局结构。</w:t>
            </w:r>
          </w:p>
          <w:p w14:paraId="40DBBEA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一心：漕湖中央商务区</w:t>
            </w:r>
          </w:p>
          <w:p w14:paraId="09623E4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东至环漕湖路、西至云开路、北至昌运路、南至漕湖，总用地面积约7.98平方公里。</w:t>
            </w:r>
          </w:p>
          <w:p w14:paraId="5184CCC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环漕湖区域是片区规划发展的中心区域，将漕湖中心建设成国际知名、国内一流的现代服务业和科研中心，形成立足苏相，辐射周边的科技、金融、会计、保险中心和企业地区总部办公为主导，服务片区和周边现代制造业的商旅区。</w:t>
            </w:r>
          </w:p>
          <w:p w14:paraId="425AF67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六园：苏相现代产业园（北区）、苏相现代产业园（南区）、智能制造产业园北片、智能制造产业园南片、阳澄湖研发产业园、灵峰产业园</w:t>
            </w:r>
          </w:p>
          <w:p w14:paraId="66BBEBF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eastAsia"/>
                <w:bCs/>
                <w:color w:val="auto"/>
                <w:kern w:val="0"/>
                <w:sz w:val="24"/>
                <w:szCs w:val="24"/>
                <w:highlight w:val="none"/>
                <w:lang w:val="en-US" w:eastAsia="zh-CN"/>
              </w:rPr>
              <w:t>1）</w:t>
            </w:r>
            <w:r>
              <w:rPr>
                <w:rFonts w:hint="default"/>
                <w:bCs/>
                <w:color w:val="auto"/>
                <w:kern w:val="0"/>
                <w:sz w:val="24"/>
                <w:szCs w:val="24"/>
                <w:highlight w:val="none"/>
                <w:lang w:val="en-US" w:eastAsia="zh-CN"/>
              </w:rPr>
              <w:t>苏相现代产业园（北区）</w:t>
            </w:r>
          </w:p>
          <w:p w14:paraId="03B4DA9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东至苏虞张公路、西至济北路、北至凤北公路、南至冶长泾，总用地面积约3.6平方公里。</w:t>
            </w:r>
          </w:p>
          <w:p w14:paraId="4AD2F56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a.定位目标</w:t>
            </w:r>
          </w:p>
          <w:p w14:paraId="2FC5759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位于北桥的现代产业园（北区）是合作区智能制造产业园。构建苏相现代产业园（北区）园中园模式，兼顾专业分工与产业聚集效应。</w:t>
            </w:r>
          </w:p>
          <w:p w14:paraId="0FDF9D8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b.功能布局</w:t>
            </w:r>
          </w:p>
          <w:p w14:paraId="3D7240B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在布局模式上，苏相现代产业园（北区）依据系统论，按其布局结构规划细分产业集群，形成以智能制造为主导产业，围绕该产业集群化发展的要求，大力推进产业链各环节龙头企业的产业集群，不断优化产业结构，实现对产业链的建链、延链、补链作用；加大招商引资力度，夯实产业发展基础，优化政策环境，搞好配套服务，使得工业园区企业集中度明显提高，产业集聚度有所增强，集群化发展趋势初步显现。</w:t>
            </w:r>
          </w:p>
          <w:p w14:paraId="51CF001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eastAsia"/>
                <w:bCs/>
                <w:color w:val="auto"/>
                <w:kern w:val="0"/>
                <w:sz w:val="24"/>
                <w:szCs w:val="24"/>
                <w:highlight w:val="none"/>
                <w:lang w:val="en-US" w:eastAsia="zh-CN"/>
              </w:rPr>
              <w:t>2）</w:t>
            </w:r>
            <w:r>
              <w:rPr>
                <w:rFonts w:hint="default"/>
                <w:bCs/>
                <w:color w:val="auto"/>
                <w:kern w:val="0"/>
                <w:sz w:val="24"/>
                <w:szCs w:val="24"/>
                <w:highlight w:val="none"/>
                <w:lang w:val="en-US" w:eastAsia="zh-CN"/>
              </w:rPr>
              <w:t>苏相现代产业园（南区）</w:t>
            </w:r>
          </w:p>
          <w:p w14:paraId="7FA1886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东至石港路、西至望虞河、北至绕城高速、南至南天成路，总用地面积约10平方公里。</w:t>
            </w:r>
          </w:p>
          <w:p w14:paraId="3336FB7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a.定位目标</w:t>
            </w:r>
          </w:p>
          <w:p w14:paraId="745453F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以合作区内的优势产业为核心，重点引入先进新一代电子信息、高端装备制造、新材料等产业的上下游服务商企业，完善产业链建设，降低合作区内企业成本，提升整体竞争力。</w:t>
            </w:r>
          </w:p>
          <w:p w14:paraId="0C4C8F4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b.功能布局</w:t>
            </w:r>
          </w:p>
          <w:p w14:paraId="30CF5A3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南区结合当地福耀玻璃、美的、楼氏电子等行业领先企业布局，分别设立6个或独立或综合布局的产业集群分区，分区内进行扦插式产业导入，并逐步按规划进行空间布局优化。</w:t>
            </w:r>
          </w:p>
          <w:p w14:paraId="15BD133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其中，西北角的汽车关键零部件产业分区以世迈长青和福沃克等代表性汽车零部件企业为核心，逐步引入上下游企业，目标建立较为完整的汽车关键零部件产业；东北角将建立以智能家电及汽车关键零部件为主的核心产业园；南部根据易德龙、楼氏电子、兴禾源和新松机器人等行业龙头企业，分别建设高端装备制造、新一代电子信息和先进复合材料等产业集聚地，重点布置智能家电产业和汽车电子及智慧网联汽车关键零部件产业企业；汽车产业集群分区将以汽车关键零部件产业和汽车电子及车联网产业企业为主；并综合容纳部分配套的现代服务业企业。</w:t>
            </w:r>
          </w:p>
          <w:p w14:paraId="7B04E5E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eastAsia"/>
                <w:bCs/>
                <w:color w:val="auto"/>
                <w:kern w:val="0"/>
                <w:sz w:val="24"/>
                <w:szCs w:val="24"/>
                <w:highlight w:val="none"/>
                <w:lang w:val="en-US" w:eastAsia="zh-CN"/>
              </w:rPr>
              <w:t>3）</w:t>
            </w:r>
            <w:r>
              <w:rPr>
                <w:rFonts w:hint="default"/>
                <w:bCs/>
                <w:color w:val="auto"/>
                <w:kern w:val="0"/>
                <w:sz w:val="24"/>
                <w:szCs w:val="24"/>
                <w:highlight w:val="none"/>
                <w:lang w:val="en-US" w:eastAsia="zh-CN"/>
              </w:rPr>
              <w:t>智能制造产业园北片</w:t>
            </w:r>
          </w:p>
          <w:p w14:paraId="6DCC34F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主要指庄基石桥片区，北面至思嘉河，南边至绕城高速，东面至元和塘，西面以御窑路为界，总用地面积约3.5平方公里。片区周边区域分布有新一代信息技术、先进材料等产业，新型产业发展势头强劲，加强协同联合，共同打造研发智造产业创新集群。</w:t>
            </w:r>
          </w:p>
          <w:p w14:paraId="18495BA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a.定位目标</w:t>
            </w:r>
          </w:p>
          <w:p w14:paraId="565951C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夯实高端制造业基础，抓住机遇，统筹联动，总体以高端、智能制造为基底，形成创新集群+高端制造业基地。</w:t>
            </w:r>
          </w:p>
          <w:p w14:paraId="0822BF3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b.功能布局</w:t>
            </w:r>
          </w:p>
          <w:p w14:paraId="1CCE7E0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本片区可承载高铁新城智能研发成果落地、向北能衔接常熟智能制造类产业，可融入区域智能制造产业链，与周边产业形成聚合效应。发展政+产+资+学+研+用，链接高铁新城等周边板块功能。重点在打造技术研发创新集群，产业协同创新平台，完备的测试条件，优质的运营环境，高效的生产制造体系和示范运营场景。向下游产业延伸方面，重点在能源材料、电子系统的研发、制造、知识管理与要素整合，以及后端设施研发制造、销售、运营与后市场。</w:t>
            </w:r>
          </w:p>
          <w:p w14:paraId="58F63B3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eastAsia"/>
                <w:bCs/>
                <w:color w:val="auto"/>
                <w:kern w:val="0"/>
                <w:sz w:val="24"/>
                <w:szCs w:val="24"/>
                <w:highlight w:val="none"/>
                <w:lang w:val="en-US" w:eastAsia="zh-CN"/>
              </w:rPr>
              <w:t>4）</w:t>
            </w:r>
            <w:r>
              <w:rPr>
                <w:rFonts w:hint="default"/>
                <w:bCs/>
                <w:color w:val="auto"/>
                <w:kern w:val="0"/>
                <w:sz w:val="24"/>
                <w:szCs w:val="24"/>
                <w:highlight w:val="none"/>
                <w:lang w:val="en-US" w:eastAsia="zh-CN"/>
              </w:rPr>
              <w:t>智能制造产业园南片</w:t>
            </w:r>
          </w:p>
          <w:p w14:paraId="35A0C35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主要指泗塘片区，北面至绕城高速，南至冶长泾，东面至许家角河，西面以御窑路为界，总用地面积约1平方公里。</w:t>
            </w:r>
          </w:p>
          <w:p w14:paraId="6C58BA3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a.定位目标</w:t>
            </w:r>
          </w:p>
          <w:p w14:paraId="07F1627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联合智能制造产业园北片，形成以应用方向为主的智能制造装备产业中心。</w:t>
            </w:r>
          </w:p>
          <w:p w14:paraId="14F9B83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b.功能布局</w:t>
            </w:r>
          </w:p>
          <w:p w14:paraId="026B193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主要功能包括硬件研发生产+物流服务中心。针对性设备研发与制造，辅助片区产业生产，人机交互、机器人等同方向技术创新，以及实验性应用与拓展推广。</w:t>
            </w:r>
          </w:p>
          <w:p w14:paraId="00CEFB9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eastAsia"/>
                <w:bCs/>
                <w:color w:val="auto"/>
                <w:kern w:val="0"/>
                <w:sz w:val="24"/>
                <w:szCs w:val="24"/>
                <w:highlight w:val="none"/>
                <w:lang w:val="en-US" w:eastAsia="zh-CN"/>
              </w:rPr>
              <w:t>5）</w:t>
            </w:r>
            <w:r>
              <w:rPr>
                <w:rFonts w:hint="default"/>
                <w:bCs/>
                <w:color w:val="auto"/>
                <w:kern w:val="0"/>
                <w:sz w:val="24"/>
                <w:szCs w:val="24"/>
                <w:highlight w:val="none"/>
                <w:lang w:val="en-US" w:eastAsia="zh-CN"/>
              </w:rPr>
              <w:t>阳澄湖研发产业园</w:t>
            </w:r>
          </w:p>
          <w:p w14:paraId="6F4940F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蠡塘河以北片区，总用地面积约6.3平方公里。阳澄湖智慧创业社区将依托临近高铁新城的区位优势，打造集研发孵化、生活休闲功能为一体，协同创新、产城融合的综合型产业社区。</w:t>
            </w:r>
          </w:p>
          <w:p w14:paraId="13876BB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区内聚焦创新创业企业和科技研发机构，积极培育创新研发、中试基地、加速器、孵化器、智慧服务、生活配套等六大功能，同时引进科技服务业、管理资源机构、配套商业体系，形成功能复合的创业社区。有序、渐进式地开展现状工业用地的更新。清退产业层次低、产出贡献小的企业，引入社会资本回购、改造现有厂房，打造研发孵化载体，吸引初创企业进驻。对于产业层次高、产出贡献大的现状企业，如果符合开发区主导产业发展方向，积极引导其向环漕湖片区转移，鼓励集群化发展、做大做强；其他产业门类则保留维持发展，鼓励升级改造，提升土地效益。除上述重点主导产业外，在可以满足相城区相关政策及开发区引进准入门槛的基础上，精密机械、新材料、新能源、医疗器械等产业，可以在上述产业区内灵活布局。</w:t>
            </w:r>
          </w:p>
          <w:p w14:paraId="72B3F33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eastAsia"/>
                <w:bCs/>
                <w:color w:val="auto"/>
                <w:kern w:val="0"/>
                <w:sz w:val="24"/>
                <w:szCs w:val="24"/>
                <w:highlight w:val="none"/>
                <w:lang w:val="en-US" w:eastAsia="zh-CN"/>
              </w:rPr>
              <w:t>6）</w:t>
            </w:r>
            <w:r>
              <w:rPr>
                <w:rFonts w:hint="default"/>
                <w:bCs/>
                <w:color w:val="auto"/>
                <w:kern w:val="0"/>
                <w:sz w:val="24"/>
                <w:szCs w:val="24"/>
                <w:highlight w:val="none"/>
                <w:lang w:val="en-US" w:eastAsia="zh-CN"/>
              </w:rPr>
              <w:t>灵峰产业园</w:t>
            </w:r>
          </w:p>
          <w:p w14:paraId="163C857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灵峰产业园位于十字港以北片区，总用地面积约3.4平方公里。重点发展智能智造升级、服务相关产业，在现有产业基础上，进行产业的提档升级，引导向高端智能制造发展。</w:t>
            </w:r>
          </w:p>
          <w:p w14:paraId="619F086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Cs/>
                <w:color w:val="auto"/>
                <w:kern w:val="0"/>
                <w:sz w:val="24"/>
                <w:szCs w:val="24"/>
                <w:highlight w:val="none"/>
                <w:lang w:val="en-US" w:eastAsia="zh-CN"/>
              </w:rPr>
            </w:pPr>
            <w:r>
              <w:rPr>
                <w:rFonts w:hint="default"/>
                <w:bCs/>
                <w:color w:val="auto"/>
                <w:kern w:val="0"/>
                <w:sz w:val="24"/>
                <w:szCs w:val="24"/>
                <w:highlight w:val="none"/>
                <w:lang w:val="en-US" w:eastAsia="zh-CN"/>
              </w:rPr>
              <w:t>田园综合体：漕湖现代田园综合体总用地面积约6.6平方公里。</w:t>
            </w:r>
          </w:p>
          <w:p w14:paraId="4DFDFAA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Cs/>
                <w:color w:val="auto"/>
                <w:kern w:val="0"/>
                <w:sz w:val="24"/>
                <w:szCs w:val="24"/>
                <w:highlight w:val="none"/>
                <w:lang w:val="en-US" w:eastAsia="zh-CN"/>
              </w:rPr>
            </w:pPr>
            <w:r>
              <w:rPr>
                <w:rFonts w:hint="default"/>
                <w:bCs/>
                <w:color w:val="auto"/>
                <w:kern w:val="0"/>
                <w:sz w:val="24"/>
                <w:szCs w:val="24"/>
                <w:highlight w:val="none"/>
                <w:lang w:val="en-US" w:eastAsia="zh-CN"/>
              </w:rPr>
              <w:t>整合漕湖与鹅真荡生态资源，开发农业观光、休闲和体验等功能的基础性资源，引入租赁、代养、采摘以及观光休闲等理念，推动智慧农业与旅游产业融合发展，打造漕湖现代田园综合体</w:t>
            </w:r>
            <w:r>
              <w:rPr>
                <w:rFonts w:hint="eastAsia"/>
                <w:bCs/>
                <w:color w:val="auto"/>
                <w:kern w:val="0"/>
                <w:sz w:val="24"/>
                <w:szCs w:val="24"/>
                <w:highlight w:val="none"/>
                <w:lang w:val="en-US" w:eastAsia="zh-CN"/>
              </w:rPr>
              <w:t>。</w:t>
            </w:r>
          </w:p>
          <w:p w14:paraId="5457AAB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1.7  基础设施规划</w:t>
            </w:r>
          </w:p>
          <w:p w14:paraId="4A0BF62B">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b/>
                <w:bCs w:val="0"/>
                <w:color w:val="auto"/>
                <w:kern w:val="0"/>
                <w:sz w:val="24"/>
                <w:szCs w:val="24"/>
                <w:highlight w:val="none"/>
                <w:lang w:val="en-US" w:eastAsia="zh-CN"/>
              </w:rPr>
            </w:pPr>
            <w:r>
              <w:rPr>
                <w:rFonts w:hint="eastAsia"/>
                <w:b/>
                <w:bCs w:val="0"/>
                <w:color w:val="auto"/>
                <w:kern w:val="0"/>
                <w:sz w:val="24"/>
                <w:szCs w:val="24"/>
                <w:highlight w:val="none"/>
                <w:lang w:val="en-US" w:eastAsia="zh-CN"/>
              </w:rPr>
              <w:t>（1）</w:t>
            </w:r>
            <w:r>
              <w:rPr>
                <w:rFonts w:hint="default"/>
                <w:b/>
                <w:bCs w:val="0"/>
                <w:color w:val="auto"/>
                <w:kern w:val="0"/>
                <w:sz w:val="24"/>
                <w:szCs w:val="24"/>
                <w:highlight w:val="none"/>
                <w:lang w:val="en-US" w:eastAsia="zh-CN"/>
              </w:rPr>
              <w:t>给水</w:t>
            </w:r>
          </w:p>
          <w:p w14:paraId="1033E6C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color w:val="auto"/>
                <w:sz w:val="24"/>
                <w:szCs w:val="24"/>
                <w:highlight w:val="none"/>
                <w:lang w:val="en-US" w:eastAsia="zh-CN"/>
              </w:rPr>
            </w:pPr>
            <w:r>
              <w:rPr>
                <w:rFonts w:hint="default"/>
                <w:color w:val="auto"/>
                <w:sz w:val="24"/>
                <w:szCs w:val="24"/>
                <w:highlight w:val="none"/>
                <w:lang w:val="en-US" w:eastAsia="zh-CN"/>
              </w:rPr>
              <w:t>开发区规划主要供水水厂为相城水厂，水源取自太湖。充分利用现状给水干管，分期改造部分给水主次干管。保留现状沿太阳路布置的阳澄湖水源地至相城水厂的2条DN1800混水管道。澄阳片区区域性输水管道沿太阳路和227省道布置，管径DN1400~DN1200，给水干管沿春申湖东路、阳澄湖东路、相城大道和澄阳路等布置，管径DN500~DN700；环漕湖片区区域性输水管道沿苏虞张公路和太东路布置，管径DN1400~DN1000，给水干管沿漕湖大道、方桥路、广济北路、凤北荡路和凤北公路等布置，管径DN500~DN800。其他供水管沿各级道路敷设，管径DN200~DN400。各级管道形成环网，以满足区内各地块用水及室外消防安全用水需求</w:t>
            </w:r>
            <w:r>
              <w:rPr>
                <w:rFonts w:hint="eastAsia"/>
                <w:color w:val="auto"/>
                <w:sz w:val="24"/>
                <w:szCs w:val="24"/>
                <w:highlight w:val="none"/>
                <w:lang w:val="en-US" w:eastAsia="zh-CN"/>
              </w:rPr>
              <w:t>。</w:t>
            </w:r>
          </w:p>
          <w:p w14:paraId="5CEAF75C">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b/>
                <w:bCs w:val="0"/>
                <w:color w:val="auto"/>
                <w:kern w:val="0"/>
                <w:sz w:val="24"/>
                <w:szCs w:val="24"/>
                <w:highlight w:val="none"/>
                <w:lang w:val="en-US" w:eastAsia="zh-CN"/>
              </w:rPr>
            </w:pPr>
            <w:r>
              <w:rPr>
                <w:rFonts w:hint="default"/>
                <w:b/>
                <w:bCs w:val="0"/>
                <w:color w:val="auto"/>
                <w:kern w:val="0"/>
                <w:sz w:val="24"/>
                <w:szCs w:val="24"/>
                <w:highlight w:val="none"/>
                <w:lang w:val="en-US" w:eastAsia="zh-CN"/>
              </w:rPr>
              <w:t>（2）排水</w:t>
            </w:r>
          </w:p>
          <w:p w14:paraId="28BC882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规划区实行雨污分流制，废水分片区接入相应污水处理厂集中处理后达标排放。</w:t>
            </w:r>
          </w:p>
          <w:p w14:paraId="6A016AE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规划扩建漕湖污水处理厂，并对区内漕湖污水处理厂及一泓污水处理厂实施改建。漕湖污水处理厂远期规划规模9万m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w:t>
            </w:r>
            <w:r>
              <w:rPr>
                <w:rFonts w:hint="default"/>
                <w:color w:val="auto"/>
                <w:sz w:val="24"/>
                <w:szCs w:val="24"/>
                <w:highlight w:val="none"/>
                <w:lang w:val="en-US" w:eastAsia="zh-CN"/>
              </w:rPr>
              <w:t>日，一泓污水处理厂远期规划规模4万m</w:t>
            </w:r>
            <w:r>
              <w:rPr>
                <w:rFonts w:hint="eastAsia"/>
                <w:color w:val="auto"/>
                <w:sz w:val="24"/>
                <w:szCs w:val="24"/>
                <w:highlight w:val="none"/>
                <w:vertAlign w:val="superscript"/>
                <w:lang w:val="en-US" w:eastAsia="zh-CN"/>
              </w:rPr>
              <w:t>3</w:t>
            </w:r>
            <w:r>
              <w:rPr>
                <w:rFonts w:hint="default"/>
                <w:color w:val="auto"/>
                <w:sz w:val="24"/>
                <w:szCs w:val="24"/>
                <w:highlight w:val="none"/>
                <w:lang w:val="en-US" w:eastAsia="zh-CN"/>
              </w:rPr>
              <w:t>/日。规划对漕湖污水处理厂、一泓污水处理厂进行改造，在生化处理工艺段之前建设单独的工业废水预处理设施，涉及重金属、难生化降解废水、高盐废水、含氟废水以及其他需接入工业污水处理厂的生产废水，分片区设专管进入工业废水预处理设施，在经处理后再与其他废水混合进入生化工艺段进行处理。改扩建后区域内污水处理厂不新增排污口。澄阳片区不规划污水处理厂，污水排至片区西侧相城城区污水处理厂（厂改泵），收集后送至相城城西污水处理厂（20万m</w:t>
            </w:r>
            <w:r>
              <w:rPr>
                <w:rFonts w:hint="default"/>
                <w:color w:val="auto"/>
                <w:sz w:val="24"/>
                <w:szCs w:val="24"/>
                <w:highlight w:val="none"/>
                <w:vertAlign w:val="superscript"/>
                <w:lang w:val="en-US" w:eastAsia="zh-CN"/>
              </w:rPr>
              <w:t>3</w:t>
            </w:r>
            <w:r>
              <w:rPr>
                <w:rFonts w:hint="default"/>
                <w:color w:val="auto"/>
                <w:sz w:val="24"/>
                <w:szCs w:val="24"/>
                <w:highlight w:val="none"/>
                <w:lang w:val="en-US" w:eastAsia="zh-CN"/>
              </w:rPr>
              <w:t>/d）处理。</w:t>
            </w:r>
          </w:p>
          <w:p w14:paraId="39FFFB5E">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b/>
                <w:bCs w:val="0"/>
                <w:color w:val="auto"/>
                <w:kern w:val="0"/>
                <w:sz w:val="24"/>
                <w:szCs w:val="24"/>
                <w:highlight w:val="none"/>
                <w:lang w:val="en-US" w:eastAsia="zh-CN"/>
              </w:rPr>
            </w:pPr>
            <w:r>
              <w:rPr>
                <w:rFonts w:hint="default"/>
                <w:b/>
                <w:bCs w:val="0"/>
                <w:color w:val="auto"/>
                <w:kern w:val="0"/>
                <w:sz w:val="24"/>
                <w:szCs w:val="24"/>
                <w:highlight w:val="none"/>
                <w:lang w:val="en-US" w:eastAsia="zh-CN"/>
              </w:rPr>
              <w:t>（3）供热</w:t>
            </w:r>
          </w:p>
          <w:p w14:paraId="2AD0DDF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由于苏州地区为非集中供热地区，规划区不考虑全面集中供热系统，只在集中的工业片区和大型的集中公共设施区考虑集中供热系统。其他民用建筑采用分散供热及制冷。开发区现状环漕湖片区由望亭发电厂及江南化纤热电厂进行供热，澄阳片区由望亭发电厂进行供热。开发区内有大量工业用地，为了适应国家的节能政策，规划考虑在区内预留热力管道。考虑到近期道路建设不建设热力管道的实际情况，预留的热力管道走廊主要考虑在道路或河道两侧的绿化带内，以适应近、远期不同的建设需求。规划开发区将形成望亭电厂1个主要公共热源点，现状供热能力为1090吨/小时，远期最大供热能力为1800吨/小时。相城经济技术开发区设置灵峰供热站一座。环漕湖片区热力干管沿绕城高速公路接入，干管管径DN600~DN900。热力管网采用蒸汽为热介质，规划区内其他热力管沿道路或者河道绿化带架空架设，经过规划道路和企业大门时采用埋地敷设，管径DN200~DN350。考虑到规划区为集中工业片区，生产工艺热负荷为主要负荷，集聚区内采用蒸汽作为供热介质。</w:t>
            </w:r>
          </w:p>
          <w:p w14:paraId="181EF42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依据《苏州市区热电联产规划（2022-2025）》，华电望亭近期规划向黄埭镇（含漕湖街道、相城经济技术开发区环漕湖片区）周边集中供热，其中向相城经济技术开发区北桥片区集中供热，供热主管长12公里；向相城经济技术开发区漕湖片区供热，供热主管长5公里。华电望亭近期规划向元和镇（含北河泾街道、高铁新城及相城经济技术开发区澄阳片区）集中供热。向高铁新城及相城经济技术开发区澄阳片区供热，供热主管长31.2公里。远期望亭电厂供热负荷能够满足开发区的供热需求。</w:t>
            </w:r>
          </w:p>
          <w:p w14:paraId="0EC69230">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eastAsia"/>
                <w:color w:val="auto"/>
                <w:highlight w:val="none"/>
              </w:rPr>
            </w:pPr>
            <w:r>
              <w:rPr>
                <w:rFonts w:hint="eastAsia"/>
                <w:b/>
                <w:bCs w:val="0"/>
                <w:color w:val="auto"/>
                <w:kern w:val="0"/>
                <w:sz w:val="24"/>
                <w:szCs w:val="24"/>
                <w:highlight w:val="none"/>
                <w:lang w:val="en-US" w:eastAsia="zh-CN"/>
              </w:rPr>
              <w:t>规划相符性分析：</w:t>
            </w:r>
            <w:r>
              <w:rPr>
                <w:rFonts w:hint="default"/>
                <w:b w:val="0"/>
                <w:bCs/>
                <w:color w:val="auto"/>
                <w:kern w:val="0"/>
                <w:sz w:val="24"/>
                <w:szCs w:val="24"/>
                <w:highlight w:val="none"/>
                <w:lang w:val="en-US" w:eastAsia="zh-CN"/>
              </w:rPr>
              <w:t>本项目位于苏州市漕湖街道永昌路28号A栋11单元，项目所在地属于</w:t>
            </w:r>
            <w:r>
              <w:rPr>
                <w:rFonts w:hint="eastAsia"/>
                <w:b w:val="0"/>
                <w:bCs/>
                <w:color w:val="auto"/>
                <w:kern w:val="0"/>
                <w:sz w:val="24"/>
                <w:szCs w:val="24"/>
                <w:highlight w:val="none"/>
                <w:lang w:val="en-US" w:eastAsia="zh-CN"/>
              </w:rPr>
              <w:t>“</w:t>
            </w:r>
            <w:r>
              <w:rPr>
                <w:rFonts w:hint="default"/>
                <w:b w:val="0"/>
                <w:bCs/>
                <w:color w:val="auto"/>
                <w:kern w:val="0"/>
                <w:sz w:val="24"/>
                <w:szCs w:val="24"/>
                <w:highlight w:val="none"/>
                <w:lang w:val="en-US" w:eastAsia="zh-CN"/>
              </w:rPr>
              <w:t>空间布局结构</w:t>
            </w:r>
            <w:r>
              <w:rPr>
                <w:rFonts w:hint="eastAsia"/>
                <w:b w:val="0"/>
                <w:bCs/>
                <w:color w:val="auto"/>
                <w:kern w:val="0"/>
                <w:sz w:val="24"/>
                <w:szCs w:val="24"/>
                <w:highlight w:val="none"/>
                <w:lang w:val="en-US" w:eastAsia="zh-CN"/>
              </w:rPr>
              <w:t>”</w:t>
            </w:r>
            <w:r>
              <w:rPr>
                <w:rFonts w:hint="default"/>
                <w:b w:val="0"/>
                <w:bCs/>
                <w:color w:val="auto"/>
                <w:kern w:val="0"/>
                <w:sz w:val="24"/>
                <w:szCs w:val="24"/>
                <w:highlight w:val="none"/>
                <w:lang w:val="en-US" w:eastAsia="zh-CN"/>
              </w:rPr>
              <w:t>中</w:t>
            </w:r>
            <w:r>
              <w:rPr>
                <w:rFonts w:hint="eastAsia"/>
                <w:b w:val="0"/>
                <w:bCs/>
                <w:color w:val="auto"/>
                <w:kern w:val="0"/>
                <w:sz w:val="24"/>
                <w:szCs w:val="24"/>
                <w:highlight w:val="none"/>
                <w:lang w:val="en-US" w:eastAsia="zh-CN"/>
              </w:rPr>
              <w:t>“</w:t>
            </w:r>
            <w:r>
              <w:rPr>
                <w:rFonts w:hint="default"/>
                <w:b w:val="0"/>
                <w:bCs/>
                <w:color w:val="auto"/>
                <w:kern w:val="0"/>
                <w:sz w:val="24"/>
                <w:szCs w:val="24"/>
                <w:highlight w:val="none"/>
                <w:lang w:val="en-US" w:eastAsia="zh-CN"/>
              </w:rPr>
              <w:t>环漕湖片区</w:t>
            </w:r>
            <w:r>
              <w:rPr>
                <w:rFonts w:hint="eastAsia"/>
                <w:b w:val="0"/>
                <w:bCs/>
                <w:color w:val="auto"/>
                <w:kern w:val="0"/>
                <w:sz w:val="24"/>
                <w:szCs w:val="24"/>
                <w:highlight w:val="none"/>
                <w:lang w:val="en-US" w:eastAsia="zh-CN"/>
              </w:rPr>
              <w:t>”</w:t>
            </w:r>
            <w:r>
              <w:rPr>
                <w:rFonts w:hint="default"/>
                <w:b w:val="0"/>
                <w:bCs/>
                <w:color w:val="auto"/>
                <w:kern w:val="0"/>
                <w:sz w:val="24"/>
                <w:szCs w:val="24"/>
                <w:highlight w:val="none"/>
                <w:lang w:val="en-US" w:eastAsia="zh-CN"/>
              </w:rPr>
              <w:t>，位于</w:t>
            </w:r>
            <w:r>
              <w:rPr>
                <w:rFonts w:hint="eastAsia"/>
                <w:b w:val="0"/>
                <w:bCs/>
                <w:color w:val="auto"/>
                <w:kern w:val="0"/>
                <w:sz w:val="24"/>
                <w:szCs w:val="24"/>
                <w:highlight w:val="none"/>
                <w:lang w:val="en-US" w:eastAsia="zh-CN"/>
              </w:rPr>
              <w:t>“</w:t>
            </w:r>
            <w:r>
              <w:rPr>
                <w:rFonts w:hint="default"/>
                <w:b w:val="0"/>
                <w:bCs/>
                <w:color w:val="auto"/>
                <w:kern w:val="0"/>
                <w:sz w:val="24"/>
                <w:szCs w:val="24"/>
                <w:highlight w:val="none"/>
                <w:lang w:val="en-US" w:eastAsia="zh-CN"/>
              </w:rPr>
              <w:t>苏相现代产业园（南区）</w:t>
            </w:r>
            <w:r>
              <w:rPr>
                <w:rFonts w:hint="eastAsia"/>
                <w:b w:val="0"/>
                <w:bCs/>
                <w:color w:val="auto"/>
                <w:kern w:val="0"/>
                <w:sz w:val="24"/>
                <w:szCs w:val="24"/>
                <w:highlight w:val="none"/>
                <w:lang w:val="en-US" w:eastAsia="zh-CN"/>
              </w:rPr>
              <w:t>”</w:t>
            </w:r>
            <w:r>
              <w:rPr>
                <w:rFonts w:hint="default"/>
                <w:b w:val="0"/>
                <w:bCs/>
                <w:color w:val="auto"/>
                <w:kern w:val="0"/>
                <w:sz w:val="24"/>
                <w:szCs w:val="24"/>
                <w:highlight w:val="none"/>
                <w:lang w:val="en-US" w:eastAsia="zh-CN"/>
              </w:rPr>
              <w:t>范围内，根据《苏州相城经济技术开发区开发建设规划（2022-2035年）》，项目用地性质地为工业用地。本项目进行航空航天精密零部件和其他精密零部件生产，属于</w:t>
            </w:r>
            <w:r>
              <w:rPr>
                <w:rFonts w:hint="eastAsia"/>
                <w:b w:val="0"/>
                <w:bCs/>
                <w:color w:val="auto"/>
                <w:kern w:val="0"/>
                <w:sz w:val="24"/>
                <w:szCs w:val="24"/>
                <w:highlight w:val="none"/>
                <w:lang w:val="en-US" w:eastAsia="zh-CN"/>
              </w:rPr>
              <w:t>“高端装备制造”的配套产业</w:t>
            </w:r>
            <w:r>
              <w:rPr>
                <w:rFonts w:hint="default"/>
                <w:b w:val="0"/>
                <w:bCs/>
                <w:color w:val="auto"/>
                <w:kern w:val="0"/>
                <w:sz w:val="24"/>
                <w:szCs w:val="24"/>
                <w:highlight w:val="none"/>
                <w:lang w:val="en-US" w:eastAsia="zh-CN"/>
              </w:rPr>
              <w:t>，符合苏相合作区产业片区的产业规划，同时符合苏相现代产业园高端产业空间布局，不在开发区生态环境准入清单限制禁止类之列，与《苏州相城经济技术开发区开发建设规划（2022-2035）》相符。</w:t>
            </w:r>
          </w:p>
          <w:p w14:paraId="489C55A0">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2、与《苏州市相城区漕湖北桥片区总体规划（2015-2030）》相符性分析</w:t>
            </w:r>
          </w:p>
          <w:p w14:paraId="671AD7F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2.1  规划范围</w:t>
            </w:r>
          </w:p>
          <w:p w14:paraId="141C49C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漕湖和北桥街道行政辖区范围，总面积77.99平方公里。</w:t>
            </w:r>
          </w:p>
          <w:p w14:paraId="1725BA35">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2.2  功能定位</w:t>
            </w:r>
          </w:p>
          <w:p w14:paraId="3CA1770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依托苏相合作区的示范平台优势，构建立足长三角经济圈、辐射全国的高端产业之区；体现典型江南水乡特色的环湖生态之区；促进创新型增长、建设宜居家园的和谐幸福之区。</w:t>
            </w:r>
          </w:p>
          <w:p w14:paraId="6A8603D1">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2.3  空间布局结构</w:t>
            </w:r>
          </w:p>
          <w:p w14:paraId="083B0DC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规划形成</w:t>
            </w:r>
            <w:r>
              <w:rPr>
                <w:rFonts w:hint="eastAsia"/>
                <w:color w:val="auto"/>
                <w:sz w:val="24"/>
                <w:szCs w:val="24"/>
                <w:highlight w:val="none"/>
                <w:lang w:val="en-US" w:eastAsia="zh-CN"/>
              </w:rPr>
              <w:t>“</w:t>
            </w:r>
            <w:r>
              <w:rPr>
                <w:rFonts w:hint="default"/>
                <w:color w:val="auto"/>
                <w:sz w:val="24"/>
                <w:szCs w:val="24"/>
                <w:highlight w:val="none"/>
                <w:lang w:val="en-US" w:eastAsia="zh-CN"/>
              </w:rPr>
              <w:t>一廊六片</w:t>
            </w:r>
            <w:r>
              <w:rPr>
                <w:rFonts w:hint="eastAsia"/>
                <w:color w:val="auto"/>
                <w:sz w:val="24"/>
                <w:szCs w:val="24"/>
                <w:highlight w:val="none"/>
                <w:lang w:val="en-US" w:eastAsia="zh-CN"/>
              </w:rPr>
              <w:t>”</w:t>
            </w:r>
            <w:r>
              <w:rPr>
                <w:rFonts w:hint="default"/>
                <w:color w:val="auto"/>
                <w:sz w:val="24"/>
                <w:szCs w:val="24"/>
                <w:highlight w:val="none"/>
                <w:lang w:val="en-US" w:eastAsia="zh-CN"/>
              </w:rPr>
              <w:t>的空间布局结构，其中冶长泾以南为苏相合作区范围。</w:t>
            </w:r>
          </w:p>
          <w:p w14:paraId="3E017CB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1）</w:t>
            </w:r>
            <w:r>
              <w:rPr>
                <w:rFonts w:hint="eastAsia"/>
                <w:color w:val="auto"/>
                <w:sz w:val="24"/>
                <w:szCs w:val="24"/>
                <w:highlight w:val="none"/>
                <w:lang w:val="en-US" w:eastAsia="zh-CN"/>
              </w:rPr>
              <w:t>“</w:t>
            </w:r>
            <w:r>
              <w:rPr>
                <w:rFonts w:hint="default"/>
                <w:color w:val="auto"/>
                <w:sz w:val="24"/>
                <w:szCs w:val="24"/>
                <w:highlight w:val="none"/>
                <w:lang w:val="en-US" w:eastAsia="zh-CN"/>
              </w:rPr>
              <w:t>一廊</w:t>
            </w:r>
            <w:r>
              <w:rPr>
                <w:rFonts w:hint="eastAsia"/>
                <w:color w:val="auto"/>
                <w:sz w:val="24"/>
                <w:szCs w:val="24"/>
                <w:highlight w:val="none"/>
                <w:lang w:val="en-US" w:eastAsia="zh-CN"/>
              </w:rPr>
              <w:t>”</w:t>
            </w:r>
            <w:r>
              <w:rPr>
                <w:rFonts w:hint="default"/>
                <w:color w:val="auto"/>
                <w:sz w:val="24"/>
                <w:szCs w:val="24"/>
                <w:highlight w:val="none"/>
                <w:lang w:val="en-US" w:eastAsia="zh-CN"/>
              </w:rPr>
              <w:t>：</w:t>
            </w:r>
            <w:r>
              <w:rPr>
                <w:rFonts w:hint="eastAsia"/>
                <w:color w:val="auto"/>
                <w:sz w:val="24"/>
                <w:szCs w:val="24"/>
                <w:highlight w:val="none"/>
                <w:lang w:val="en-US" w:eastAsia="zh-CN"/>
              </w:rPr>
              <w:t>“</w:t>
            </w:r>
            <w:r>
              <w:rPr>
                <w:rFonts w:hint="default"/>
                <w:color w:val="auto"/>
                <w:sz w:val="24"/>
                <w:szCs w:val="24"/>
                <w:highlight w:val="none"/>
                <w:lang w:val="en-US" w:eastAsia="zh-CN"/>
              </w:rPr>
              <w:t>双湖</w:t>
            </w:r>
            <w:r>
              <w:rPr>
                <w:rFonts w:hint="eastAsia"/>
                <w:color w:val="auto"/>
                <w:sz w:val="24"/>
                <w:szCs w:val="24"/>
                <w:highlight w:val="none"/>
                <w:lang w:val="en-US" w:eastAsia="zh-CN"/>
              </w:rPr>
              <w:t>”</w:t>
            </w:r>
            <w:r>
              <w:rPr>
                <w:rFonts w:hint="default"/>
                <w:color w:val="auto"/>
                <w:sz w:val="24"/>
                <w:szCs w:val="24"/>
                <w:highlight w:val="none"/>
                <w:lang w:val="en-US" w:eastAsia="zh-CN"/>
              </w:rPr>
              <w:t>生态廊道，依托漕湖优质生态资源，向北与无锡的鹅真荡、向南与相城中心城区生态绿核联结，共同形成以生态湿地、森林公园为主要形式的区域性生态廊道。</w:t>
            </w:r>
          </w:p>
          <w:p w14:paraId="4E5EB2F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2）</w:t>
            </w:r>
            <w:r>
              <w:rPr>
                <w:rFonts w:hint="eastAsia"/>
                <w:color w:val="auto"/>
                <w:sz w:val="24"/>
                <w:szCs w:val="24"/>
                <w:highlight w:val="none"/>
                <w:lang w:val="en-US" w:eastAsia="zh-CN"/>
              </w:rPr>
              <w:t>“</w:t>
            </w:r>
            <w:r>
              <w:rPr>
                <w:rFonts w:hint="default"/>
                <w:color w:val="auto"/>
                <w:sz w:val="24"/>
                <w:szCs w:val="24"/>
                <w:highlight w:val="none"/>
                <w:lang w:val="en-US" w:eastAsia="zh-CN"/>
              </w:rPr>
              <w:t>六片</w:t>
            </w:r>
            <w:r>
              <w:rPr>
                <w:rFonts w:hint="eastAsia"/>
                <w:color w:val="auto"/>
                <w:sz w:val="24"/>
                <w:szCs w:val="24"/>
                <w:highlight w:val="none"/>
                <w:lang w:val="en-US" w:eastAsia="zh-CN"/>
              </w:rPr>
              <w:t>”</w:t>
            </w:r>
            <w:r>
              <w:rPr>
                <w:rFonts w:hint="default"/>
                <w:color w:val="auto"/>
                <w:sz w:val="24"/>
                <w:szCs w:val="24"/>
                <w:highlight w:val="none"/>
                <w:lang w:val="en-US" w:eastAsia="zh-CN"/>
              </w:rPr>
              <w:t>：漕湖城镇综合功能区、苏相合作区产业片区、环漕湖生态休闲商务片区、北桥工业片区、北桥城镇综合功能片区、生态农业观光区</w:t>
            </w:r>
          </w:p>
          <w:p w14:paraId="6EFDBE33">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eastAsia"/>
                <w:b w:val="0"/>
                <w:bCs w:val="0"/>
                <w:color w:val="auto"/>
                <w:sz w:val="24"/>
                <w:szCs w:val="24"/>
                <w:highlight w:val="none"/>
                <w:lang w:val="en-US" w:eastAsia="zh-CN"/>
              </w:rPr>
            </w:pPr>
            <w:r>
              <w:rPr>
                <w:rFonts w:hint="eastAsia"/>
                <w:b/>
                <w:bCs/>
                <w:color w:val="auto"/>
                <w:sz w:val="24"/>
                <w:szCs w:val="24"/>
                <w:highlight w:val="none"/>
                <w:lang w:val="en-US" w:eastAsia="zh-CN"/>
              </w:rPr>
              <w:t>规划相符性分析：</w:t>
            </w:r>
            <w:r>
              <w:rPr>
                <w:rFonts w:hint="eastAsia"/>
                <w:b w:val="0"/>
                <w:bCs w:val="0"/>
                <w:color w:val="auto"/>
                <w:sz w:val="24"/>
                <w:szCs w:val="24"/>
                <w:highlight w:val="none"/>
                <w:lang w:val="en-US" w:eastAsia="zh-CN"/>
              </w:rPr>
              <w:t>本项目位于苏州市漕湖街道永昌路28号A栋11单元，属于“六片”中的“苏相合作区产业片区”，根据《苏州市相城区漕湖北桥片区总体规划（2015-2030）》（附图五）可知，项目所在地规划的用地性质为工业用地，符合用地规划要求。本项目生产航空航天精密零部件和其他精密零部件，不违背苏相合作区产业片区的功能定位。综上，本项目与《苏州市相城区漕湖北桥片区总体规划（2015-2030）》相符。</w:t>
            </w:r>
          </w:p>
          <w:p w14:paraId="3412CA69">
            <w:pPr>
              <w:autoSpaceDE w:val="0"/>
              <w:autoSpaceDN w:val="0"/>
              <w:adjustRightInd w:val="0"/>
              <w:snapToGrid w:val="0"/>
              <w:spacing w:line="360" w:lineRule="auto"/>
              <w:jc w:val="left"/>
              <w:rPr>
                <w:rFonts w:hint="eastAsia"/>
                <w:b/>
                <w:bCs/>
                <w:color w:val="auto"/>
                <w:sz w:val="24"/>
                <w:highlight w:val="none"/>
                <w:lang w:val="en-US" w:eastAsia="zh-CN"/>
              </w:rPr>
            </w:pPr>
            <w:r>
              <w:rPr>
                <w:rFonts w:hint="eastAsia"/>
                <w:b/>
                <w:bCs/>
                <w:color w:val="auto"/>
                <w:sz w:val="24"/>
                <w:highlight w:val="none"/>
                <w:lang w:val="en-US" w:eastAsia="zh-CN"/>
              </w:rPr>
              <w:t>3、与《相城区漕湖北桥东部、南部片区控制性详细规划》相符性分析</w:t>
            </w:r>
          </w:p>
          <w:p w14:paraId="66E2A3D7">
            <w:pPr>
              <w:autoSpaceDE w:val="0"/>
              <w:autoSpaceDN w:val="0"/>
              <w:adjustRightInd w:val="0"/>
              <w:snapToGrid w:val="0"/>
              <w:spacing w:line="360" w:lineRule="auto"/>
              <w:jc w:val="left"/>
              <w:rPr>
                <w:rFonts w:hint="default"/>
                <w:b/>
                <w:bCs/>
                <w:color w:val="auto"/>
                <w:sz w:val="24"/>
                <w:highlight w:val="none"/>
                <w:lang w:val="en-US" w:eastAsia="zh-CN"/>
              </w:rPr>
            </w:pPr>
            <w:r>
              <w:rPr>
                <w:rFonts w:hint="eastAsia"/>
                <w:b/>
                <w:bCs/>
                <w:color w:val="auto"/>
                <w:sz w:val="24"/>
                <w:highlight w:val="none"/>
                <w:lang w:val="en-US" w:eastAsia="zh-CN"/>
              </w:rPr>
              <w:t xml:space="preserve">3.1  </w:t>
            </w:r>
            <w:r>
              <w:rPr>
                <w:rFonts w:hint="default"/>
                <w:b/>
                <w:bCs/>
                <w:color w:val="auto"/>
                <w:sz w:val="24"/>
                <w:highlight w:val="none"/>
                <w:lang w:val="en-US" w:eastAsia="zh-CN"/>
              </w:rPr>
              <w:t>规划范围</w:t>
            </w:r>
          </w:p>
          <w:p w14:paraId="01C0C7A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 w:val="0"/>
                <w:bCs w:val="0"/>
                <w:color w:val="auto"/>
                <w:sz w:val="24"/>
                <w:szCs w:val="24"/>
                <w:highlight w:val="none"/>
                <w:lang w:val="en-US" w:eastAsia="zh-CN"/>
              </w:rPr>
            </w:pPr>
            <w:r>
              <w:rPr>
                <w:rFonts w:hint="default"/>
                <w:b w:val="0"/>
                <w:bCs w:val="0"/>
                <w:color w:val="auto"/>
                <w:sz w:val="24"/>
                <w:szCs w:val="24"/>
                <w:highlight w:val="none"/>
                <w:lang w:val="en-US" w:eastAsia="zh-CN"/>
              </w:rPr>
              <w:t>规划范围：规划范围北到常熟辛庄南边界，东到元和-苏泾路、西到苏锡边界-望虞河，南到太东路，总面积51.9平方公里。</w:t>
            </w:r>
          </w:p>
          <w:p w14:paraId="551A7863">
            <w:pPr>
              <w:autoSpaceDE w:val="0"/>
              <w:autoSpaceDN w:val="0"/>
              <w:adjustRightInd w:val="0"/>
              <w:snapToGrid w:val="0"/>
              <w:spacing w:line="360" w:lineRule="auto"/>
              <w:jc w:val="left"/>
              <w:rPr>
                <w:rFonts w:hint="default"/>
                <w:b/>
                <w:bCs/>
                <w:color w:val="auto"/>
                <w:sz w:val="24"/>
                <w:highlight w:val="none"/>
                <w:lang w:val="en-US" w:eastAsia="zh-CN"/>
              </w:rPr>
            </w:pPr>
            <w:r>
              <w:rPr>
                <w:rFonts w:hint="eastAsia"/>
                <w:b/>
                <w:bCs/>
                <w:color w:val="auto"/>
                <w:sz w:val="24"/>
                <w:highlight w:val="none"/>
                <w:lang w:val="en-US" w:eastAsia="zh-CN"/>
              </w:rPr>
              <w:t xml:space="preserve">3.2  </w:t>
            </w:r>
            <w:r>
              <w:rPr>
                <w:rFonts w:hint="default"/>
                <w:b/>
                <w:bCs/>
                <w:color w:val="auto"/>
                <w:sz w:val="24"/>
                <w:highlight w:val="none"/>
                <w:lang w:val="en-US" w:eastAsia="zh-CN"/>
              </w:rPr>
              <w:t>空间布局</w:t>
            </w:r>
          </w:p>
          <w:p w14:paraId="67B7F490">
            <w:pPr>
              <w:autoSpaceDE w:val="0"/>
              <w:autoSpaceDN w:val="0"/>
              <w:adjustRightInd w:val="0"/>
              <w:snapToGrid w:val="0"/>
              <w:spacing w:line="360" w:lineRule="auto"/>
              <w:ind w:firstLine="482" w:firstLineChars="200"/>
              <w:jc w:val="left"/>
              <w:rPr>
                <w:rFonts w:hint="default"/>
                <w:b/>
                <w:bCs/>
                <w:color w:val="auto"/>
                <w:sz w:val="24"/>
                <w:highlight w:val="none"/>
                <w:lang w:val="en-US" w:eastAsia="zh-CN"/>
              </w:rPr>
            </w:pPr>
            <w:r>
              <w:rPr>
                <w:rFonts w:hint="default"/>
                <w:b/>
                <w:bCs/>
                <w:color w:val="auto"/>
                <w:sz w:val="24"/>
                <w:highlight w:val="none"/>
                <w:lang w:val="en-US" w:eastAsia="zh-CN"/>
              </w:rPr>
              <w:t>（1）漕湖城镇综合功能区</w:t>
            </w:r>
          </w:p>
          <w:p w14:paraId="270E878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 w:val="0"/>
                <w:bCs w:val="0"/>
                <w:color w:val="auto"/>
                <w:sz w:val="24"/>
                <w:szCs w:val="24"/>
                <w:highlight w:val="none"/>
                <w:lang w:val="en-US" w:eastAsia="zh-CN"/>
              </w:rPr>
            </w:pPr>
            <w:r>
              <w:rPr>
                <w:rFonts w:hint="default"/>
                <w:b w:val="0"/>
                <w:bCs w:val="0"/>
                <w:color w:val="auto"/>
                <w:sz w:val="24"/>
                <w:szCs w:val="24"/>
                <w:highlight w:val="none"/>
                <w:lang w:val="en-US" w:eastAsia="zh-CN"/>
              </w:rPr>
              <w:t>位于规划区东南部，规划以居住功能为主，集商业服务、生态居住、文化休闲、商务研发四大功能的现代化综合性生活片区。</w:t>
            </w:r>
          </w:p>
          <w:p w14:paraId="4621640F">
            <w:pPr>
              <w:autoSpaceDE w:val="0"/>
              <w:autoSpaceDN w:val="0"/>
              <w:adjustRightInd w:val="0"/>
              <w:snapToGrid w:val="0"/>
              <w:spacing w:line="360" w:lineRule="auto"/>
              <w:ind w:firstLine="482" w:firstLineChars="200"/>
              <w:jc w:val="left"/>
              <w:rPr>
                <w:rFonts w:hint="default"/>
                <w:b/>
                <w:bCs/>
                <w:color w:val="auto"/>
                <w:sz w:val="24"/>
                <w:highlight w:val="none"/>
                <w:lang w:val="en-US" w:eastAsia="zh-CN"/>
              </w:rPr>
            </w:pPr>
            <w:r>
              <w:rPr>
                <w:rFonts w:hint="default"/>
                <w:b/>
                <w:bCs/>
                <w:color w:val="auto"/>
                <w:sz w:val="24"/>
                <w:highlight w:val="none"/>
                <w:lang w:val="en-US" w:eastAsia="zh-CN"/>
              </w:rPr>
              <w:t>（2）苏相合作区产业片区</w:t>
            </w:r>
          </w:p>
          <w:p w14:paraId="11F97AA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 w:val="0"/>
                <w:bCs w:val="0"/>
                <w:color w:val="auto"/>
                <w:sz w:val="24"/>
                <w:szCs w:val="24"/>
                <w:highlight w:val="none"/>
                <w:lang w:val="en-US" w:eastAsia="zh-CN"/>
              </w:rPr>
            </w:pPr>
            <w:r>
              <w:rPr>
                <w:rFonts w:hint="default"/>
                <w:b w:val="0"/>
                <w:bCs w:val="0"/>
                <w:color w:val="auto"/>
                <w:sz w:val="24"/>
                <w:szCs w:val="24"/>
                <w:highlight w:val="none"/>
                <w:lang w:val="en-US" w:eastAsia="zh-CN"/>
              </w:rPr>
              <w:t>位于漕湖以南、苏虞张公路西侧地区，是地区层面产业升级、合作示范的主要高端产业承载空间，形成以电子信息、精密机械、装备制造、生物医药、新能源、新材料、节能环保等主要产业类型的综合工业片区。</w:t>
            </w:r>
          </w:p>
          <w:p w14:paraId="63B433E4">
            <w:pPr>
              <w:autoSpaceDE w:val="0"/>
              <w:autoSpaceDN w:val="0"/>
              <w:adjustRightInd w:val="0"/>
              <w:snapToGrid w:val="0"/>
              <w:spacing w:line="360" w:lineRule="auto"/>
              <w:ind w:firstLine="482" w:firstLineChars="200"/>
              <w:jc w:val="left"/>
              <w:rPr>
                <w:rFonts w:hint="default"/>
                <w:b/>
                <w:bCs/>
                <w:color w:val="auto"/>
                <w:sz w:val="24"/>
                <w:highlight w:val="none"/>
                <w:lang w:val="en-US" w:eastAsia="zh-CN"/>
              </w:rPr>
            </w:pPr>
            <w:r>
              <w:rPr>
                <w:rFonts w:hint="default"/>
                <w:b/>
                <w:bCs/>
                <w:color w:val="auto"/>
                <w:sz w:val="24"/>
                <w:highlight w:val="none"/>
                <w:lang w:val="en-US" w:eastAsia="zh-CN"/>
              </w:rPr>
              <w:t>（3）北桥工业片区</w:t>
            </w:r>
          </w:p>
          <w:p w14:paraId="492049E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 w:val="0"/>
                <w:bCs w:val="0"/>
                <w:color w:val="auto"/>
                <w:sz w:val="24"/>
                <w:szCs w:val="24"/>
                <w:highlight w:val="none"/>
                <w:lang w:val="en-US" w:eastAsia="zh-CN"/>
              </w:rPr>
            </w:pPr>
            <w:r>
              <w:rPr>
                <w:rFonts w:hint="default"/>
                <w:b w:val="0"/>
                <w:bCs w:val="0"/>
                <w:color w:val="auto"/>
                <w:sz w:val="24"/>
                <w:szCs w:val="24"/>
                <w:highlight w:val="none"/>
                <w:lang w:val="en-US" w:eastAsia="zh-CN"/>
              </w:rPr>
              <w:t>位于广济北路以东、苏虞张公路两侧地区，既是北桥镇级工业的主要承载地区，又是苏相合作区产业发展的延伸拓展基地。</w:t>
            </w:r>
          </w:p>
          <w:p w14:paraId="6F0FAE01">
            <w:pPr>
              <w:autoSpaceDE w:val="0"/>
              <w:autoSpaceDN w:val="0"/>
              <w:adjustRightInd w:val="0"/>
              <w:snapToGrid w:val="0"/>
              <w:spacing w:line="360" w:lineRule="auto"/>
              <w:ind w:firstLine="482" w:firstLineChars="200"/>
              <w:jc w:val="left"/>
              <w:rPr>
                <w:rFonts w:hint="default"/>
                <w:b/>
                <w:bCs/>
                <w:color w:val="auto"/>
                <w:sz w:val="24"/>
                <w:highlight w:val="none"/>
                <w:lang w:val="en-US" w:eastAsia="zh-CN"/>
              </w:rPr>
            </w:pPr>
            <w:r>
              <w:rPr>
                <w:rFonts w:hint="default"/>
                <w:b/>
                <w:bCs/>
                <w:color w:val="auto"/>
                <w:sz w:val="24"/>
                <w:highlight w:val="none"/>
                <w:lang w:val="en-US" w:eastAsia="zh-CN"/>
              </w:rPr>
              <w:t>（4）生态农业观光区（乡村地区）</w:t>
            </w:r>
          </w:p>
          <w:p w14:paraId="6340823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 w:val="0"/>
                <w:bCs w:val="0"/>
                <w:color w:val="auto"/>
                <w:sz w:val="24"/>
                <w:szCs w:val="24"/>
                <w:highlight w:val="none"/>
                <w:lang w:val="en-US" w:eastAsia="zh-CN"/>
              </w:rPr>
            </w:pPr>
            <w:r>
              <w:rPr>
                <w:rFonts w:hint="default"/>
                <w:b w:val="0"/>
                <w:bCs w:val="0"/>
                <w:color w:val="auto"/>
                <w:sz w:val="24"/>
                <w:szCs w:val="24"/>
                <w:highlight w:val="none"/>
                <w:lang w:val="en-US" w:eastAsia="zh-CN"/>
              </w:rPr>
              <w:t>位于北部区域，依托灵峰村的现有产业基础，发展为集农业生产、科教、游览功能于一体的高产、高效、优质的生态农业观光区，以兼顾生态保育和复兴乡土文化为目标，建设美丽乡村，形成各具特色的乡村空间。</w:t>
            </w:r>
          </w:p>
          <w:p w14:paraId="4F5E9DA2">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b w:val="0"/>
                <w:bCs w:val="0"/>
                <w:color w:val="auto"/>
                <w:sz w:val="24"/>
                <w:szCs w:val="24"/>
                <w:highlight w:val="none"/>
                <w:lang w:val="en-US" w:eastAsia="zh-CN"/>
              </w:rPr>
            </w:pPr>
            <w:r>
              <w:rPr>
                <w:rFonts w:hint="eastAsia"/>
                <w:b/>
                <w:bCs/>
                <w:color w:val="auto"/>
                <w:sz w:val="24"/>
                <w:szCs w:val="24"/>
                <w:highlight w:val="none"/>
                <w:lang w:val="en-US" w:eastAsia="zh-CN"/>
              </w:rPr>
              <w:t>相符性分析：</w:t>
            </w:r>
            <w:r>
              <w:rPr>
                <w:rFonts w:hint="default"/>
                <w:b w:val="0"/>
                <w:bCs w:val="0"/>
                <w:color w:val="auto"/>
                <w:sz w:val="24"/>
                <w:szCs w:val="24"/>
                <w:highlight w:val="none"/>
                <w:lang w:val="en-US" w:eastAsia="zh-CN"/>
              </w:rPr>
              <w:t>本项目位于苏州市漕湖街道永昌路28号A栋11单元，位于苏相合作区</w:t>
            </w:r>
            <w:r>
              <w:rPr>
                <w:rFonts w:hint="eastAsia"/>
                <w:b w:val="0"/>
                <w:bCs w:val="0"/>
                <w:color w:val="auto"/>
                <w:sz w:val="24"/>
                <w:szCs w:val="24"/>
                <w:highlight w:val="none"/>
                <w:lang w:val="en-US" w:eastAsia="zh-CN"/>
              </w:rPr>
              <w:t>产业片</w:t>
            </w:r>
            <w:r>
              <w:rPr>
                <w:rFonts w:hint="default"/>
                <w:b w:val="0"/>
                <w:bCs w:val="0"/>
                <w:color w:val="auto"/>
                <w:sz w:val="24"/>
                <w:szCs w:val="24"/>
                <w:highlight w:val="none"/>
                <w:lang w:val="en-US" w:eastAsia="zh-CN"/>
              </w:rPr>
              <w:t>区，项目主要进行航空航天精密零部件和其他精密零部件</w:t>
            </w:r>
            <w:r>
              <w:rPr>
                <w:rFonts w:hint="eastAsia"/>
                <w:b w:val="0"/>
                <w:bCs w:val="0"/>
                <w:color w:val="auto"/>
                <w:sz w:val="24"/>
                <w:szCs w:val="24"/>
                <w:highlight w:val="none"/>
                <w:lang w:val="en-US" w:eastAsia="zh-CN"/>
              </w:rPr>
              <w:t>的生产</w:t>
            </w:r>
            <w:r>
              <w:rPr>
                <w:rFonts w:hint="default"/>
                <w:b w:val="0"/>
                <w:bCs w:val="0"/>
                <w:color w:val="auto"/>
                <w:sz w:val="24"/>
                <w:szCs w:val="24"/>
                <w:highlight w:val="none"/>
                <w:lang w:val="en-US" w:eastAsia="zh-CN"/>
              </w:rPr>
              <w:t>，</w:t>
            </w:r>
            <w:r>
              <w:rPr>
                <w:rFonts w:hint="eastAsia"/>
                <w:b w:val="0"/>
                <w:bCs w:val="0"/>
                <w:color w:val="auto"/>
                <w:sz w:val="24"/>
                <w:szCs w:val="24"/>
                <w:highlight w:val="none"/>
                <w:lang w:val="en-US" w:eastAsia="zh-CN"/>
              </w:rPr>
              <w:t>属于</w:t>
            </w:r>
            <w:r>
              <w:rPr>
                <w:rFonts w:hint="eastAsia"/>
                <w:b w:val="0"/>
                <w:bCs/>
                <w:color w:val="auto"/>
                <w:kern w:val="0"/>
                <w:sz w:val="24"/>
                <w:szCs w:val="24"/>
                <w:highlight w:val="none"/>
                <w:lang w:val="en-US" w:eastAsia="zh-CN"/>
              </w:rPr>
              <w:t>“装备制造”的配套产业</w:t>
            </w:r>
            <w:r>
              <w:rPr>
                <w:rFonts w:hint="default"/>
                <w:b w:val="0"/>
                <w:bCs w:val="0"/>
                <w:color w:val="auto"/>
                <w:sz w:val="24"/>
                <w:szCs w:val="24"/>
                <w:highlight w:val="none"/>
                <w:lang w:val="en-US" w:eastAsia="zh-CN"/>
              </w:rPr>
              <w:t>，符合产业方向规划要求。根据《苏州市相城区漕湖北桥东部、南部片区控制性详细规划用地规划图》</w:t>
            </w:r>
            <w:r>
              <w:rPr>
                <w:rFonts w:hint="eastAsia"/>
                <w:b w:val="0"/>
                <w:bCs w:val="0"/>
                <w:color w:val="auto"/>
                <w:sz w:val="24"/>
                <w:szCs w:val="24"/>
                <w:highlight w:val="none"/>
                <w:lang w:val="en-US" w:eastAsia="zh-CN"/>
              </w:rPr>
              <w:t>（附图六）</w:t>
            </w:r>
            <w:r>
              <w:rPr>
                <w:rFonts w:hint="default"/>
                <w:b w:val="0"/>
                <w:bCs w:val="0"/>
                <w:color w:val="auto"/>
                <w:sz w:val="24"/>
                <w:szCs w:val="24"/>
                <w:highlight w:val="none"/>
                <w:lang w:val="en-US" w:eastAsia="zh-CN"/>
              </w:rPr>
              <w:t>，项目所在地为工业用地，与规划相符。</w:t>
            </w:r>
          </w:p>
          <w:p w14:paraId="4791DE27">
            <w:pPr>
              <w:autoSpaceDE w:val="0"/>
              <w:autoSpaceDN w:val="0"/>
              <w:adjustRightInd w:val="0"/>
              <w:snapToGrid w:val="0"/>
              <w:spacing w:line="360" w:lineRule="auto"/>
              <w:jc w:val="left"/>
              <w:rPr>
                <w:rFonts w:hint="eastAsia"/>
                <w:b/>
                <w:bCs/>
                <w:color w:val="auto"/>
                <w:sz w:val="24"/>
                <w:szCs w:val="24"/>
                <w:highlight w:val="none"/>
                <w:lang w:val="en-US" w:eastAsia="zh-CN"/>
              </w:rPr>
            </w:pPr>
            <w:r>
              <w:rPr>
                <w:rFonts w:hint="eastAsia"/>
                <w:b/>
                <w:bCs/>
                <w:color w:val="auto"/>
                <w:sz w:val="24"/>
                <w:szCs w:val="24"/>
                <w:highlight w:val="none"/>
                <w:lang w:val="en-US" w:eastAsia="zh-CN"/>
              </w:rPr>
              <w:t>4、</w:t>
            </w:r>
            <w:r>
              <w:rPr>
                <w:rFonts w:hint="eastAsia"/>
                <w:b/>
                <w:bCs/>
                <w:color w:val="auto"/>
                <w:sz w:val="24"/>
                <w:highlight w:val="none"/>
              </w:rPr>
              <w:t>与《苏州市相城区国土空间总体规划</w:t>
            </w:r>
            <w:r>
              <w:rPr>
                <w:rFonts w:hint="eastAsia"/>
                <w:b/>
                <w:bCs/>
                <w:color w:val="auto"/>
                <w:sz w:val="24"/>
                <w:highlight w:val="none"/>
                <w:lang w:eastAsia="zh-CN"/>
              </w:rPr>
              <w:t>（</w:t>
            </w:r>
            <w:r>
              <w:rPr>
                <w:rFonts w:hint="eastAsia"/>
                <w:b/>
                <w:bCs/>
                <w:color w:val="auto"/>
                <w:sz w:val="24"/>
                <w:highlight w:val="none"/>
              </w:rPr>
              <w:t>2021-2035</w:t>
            </w:r>
            <w:r>
              <w:rPr>
                <w:rFonts w:hint="eastAsia"/>
                <w:b/>
                <w:bCs/>
                <w:color w:val="auto"/>
                <w:sz w:val="24"/>
                <w:highlight w:val="none"/>
                <w:lang w:eastAsia="zh-CN"/>
              </w:rPr>
              <w:t>）</w:t>
            </w:r>
            <w:r>
              <w:rPr>
                <w:rFonts w:hint="eastAsia"/>
                <w:b/>
                <w:bCs/>
                <w:color w:val="auto"/>
                <w:sz w:val="24"/>
                <w:highlight w:val="none"/>
              </w:rPr>
              <w:t>》相符性分析</w:t>
            </w:r>
          </w:p>
          <w:p w14:paraId="5930DA84">
            <w:pPr>
              <w:autoSpaceDE w:val="0"/>
              <w:autoSpaceDN w:val="0"/>
              <w:adjustRightInd w:val="0"/>
              <w:snapToGrid w:val="0"/>
              <w:spacing w:line="360" w:lineRule="auto"/>
              <w:ind w:firstLine="480" w:firstLineChars="200"/>
              <w:jc w:val="left"/>
              <w:rPr>
                <w:rFonts w:hint="eastAsia" w:eastAsia="宋体"/>
                <w:color w:val="auto"/>
                <w:kern w:val="0"/>
                <w:sz w:val="24"/>
                <w:highlight w:val="none"/>
                <w:lang w:eastAsia="zh-CN"/>
              </w:rPr>
            </w:pPr>
            <w:r>
              <w:rPr>
                <w:rFonts w:hint="eastAsia"/>
                <w:color w:val="auto"/>
                <w:kern w:val="0"/>
                <w:sz w:val="24"/>
                <w:highlight w:val="none"/>
              </w:rPr>
              <w:t>统筹划定</w:t>
            </w:r>
            <w:r>
              <w:rPr>
                <w:rFonts w:hint="eastAsia"/>
                <w:color w:val="auto"/>
                <w:kern w:val="0"/>
                <w:sz w:val="24"/>
                <w:highlight w:val="none"/>
                <w:lang w:eastAsia="zh-CN"/>
              </w:rPr>
              <w:t>“</w:t>
            </w:r>
            <w:r>
              <w:rPr>
                <w:rFonts w:hint="eastAsia"/>
                <w:color w:val="auto"/>
                <w:kern w:val="0"/>
                <w:sz w:val="24"/>
                <w:highlight w:val="none"/>
              </w:rPr>
              <w:t>三区三线</w:t>
            </w:r>
            <w:r>
              <w:rPr>
                <w:rFonts w:hint="eastAsia"/>
                <w:color w:val="auto"/>
                <w:kern w:val="0"/>
                <w:sz w:val="24"/>
                <w:highlight w:val="none"/>
                <w:lang w:eastAsia="zh-CN"/>
              </w:rPr>
              <w:t>”：</w:t>
            </w:r>
          </w:p>
          <w:p w14:paraId="7275840D">
            <w:pPr>
              <w:numPr>
                <w:ilvl w:val="0"/>
                <w:numId w:val="0"/>
              </w:numPr>
              <w:autoSpaceDE w:val="0"/>
              <w:autoSpaceDN w:val="0"/>
              <w:adjustRightInd w:val="0"/>
              <w:snapToGrid w:val="0"/>
              <w:spacing w:line="360" w:lineRule="auto"/>
              <w:ind w:firstLine="480" w:firstLineChars="200"/>
              <w:jc w:val="both"/>
              <w:rPr>
                <w:rFonts w:hint="eastAsia" w:eastAsia="宋体"/>
                <w:color w:val="auto"/>
                <w:kern w:val="0"/>
                <w:sz w:val="24"/>
                <w:highlight w:val="none"/>
                <w:lang w:eastAsia="zh-CN"/>
              </w:rPr>
            </w:pPr>
            <w:r>
              <w:rPr>
                <w:rFonts w:hint="eastAsia" w:cs="Times New Roman"/>
                <w:color w:val="auto"/>
                <w:kern w:val="0"/>
                <w:sz w:val="24"/>
                <w:szCs w:val="24"/>
                <w:highlight w:val="none"/>
                <w:lang w:val="en-US" w:eastAsia="zh-CN" w:bidi="ar-SA"/>
              </w:rPr>
              <w:t>①</w:t>
            </w:r>
            <w:r>
              <w:rPr>
                <w:rFonts w:hint="eastAsia"/>
                <w:color w:val="auto"/>
                <w:kern w:val="0"/>
                <w:sz w:val="24"/>
                <w:highlight w:val="none"/>
              </w:rPr>
              <w:t>耕地和永久基本农田保护红线</w:t>
            </w:r>
            <w:r>
              <w:rPr>
                <w:rFonts w:hint="eastAsia"/>
                <w:color w:val="auto"/>
                <w:kern w:val="0"/>
                <w:sz w:val="24"/>
                <w:highlight w:val="none"/>
                <w:lang w:eastAsia="zh-CN"/>
              </w:rPr>
              <w:t>：</w:t>
            </w:r>
            <w:r>
              <w:rPr>
                <w:rFonts w:hint="eastAsia"/>
                <w:color w:val="auto"/>
                <w:kern w:val="0"/>
                <w:sz w:val="24"/>
                <w:highlight w:val="none"/>
              </w:rPr>
              <w:t>规划期末耕地保有量不低于55.2513平方千米</w:t>
            </w:r>
            <w:r>
              <w:rPr>
                <w:rFonts w:hint="eastAsia"/>
                <w:color w:val="auto"/>
                <w:kern w:val="0"/>
                <w:sz w:val="24"/>
                <w:highlight w:val="none"/>
                <w:lang w:eastAsia="zh-CN"/>
              </w:rPr>
              <w:t>（</w:t>
            </w:r>
            <w:r>
              <w:rPr>
                <w:rFonts w:hint="eastAsia"/>
                <w:color w:val="auto"/>
                <w:kern w:val="0"/>
                <w:sz w:val="24"/>
                <w:highlight w:val="none"/>
              </w:rPr>
              <w:t>8.2877万亩</w:t>
            </w:r>
            <w:r>
              <w:rPr>
                <w:rFonts w:hint="eastAsia"/>
                <w:color w:val="auto"/>
                <w:kern w:val="0"/>
                <w:sz w:val="24"/>
                <w:highlight w:val="none"/>
                <w:lang w:eastAsia="zh-CN"/>
              </w:rPr>
              <w:t>）</w:t>
            </w:r>
            <w:r>
              <w:rPr>
                <w:rFonts w:hint="eastAsia"/>
                <w:color w:val="auto"/>
                <w:kern w:val="0"/>
                <w:sz w:val="24"/>
                <w:highlight w:val="none"/>
              </w:rPr>
              <w:t>，永久基本农田保护任务不低于49.1341平方千米</w:t>
            </w:r>
            <w:r>
              <w:rPr>
                <w:rFonts w:hint="eastAsia"/>
                <w:color w:val="auto"/>
                <w:kern w:val="0"/>
                <w:sz w:val="24"/>
                <w:highlight w:val="none"/>
                <w:lang w:eastAsia="zh-CN"/>
              </w:rPr>
              <w:t>（</w:t>
            </w:r>
            <w:r>
              <w:rPr>
                <w:rFonts w:hint="eastAsia"/>
                <w:color w:val="auto"/>
                <w:kern w:val="0"/>
                <w:sz w:val="24"/>
                <w:highlight w:val="none"/>
              </w:rPr>
              <w:t>7.3701万亩</w:t>
            </w:r>
            <w:r>
              <w:rPr>
                <w:rFonts w:hint="eastAsia"/>
                <w:color w:val="auto"/>
                <w:kern w:val="0"/>
                <w:sz w:val="24"/>
                <w:highlight w:val="none"/>
                <w:lang w:eastAsia="zh-CN"/>
              </w:rPr>
              <w:t>）。</w:t>
            </w:r>
          </w:p>
          <w:p w14:paraId="683A8D58">
            <w:pPr>
              <w:numPr>
                <w:ilvl w:val="0"/>
                <w:numId w:val="0"/>
              </w:numPr>
              <w:autoSpaceDE w:val="0"/>
              <w:autoSpaceDN w:val="0"/>
              <w:adjustRightInd w:val="0"/>
              <w:snapToGrid w:val="0"/>
              <w:spacing w:line="360" w:lineRule="auto"/>
              <w:ind w:firstLine="480" w:firstLineChars="200"/>
              <w:jc w:val="both"/>
              <w:rPr>
                <w:rFonts w:hint="eastAsia" w:eastAsia="宋体"/>
                <w:color w:val="auto"/>
                <w:kern w:val="0"/>
                <w:sz w:val="24"/>
                <w:highlight w:val="none"/>
                <w:lang w:eastAsia="zh-CN"/>
              </w:rPr>
            </w:pPr>
            <w:r>
              <w:rPr>
                <w:rFonts w:hint="eastAsia"/>
                <w:color w:val="auto"/>
                <w:kern w:val="0"/>
                <w:sz w:val="24"/>
                <w:highlight w:val="none"/>
                <w:lang w:val="en-US" w:eastAsia="zh-CN"/>
              </w:rPr>
              <w:t>②</w:t>
            </w:r>
            <w:r>
              <w:rPr>
                <w:rFonts w:hint="eastAsia"/>
                <w:color w:val="auto"/>
                <w:kern w:val="0"/>
                <w:sz w:val="24"/>
                <w:highlight w:val="none"/>
              </w:rPr>
              <w:t>生态保护红线</w:t>
            </w:r>
            <w:r>
              <w:rPr>
                <w:rFonts w:hint="eastAsia"/>
                <w:color w:val="auto"/>
                <w:kern w:val="0"/>
                <w:sz w:val="24"/>
                <w:highlight w:val="none"/>
                <w:lang w:eastAsia="zh-CN"/>
              </w:rPr>
              <w:t>：</w:t>
            </w:r>
            <w:r>
              <w:rPr>
                <w:rFonts w:hint="eastAsia"/>
                <w:color w:val="auto"/>
                <w:kern w:val="0"/>
                <w:sz w:val="24"/>
                <w:highlight w:val="none"/>
              </w:rPr>
              <w:t>生态保护红线总面积不低于21.0413平方千米</w:t>
            </w:r>
            <w:r>
              <w:rPr>
                <w:rFonts w:hint="eastAsia"/>
                <w:color w:val="auto"/>
                <w:kern w:val="0"/>
                <w:sz w:val="24"/>
                <w:highlight w:val="none"/>
                <w:lang w:eastAsia="zh-CN"/>
              </w:rPr>
              <w:t>（</w:t>
            </w:r>
            <w:r>
              <w:rPr>
                <w:rFonts w:hint="eastAsia"/>
                <w:color w:val="auto"/>
                <w:kern w:val="0"/>
                <w:sz w:val="24"/>
                <w:highlight w:val="none"/>
              </w:rPr>
              <w:t>3.1562万亩</w:t>
            </w:r>
            <w:r>
              <w:rPr>
                <w:rFonts w:hint="eastAsia"/>
                <w:color w:val="auto"/>
                <w:kern w:val="0"/>
                <w:sz w:val="24"/>
                <w:highlight w:val="none"/>
                <w:lang w:eastAsia="zh-CN"/>
              </w:rPr>
              <w:t>）</w:t>
            </w:r>
            <w:r>
              <w:rPr>
                <w:rFonts w:hint="eastAsia"/>
                <w:color w:val="auto"/>
                <w:kern w:val="0"/>
                <w:sz w:val="24"/>
                <w:highlight w:val="none"/>
              </w:rPr>
              <w:t>，包括江苏苏州荷塘月色省级湿地公园、太湖重要湿地、太湖金墅港饮用水水源保护</w:t>
            </w:r>
            <w:r>
              <w:rPr>
                <w:rFonts w:hint="eastAsia"/>
                <w:color w:val="auto"/>
                <w:highlight w:val="none"/>
                <w:lang w:eastAsia="zh-CN"/>
              </w:rPr>
              <w:t>。</w:t>
            </w:r>
          </w:p>
          <w:p w14:paraId="70B88C96">
            <w:pPr>
              <w:autoSpaceDE w:val="0"/>
              <w:autoSpaceDN w:val="0"/>
              <w:adjustRightInd w:val="0"/>
              <w:snapToGrid w:val="0"/>
              <w:spacing w:line="360" w:lineRule="auto"/>
              <w:ind w:firstLine="480" w:firstLineChars="200"/>
              <w:jc w:val="both"/>
              <w:rPr>
                <w:rFonts w:hint="eastAsia"/>
                <w:color w:val="auto"/>
                <w:kern w:val="0"/>
                <w:sz w:val="24"/>
                <w:highlight w:val="none"/>
              </w:rPr>
            </w:pPr>
            <w:r>
              <w:rPr>
                <w:rFonts w:hint="eastAsia"/>
                <w:color w:val="auto"/>
                <w:kern w:val="0"/>
                <w:sz w:val="24"/>
                <w:highlight w:val="none"/>
                <w:lang w:val="en-US" w:eastAsia="zh-CN"/>
              </w:rPr>
              <w:t>③</w:t>
            </w:r>
            <w:r>
              <w:rPr>
                <w:rFonts w:hint="eastAsia"/>
                <w:color w:val="auto"/>
                <w:kern w:val="0"/>
                <w:sz w:val="24"/>
                <w:highlight w:val="none"/>
              </w:rPr>
              <w:t>城镇开发边界</w:t>
            </w:r>
            <w:r>
              <w:rPr>
                <w:rFonts w:hint="eastAsia"/>
                <w:color w:val="auto"/>
                <w:kern w:val="0"/>
                <w:sz w:val="24"/>
                <w:highlight w:val="none"/>
                <w:lang w:eastAsia="zh-CN"/>
              </w:rPr>
              <w:t>：</w:t>
            </w:r>
            <w:r>
              <w:rPr>
                <w:rFonts w:hint="eastAsia"/>
                <w:color w:val="auto"/>
                <w:kern w:val="0"/>
                <w:sz w:val="24"/>
                <w:highlight w:val="none"/>
              </w:rPr>
              <w:t>城镇开发边界扩展倍数为1.2458，主要覆盖相城中心城区及外围乡镇建设区域。</w:t>
            </w:r>
          </w:p>
          <w:p w14:paraId="78C8C59B">
            <w:pPr>
              <w:autoSpaceDE w:val="0"/>
              <w:autoSpaceDN w:val="0"/>
              <w:adjustRightInd w:val="0"/>
              <w:snapToGrid w:val="0"/>
              <w:spacing w:line="360" w:lineRule="auto"/>
              <w:ind w:firstLine="482" w:firstLineChars="200"/>
              <w:jc w:val="left"/>
              <w:rPr>
                <w:rFonts w:hint="eastAsia"/>
                <w:b/>
                <w:bCs/>
                <w:color w:val="auto"/>
                <w:kern w:val="0"/>
                <w:sz w:val="24"/>
                <w:highlight w:val="none"/>
              </w:rPr>
            </w:pPr>
            <w:r>
              <w:rPr>
                <w:rFonts w:hint="eastAsia"/>
                <w:b/>
                <w:bCs/>
                <w:color w:val="auto"/>
                <w:kern w:val="0"/>
                <w:sz w:val="24"/>
                <w:highlight w:val="none"/>
              </w:rPr>
              <w:t>相符性分析</w:t>
            </w:r>
            <w:r>
              <w:rPr>
                <w:rFonts w:hint="eastAsia"/>
                <w:b/>
                <w:bCs/>
                <w:color w:val="auto"/>
                <w:kern w:val="0"/>
                <w:sz w:val="24"/>
                <w:highlight w:val="none"/>
                <w:lang w:eastAsia="zh-CN"/>
              </w:rPr>
              <w:t>：</w:t>
            </w:r>
          </w:p>
          <w:p w14:paraId="012F594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color w:val="auto"/>
                <w:sz w:val="24"/>
                <w:szCs w:val="24"/>
                <w:highlight w:val="none"/>
                <w:lang w:val="en-US" w:eastAsia="zh-CN"/>
              </w:rPr>
            </w:pPr>
            <w:r>
              <w:rPr>
                <w:rFonts w:hint="eastAsia"/>
                <w:b w:val="0"/>
                <w:bCs w:val="0"/>
                <w:color w:val="auto"/>
                <w:sz w:val="24"/>
                <w:highlight w:val="none"/>
              </w:rPr>
              <w:t>根据《苏州市相城区国土空间总体规划</w:t>
            </w:r>
            <w:r>
              <w:rPr>
                <w:rFonts w:hint="eastAsia"/>
                <w:b w:val="0"/>
                <w:bCs w:val="0"/>
                <w:color w:val="auto"/>
                <w:sz w:val="24"/>
                <w:highlight w:val="none"/>
                <w:lang w:eastAsia="zh-CN"/>
              </w:rPr>
              <w:t>（</w:t>
            </w:r>
            <w:r>
              <w:rPr>
                <w:rFonts w:hint="eastAsia"/>
                <w:b w:val="0"/>
                <w:bCs w:val="0"/>
                <w:color w:val="auto"/>
                <w:sz w:val="24"/>
                <w:highlight w:val="none"/>
              </w:rPr>
              <w:t>2021-2035</w:t>
            </w:r>
            <w:r>
              <w:rPr>
                <w:rFonts w:hint="eastAsia"/>
                <w:b w:val="0"/>
                <w:bCs w:val="0"/>
                <w:color w:val="auto"/>
                <w:sz w:val="24"/>
                <w:highlight w:val="none"/>
                <w:lang w:eastAsia="zh-CN"/>
              </w:rPr>
              <w:t>）</w:t>
            </w:r>
            <w:r>
              <w:rPr>
                <w:rFonts w:hint="eastAsia"/>
                <w:b w:val="0"/>
                <w:bCs w:val="0"/>
                <w:color w:val="auto"/>
                <w:sz w:val="24"/>
                <w:highlight w:val="none"/>
              </w:rPr>
              <w:t>》国土空间控制线规划图</w:t>
            </w:r>
            <w:r>
              <w:rPr>
                <w:rFonts w:hint="eastAsia"/>
                <w:b w:val="0"/>
                <w:bCs w:val="0"/>
                <w:color w:val="auto"/>
                <w:sz w:val="24"/>
                <w:highlight w:val="none"/>
                <w:lang w:eastAsia="zh-CN"/>
              </w:rPr>
              <w:t>（</w:t>
            </w:r>
            <w:r>
              <w:rPr>
                <w:rFonts w:hint="eastAsia"/>
                <w:b w:val="0"/>
                <w:bCs w:val="0"/>
                <w:color w:val="auto"/>
                <w:sz w:val="24"/>
                <w:highlight w:val="none"/>
                <w:lang w:val="en-US" w:eastAsia="zh-CN"/>
              </w:rPr>
              <w:t>详见附图十</w:t>
            </w:r>
            <w:r>
              <w:rPr>
                <w:rFonts w:hint="eastAsia"/>
                <w:b w:val="0"/>
                <w:bCs w:val="0"/>
                <w:color w:val="auto"/>
                <w:sz w:val="24"/>
                <w:highlight w:val="none"/>
                <w:lang w:eastAsia="zh-CN"/>
              </w:rPr>
              <w:t>），</w:t>
            </w:r>
            <w:r>
              <w:rPr>
                <w:rFonts w:hint="eastAsia"/>
                <w:b w:val="0"/>
                <w:bCs w:val="0"/>
                <w:color w:val="auto"/>
                <w:sz w:val="24"/>
                <w:highlight w:val="none"/>
              </w:rPr>
              <w:t>本项目所在地</w:t>
            </w:r>
            <w:r>
              <w:rPr>
                <w:rFonts w:hint="eastAsia"/>
                <w:b w:val="0"/>
                <w:bCs w:val="0"/>
                <w:color w:val="auto"/>
                <w:sz w:val="24"/>
                <w:highlight w:val="none"/>
                <w:lang w:val="en-US" w:eastAsia="zh-CN"/>
              </w:rPr>
              <w:t>位于</w:t>
            </w:r>
            <w:r>
              <w:rPr>
                <w:rFonts w:hint="eastAsia"/>
                <w:b w:val="0"/>
                <w:bCs w:val="0"/>
                <w:color w:val="auto"/>
                <w:sz w:val="24"/>
                <w:highlight w:val="none"/>
              </w:rPr>
              <w:t>城镇开发边界</w:t>
            </w:r>
            <w:r>
              <w:rPr>
                <w:rFonts w:hint="eastAsia"/>
                <w:b w:val="0"/>
                <w:bCs w:val="0"/>
                <w:color w:val="auto"/>
                <w:sz w:val="24"/>
                <w:highlight w:val="none"/>
                <w:lang w:eastAsia="zh-CN"/>
              </w:rPr>
              <w:t>，</w:t>
            </w:r>
            <w:r>
              <w:rPr>
                <w:rFonts w:hint="eastAsia"/>
                <w:b w:val="0"/>
                <w:bCs w:val="0"/>
                <w:color w:val="auto"/>
                <w:kern w:val="0"/>
                <w:sz w:val="24"/>
                <w:highlight w:val="none"/>
              </w:rPr>
              <w:t>不在永久基本农田、生态保护红线范围内。</w:t>
            </w:r>
            <w:r>
              <w:rPr>
                <w:rFonts w:hint="eastAsia"/>
                <w:b w:val="0"/>
                <w:bCs w:val="0"/>
                <w:color w:val="auto"/>
                <w:sz w:val="24"/>
                <w:highlight w:val="none"/>
              </w:rPr>
              <w:t>因此符合《苏州市相城区国土空间总体规划</w:t>
            </w:r>
            <w:r>
              <w:rPr>
                <w:rFonts w:hint="eastAsia"/>
                <w:b w:val="0"/>
                <w:bCs w:val="0"/>
                <w:color w:val="auto"/>
                <w:sz w:val="24"/>
                <w:highlight w:val="none"/>
                <w:lang w:eastAsia="zh-CN"/>
              </w:rPr>
              <w:t>（</w:t>
            </w:r>
            <w:r>
              <w:rPr>
                <w:rFonts w:hint="eastAsia"/>
                <w:b w:val="0"/>
                <w:bCs w:val="0"/>
                <w:color w:val="auto"/>
                <w:sz w:val="24"/>
                <w:highlight w:val="none"/>
              </w:rPr>
              <w:t>2021-2035</w:t>
            </w:r>
            <w:r>
              <w:rPr>
                <w:rFonts w:hint="eastAsia"/>
                <w:b w:val="0"/>
                <w:bCs w:val="0"/>
                <w:color w:val="auto"/>
                <w:sz w:val="24"/>
                <w:highlight w:val="none"/>
                <w:lang w:eastAsia="zh-CN"/>
              </w:rPr>
              <w:t>）</w:t>
            </w:r>
            <w:r>
              <w:rPr>
                <w:rFonts w:hint="eastAsia"/>
                <w:b w:val="0"/>
                <w:bCs w:val="0"/>
                <w:color w:val="auto"/>
                <w:sz w:val="24"/>
                <w:highlight w:val="none"/>
              </w:rPr>
              <w:t>》</w:t>
            </w:r>
            <w:r>
              <w:rPr>
                <w:rFonts w:hint="eastAsia"/>
                <w:b w:val="0"/>
                <w:bCs w:val="0"/>
                <w:color w:val="auto"/>
                <w:sz w:val="24"/>
                <w:highlight w:val="none"/>
                <w:lang w:val="en-US" w:eastAsia="zh-CN"/>
              </w:rPr>
              <w:t>的</w:t>
            </w:r>
            <w:r>
              <w:rPr>
                <w:rFonts w:hint="eastAsia"/>
                <w:b w:val="0"/>
                <w:bCs w:val="0"/>
                <w:color w:val="auto"/>
                <w:sz w:val="24"/>
                <w:highlight w:val="none"/>
              </w:rPr>
              <w:t>相关要求</w:t>
            </w:r>
            <w:r>
              <w:rPr>
                <w:rFonts w:hint="eastAsia"/>
                <w:color w:val="auto"/>
                <w:sz w:val="24"/>
                <w:szCs w:val="24"/>
                <w:highlight w:val="none"/>
                <w:lang w:val="en-US" w:eastAsia="zh-CN"/>
              </w:rPr>
              <w:t>。</w:t>
            </w:r>
          </w:p>
          <w:p w14:paraId="67C57ADF">
            <w:pPr>
              <w:autoSpaceDE w:val="0"/>
              <w:autoSpaceDN w:val="0"/>
              <w:adjustRightInd w:val="0"/>
              <w:snapToGrid w:val="0"/>
              <w:spacing w:line="360" w:lineRule="auto"/>
              <w:rPr>
                <w:rFonts w:hint="default"/>
                <w:b/>
                <w:bCs/>
                <w:color w:val="auto"/>
                <w:kern w:val="0"/>
                <w:sz w:val="24"/>
                <w:szCs w:val="24"/>
                <w:highlight w:val="none"/>
                <w:lang w:val="en-US" w:eastAsia="zh-CN"/>
              </w:rPr>
            </w:pPr>
            <w:r>
              <w:rPr>
                <w:rFonts w:hint="eastAsia"/>
                <w:b/>
                <w:bCs/>
                <w:color w:val="auto"/>
                <w:kern w:val="0"/>
                <w:sz w:val="24"/>
                <w:szCs w:val="24"/>
                <w:highlight w:val="none"/>
                <w:lang w:val="en-US" w:eastAsia="zh-CN"/>
              </w:rPr>
              <w:t>5、与《苏州工业园区苏相合作区XC0406、XC0501、XC0502、XC0503单元国土空间详细规划》相符性分析</w:t>
            </w:r>
          </w:p>
          <w:p w14:paraId="54131DDD">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b/>
                <w:bCs/>
                <w:color w:val="auto"/>
                <w:sz w:val="24"/>
                <w:highlight w:val="none"/>
                <w:lang w:val="en-US" w:eastAsia="zh-CN"/>
              </w:rPr>
            </w:pPr>
            <w:r>
              <w:rPr>
                <w:rFonts w:hint="default"/>
                <w:b/>
                <w:bCs/>
                <w:color w:val="auto"/>
                <w:sz w:val="24"/>
                <w:highlight w:val="none"/>
                <w:lang w:val="en-US" w:eastAsia="zh-CN"/>
              </w:rPr>
              <w:t>XC0501单元规划范围：</w:t>
            </w:r>
          </w:p>
          <w:p w14:paraId="2C3A88B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 w:val="0"/>
                <w:bCs w:val="0"/>
                <w:color w:val="auto"/>
                <w:sz w:val="24"/>
                <w:highlight w:val="none"/>
                <w:lang w:val="en-US" w:eastAsia="zh-CN"/>
              </w:rPr>
            </w:pPr>
            <w:r>
              <w:rPr>
                <w:rFonts w:hint="default"/>
                <w:b w:val="0"/>
                <w:bCs w:val="0"/>
                <w:color w:val="auto"/>
                <w:sz w:val="24"/>
                <w:highlight w:val="none"/>
                <w:lang w:val="en-US" w:eastAsia="zh-CN"/>
              </w:rPr>
              <w:t>东至广济北路—漕湖大道—五星路，北至苏台高速，西至康阳路—琳桥路，南至太东路。总面积15.78平方公里。</w:t>
            </w:r>
          </w:p>
          <w:p w14:paraId="07119814">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b/>
                <w:bCs/>
                <w:color w:val="auto"/>
                <w:sz w:val="24"/>
                <w:highlight w:val="none"/>
                <w:lang w:val="en-US" w:eastAsia="zh-CN"/>
              </w:rPr>
            </w:pPr>
            <w:r>
              <w:rPr>
                <w:rFonts w:hint="default"/>
                <w:b/>
                <w:bCs/>
                <w:color w:val="auto"/>
                <w:sz w:val="24"/>
                <w:highlight w:val="none"/>
                <w:lang w:val="en-US" w:eastAsia="zh-CN"/>
              </w:rPr>
              <w:t>XC0501单元功能定位：</w:t>
            </w:r>
          </w:p>
          <w:p w14:paraId="37FFDA4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 w:val="0"/>
                <w:bCs w:val="0"/>
                <w:color w:val="auto"/>
                <w:sz w:val="24"/>
                <w:highlight w:val="none"/>
                <w:lang w:val="en-US" w:eastAsia="zh-CN"/>
              </w:rPr>
            </w:pPr>
            <w:r>
              <w:rPr>
                <w:rFonts w:hint="default"/>
                <w:b w:val="0"/>
                <w:bCs w:val="0"/>
                <w:color w:val="auto"/>
                <w:sz w:val="24"/>
                <w:highlight w:val="none"/>
                <w:lang w:val="en-US" w:eastAsia="zh-CN"/>
              </w:rPr>
              <w:t>规划区以生产智造为主，科创孵化、服务共享为辅，承接园区外溢产业的同时，打造成为服务周边产业与城市发展的智能制造集聚地。</w:t>
            </w:r>
          </w:p>
          <w:p w14:paraId="0732FEE0">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b/>
                <w:bCs/>
                <w:color w:val="auto"/>
                <w:sz w:val="24"/>
                <w:highlight w:val="none"/>
                <w:lang w:val="en-US" w:eastAsia="zh-CN"/>
              </w:rPr>
            </w:pPr>
            <w:r>
              <w:rPr>
                <w:rFonts w:hint="default"/>
                <w:b/>
                <w:bCs/>
                <w:color w:val="auto"/>
                <w:sz w:val="24"/>
                <w:highlight w:val="none"/>
                <w:lang w:val="en-US" w:eastAsia="zh-CN"/>
              </w:rPr>
              <w:t>XC0501单元规划结构：</w:t>
            </w:r>
          </w:p>
          <w:p w14:paraId="07ADAF2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b w:val="0"/>
                <w:bCs w:val="0"/>
                <w:color w:val="auto"/>
                <w:sz w:val="24"/>
                <w:highlight w:val="none"/>
                <w:lang w:val="en-US" w:eastAsia="zh-CN"/>
              </w:rPr>
            </w:pPr>
            <w:r>
              <w:rPr>
                <w:rFonts w:hint="default"/>
                <w:b w:val="0"/>
                <w:bCs w:val="0"/>
                <w:color w:val="auto"/>
                <w:sz w:val="24"/>
                <w:highlight w:val="none"/>
                <w:lang w:val="en-US" w:eastAsia="zh-CN"/>
              </w:rPr>
              <w:t>整体形成</w:t>
            </w:r>
            <w:r>
              <w:rPr>
                <w:rFonts w:hint="eastAsia"/>
                <w:b w:val="0"/>
                <w:bCs w:val="0"/>
                <w:color w:val="auto"/>
                <w:sz w:val="24"/>
                <w:highlight w:val="none"/>
                <w:lang w:val="en-US" w:eastAsia="zh-CN"/>
              </w:rPr>
              <w:t>“</w:t>
            </w:r>
            <w:r>
              <w:rPr>
                <w:rFonts w:hint="default"/>
                <w:b w:val="0"/>
                <w:bCs w:val="0"/>
                <w:color w:val="auto"/>
                <w:sz w:val="24"/>
                <w:highlight w:val="none"/>
                <w:lang w:val="en-US" w:eastAsia="zh-CN"/>
              </w:rPr>
              <w:t>两心三轴多组团</w:t>
            </w:r>
            <w:r>
              <w:rPr>
                <w:rFonts w:hint="eastAsia"/>
                <w:b w:val="0"/>
                <w:bCs w:val="0"/>
                <w:color w:val="auto"/>
                <w:sz w:val="24"/>
                <w:highlight w:val="none"/>
                <w:lang w:val="en-US" w:eastAsia="zh-CN"/>
              </w:rPr>
              <w:t>”</w:t>
            </w:r>
            <w:r>
              <w:rPr>
                <w:rFonts w:hint="default"/>
                <w:b w:val="0"/>
                <w:bCs w:val="0"/>
                <w:color w:val="auto"/>
                <w:sz w:val="24"/>
                <w:highlight w:val="none"/>
                <w:lang w:val="en-US" w:eastAsia="zh-CN"/>
              </w:rPr>
              <w:t>的空间结构。</w:t>
            </w:r>
          </w:p>
          <w:p w14:paraId="5D4DE11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textAlignment w:val="auto"/>
              <w:rPr>
                <w:rFonts w:hint="default"/>
                <w:b w:val="0"/>
                <w:bCs w:val="0"/>
                <w:color w:val="auto"/>
                <w:sz w:val="24"/>
                <w:highlight w:val="none"/>
                <w:lang w:val="en-US" w:eastAsia="zh-CN"/>
              </w:rPr>
            </w:pPr>
            <w:r>
              <w:rPr>
                <w:rFonts w:hint="default"/>
                <w:b w:val="0"/>
                <w:bCs w:val="0"/>
                <w:color w:val="auto"/>
                <w:sz w:val="24"/>
                <w:highlight w:val="none"/>
                <w:lang w:val="en-US" w:eastAsia="zh-CN"/>
              </w:rPr>
              <w:t>两心：生活服务核心、产业服务核心。</w:t>
            </w:r>
          </w:p>
          <w:p w14:paraId="5FD1CE8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textAlignment w:val="auto"/>
              <w:rPr>
                <w:rFonts w:hint="default"/>
                <w:b w:val="0"/>
                <w:bCs w:val="0"/>
                <w:color w:val="auto"/>
                <w:sz w:val="24"/>
                <w:highlight w:val="none"/>
                <w:lang w:val="en-US" w:eastAsia="zh-CN"/>
              </w:rPr>
            </w:pPr>
            <w:r>
              <w:rPr>
                <w:rFonts w:hint="default"/>
                <w:b w:val="0"/>
                <w:bCs w:val="0"/>
                <w:color w:val="auto"/>
                <w:sz w:val="24"/>
                <w:highlight w:val="none"/>
                <w:lang w:val="en-US" w:eastAsia="zh-CN"/>
              </w:rPr>
              <w:t>三轴：永昌路产城融合发展轴、漕湖大道产业发展轴、春耀路产业发展轴。</w:t>
            </w:r>
          </w:p>
          <w:p w14:paraId="580A282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textAlignment w:val="auto"/>
              <w:rPr>
                <w:rFonts w:hint="default"/>
                <w:b w:val="0"/>
                <w:bCs w:val="0"/>
                <w:color w:val="auto"/>
                <w:sz w:val="24"/>
                <w:highlight w:val="none"/>
                <w:lang w:val="en-US" w:eastAsia="zh-CN"/>
              </w:rPr>
            </w:pPr>
            <w:r>
              <w:rPr>
                <w:rFonts w:hint="default"/>
                <w:b w:val="0"/>
                <w:bCs w:val="0"/>
                <w:color w:val="auto"/>
                <w:sz w:val="24"/>
                <w:highlight w:val="none"/>
                <w:lang w:val="en-US" w:eastAsia="zh-CN"/>
              </w:rPr>
              <w:t>多组团：结合主要生态廊道、交通廊道，划分成多个智造生产组团</w:t>
            </w:r>
            <w:r>
              <w:rPr>
                <w:rFonts w:hint="eastAsia"/>
                <w:b w:val="0"/>
                <w:bCs w:val="0"/>
                <w:color w:val="auto"/>
                <w:sz w:val="24"/>
                <w:highlight w:val="none"/>
                <w:lang w:val="en-US" w:eastAsia="zh-CN"/>
              </w:rPr>
              <w:t>。</w:t>
            </w:r>
          </w:p>
          <w:p w14:paraId="17E9EA61">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b w:val="0"/>
                <w:bCs w:val="0"/>
                <w:color w:val="auto"/>
                <w:sz w:val="24"/>
                <w:highlight w:val="none"/>
                <w:lang w:val="en-US" w:eastAsia="zh-CN"/>
              </w:rPr>
            </w:pPr>
            <w:r>
              <w:rPr>
                <w:rFonts w:hint="eastAsia"/>
                <w:b/>
                <w:bCs/>
                <w:color w:val="auto"/>
                <w:sz w:val="24"/>
                <w:highlight w:val="none"/>
                <w:lang w:val="en-US" w:eastAsia="zh-CN"/>
              </w:rPr>
              <w:t>相符性分析：</w:t>
            </w:r>
            <w:r>
              <w:rPr>
                <w:rFonts w:hint="default"/>
                <w:b w:val="0"/>
                <w:bCs w:val="0"/>
                <w:color w:val="auto"/>
                <w:sz w:val="24"/>
                <w:highlight w:val="none"/>
                <w:lang w:val="en-US" w:eastAsia="zh-CN"/>
              </w:rPr>
              <w:t>根据《苏州工业园区苏相合作区XC0406、XC0501、XC0502、XC0503 单元国土空间详细规划》，本项目位于苏州市漕湖街道永昌路28号A栋11单元，属于XC0501单元，本项目</w:t>
            </w:r>
            <w:r>
              <w:rPr>
                <w:rFonts w:hint="eastAsia"/>
                <w:b w:val="0"/>
                <w:bCs w:val="0"/>
                <w:color w:val="auto"/>
                <w:sz w:val="24"/>
                <w:highlight w:val="none"/>
                <w:lang w:val="en-US" w:eastAsia="zh-CN"/>
              </w:rPr>
              <w:t>主要生产</w:t>
            </w:r>
            <w:r>
              <w:rPr>
                <w:rFonts w:hint="default"/>
                <w:b w:val="0"/>
                <w:bCs w:val="0"/>
                <w:color w:val="auto"/>
                <w:sz w:val="24"/>
                <w:highlight w:val="none"/>
                <w:lang w:val="en-US" w:eastAsia="zh-CN"/>
              </w:rPr>
              <w:t>航空航天精密零部件和其他精密零部件，符合XC0501单元功能定位。</w:t>
            </w:r>
          </w:p>
          <w:p w14:paraId="7CE2FE99">
            <w:pPr>
              <w:autoSpaceDE w:val="0"/>
              <w:autoSpaceDN w:val="0"/>
              <w:adjustRightInd w:val="0"/>
              <w:snapToGrid w:val="0"/>
              <w:spacing w:line="360" w:lineRule="auto"/>
              <w:rPr>
                <w:b/>
                <w:bCs/>
                <w:color w:val="auto"/>
                <w:kern w:val="0"/>
                <w:sz w:val="24"/>
                <w:szCs w:val="24"/>
                <w:highlight w:val="none"/>
              </w:rPr>
            </w:pPr>
            <w:r>
              <w:rPr>
                <w:rFonts w:hint="eastAsia"/>
                <w:b/>
                <w:bCs/>
                <w:color w:val="auto"/>
                <w:kern w:val="0"/>
                <w:sz w:val="24"/>
                <w:szCs w:val="24"/>
                <w:highlight w:val="none"/>
                <w:lang w:val="en-US" w:eastAsia="zh-CN"/>
              </w:rPr>
              <w:t>6、</w:t>
            </w:r>
            <w:r>
              <w:rPr>
                <w:b/>
                <w:bCs/>
                <w:color w:val="auto"/>
                <w:kern w:val="0"/>
                <w:sz w:val="24"/>
                <w:szCs w:val="24"/>
                <w:highlight w:val="none"/>
              </w:rPr>
              <w:t>与</w:t>
            </w:r>
            <w:r>
              <w:rPr>
                <w:rFonts w:hint="eastAsia"/>
                <w:b/>
                <w:bCs/>
                <w:color w:val="auto"/>
                <w:kern w:val="0"/>
                <w:sz w:val="24"/>
                <w:szCs w:val="24"/>
                <w:highlight w:val="none"/>
                <w:lang w:val="en-US" w:eastAsia="zh-CN"/>
              </w:rPr>
              <w:t>规划环境影响评价</w:t>
            </w:r>
            <w:r>
              <w:rPr>
                <w:b/>
                <w:bCs/>
                <w:color w:val="auto"/>
                <w:kern w:val="0"/>
                <w:sz w:val="24"/>
                <w:szCs w:val="24"/>
                <w:highlight w:val="none"/>
              </w:rPr>
              <w:t>相符性分析</w:t>
            </w:r>
          </w:p>
          <w:p w14:paraId="75226B37">
            <w:pPr>
              <w:tabs>
                <w:tab w:val="left" w:pos="0"/>
              </w:tabs>
              <w:adjustRightInd w:val="0"/>
              <w:snapToGrid w:val="0"/>
              <w:spacing w:line="360" w:lineRule="auto"/>
              <w:ind w:firstLine="480" w:firstLineChars="200"/>
              <w:outlineLvl w:val="2"/>
              <w:rPr>
                <w:color w:val="auto"/>
                <w:sz w:val="24"/>
                <w:szCs w:val="24"/>
                <w:highlight w:val="none"/>
              </w:rPr>
            </w:pPr>
            <w:r>
              <w:rPr>
                <w:color w:val="auto"/>
                <w:sz w:val="24"/>
                <w:szCs w:val="24"/>
                <w:highlight w:val="none"/>
              </w:rPr>
              <w:t>本项目</w:t>
            </w:r>
            <w:r>
              <w:rPr>
                <w:rFonts w:hint="eastAsia"/>
                <w:color w:val="auto"/>
                <w:sz w:val="24"/>
                <w:szCs w:val="24"/>
                <w:highlight w:val="none"/>
              </w:rPr>
              <w:t>与《苏州相城经济技术开发区开发建设规划（2022-2035）环境影响报告书》及其审查意见（苏环审〔2025〕16号）的相符性分析</w:t>
            </w:r>
            <w:r>
              <w:rPr>
                <w:color w:val="auto"/>
                <w:sz w:val="24"/>
                <w:szCs w:val="24"/>
                <w:highlight w:val="none"/>
              </w:rPr>
              <w:t>见下表。</w:t>
            </w:r>
          </w:p>
          <w:p w14:paraId="335CC309">
            <w:pPr>
              <w:widowControl/>
              <w:numPr>
                <w:ilvl w:val="0"/>
                <w:numId w:val="3"/>
              </w:numPr>
              <w:ind w:left="210" w:leftChars="0" w:firstLine="0" w:firstLineChars="0"/>
              <w:jc w:val="center"/>
              <w:rPr>
                <w:b/>
                <w:color w:val="auto"/>
                <w:kern w:val="0"/>
                <w:sz w:val="24"/>
                <w:szCs w:val="24"/>
                <w:highlight w:val="none"/>
              </w:rPr>
            </w:pPr>
            <w:r>
              <w:rPr>
                <w:b/>
                <w:color w:val="auto"/>
                <w:kern w:val="0"/>
                <w:sz w:val="24"/>
                <w:szCs w:val="24"/>
                <w:highlight w:val="none"/>
              </w:rPr>
              <w:t>本项目与</w:t>
            </w:r>
            <w:r>
              <w:rPr>
                <w:rFonts w:hint="eastAsia"/>
                <w:b/>
                <w:bCs/>
                <w:color w:val="auto"/>
                <w:kern w:val="0"/>
                <w:sz w:val="24"/>
                <w:szCs w:val="24"/>
                <w:highlight w:val="none"/>
              </w:rPr>
              <w:t>规划环评审查意见相符性</w:t>
            </w:r>
            <w:r>
              <w:rPr>
                <w:rFonts w:hint="eastAsia"/>
                <w:b/>
                <w:bCs/>
                <w:color w:val="auto"/>
                <w:kern w:val="0"/>
                <w:sz w:val="24"/>
                <w:szCs w:val="24"/>
                <w:highlight w:val="none"/>
                <w:lang w:val="en-US" w:eastAsia="zh-CN"/>
              </w:rPr>
              <w:t>分析一览表</w:t>
            </w:r>
          </w:p>
          <w:tbl>
            <w:tblPr>
              <w:tblStyle w:val="22"/>
              <w:tblW w:w="4997" w:type="pct"/>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605"/>
              <w:gridCol w:w="5390"/>
              <w:gridCol w:w="2350"/>
              <w:gridCol w:w="746"/>
            </w:tblGrid>
            <w:tr w14:paraId="18B5FB5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33" w:type="pct"/>
                  <w:tcBorders>
                    <w:tl2br w:val="nil"/>
                    <w:tr2bl w:val="nil"/>
                  </w:tcBorders>
                  <w:vAlign w:val="center"/>
                </w:tcPr>
                <w:p w14:paraId="51109F10">
                  <w:pPr>
                    <w:pStyle w:val="2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序号</w:t>
                  </w:r>
                </w:p>
              </w:tc>
              <w:tc>
                <w:tcPr>
                  <w:tcW w:w="2963" w:type="pct"/>
                  <w:tcBorders>
                    <w:tl2br w:val="nil"/>
                    <w:tr2bl w:val="nil"/>
                  </w:tcBorders>
                  <w:vAlign w:val="center"/>
                </w:tcPr>
                <w:p w14:paraId="3491DFD7">
                  <w:pPr>
                    <w:pStyle w:val="29"/>
                    <w:rPr>
                      <w:rFonts w:hint="default"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规划环评审查意见</w:t>
                  </w:r>
                </w:p>
              </w:tc>
              <w:tc>
                <w:tcPr>
                  <w:tcW w:w="1292" w:type="pct"/>
                  <w:tcBorders>
                    <w:tl2br w:val="nil"/>
                    <w:tr2bl w:val="nil"/>
                  </w:tcBorders>
                  <w:vAlign w:val="center"/>
                </w:tcPr>
                <w:p w14:paraId="068D987F">
                  <w:pPr>
                    <w:pStyle w:val="2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本项目情况</w:t>
                  </w:r>
                </w:p>
              </w:tc>
              <w:tc>
                <w:tcPr>
                  <w:tcW w:w="410" w:type="pct"/>
                  <w:tcBorders>
                    <w:tl2br w:val="nil"/>
                    <w:tr2bl w:val="nil"/>
                  </w:tcBorders>
                  <w:vAlign w:val="center"/>
                </w:tcPr>
                <w:p w14:paraId="7369D647">
                  <w:pPr>
                    <w:pStyle w:val="2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相符性</w:t>
                  </w:r>
                </w:p>
              </w:tc>
            </w:tr>
            <w:tr w14:paraId="7B949F3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33" w:type="pct"/>
                  <w:tcBorders>
                    <w:tl2br w:val="nil"/>
                    <w:tr2bl w:val="nil"/>
                  </w:tcBorders>
                  <w:vAlign w:val="center"/>
                </w:tcPr>
                <w:p w14:paraId="4ABE11A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2963" w:type="pct"/>
                  <w:tcBorders>
                    <w:tl2br w:val="nil"/>
                    <w:tr2bl w:val="nil"/>
                  </w:tcBorders>
                  <w:vAlign w:val="center"/>
                </w:tcPr>
                <w:p w14:paraId="7B4F34D8">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完整准确全面贯彻新发展理念，坚持生态优先、节约集约、绿色低碳发展，以生态保护和环境质量持续改善为目标，做好与国土空间总体规划和生态环境分区管控体系的协调衔接，进一步优化《规划》布局、产业结构和发展规模，降低区域环境风险，协同推进生态环境高水平保护与经济高质量发展。</w:t>
                  </w:r>
                </w:p>
              </w:tc>
              <w:tc>
                <w:tcPr>
                  <w:tcW w:w="1292" w:type="pct"/>
                  <w:tcBorders>
                    <w:tl2br w:val="nil"/>
                    <w:tr2bl w:val="nil"/>
                  </w:tcBorders>
                  <w:vAlign w:val="center"/>
                </w:tcPr>
                <w:p w14:paraId="7414F9E2">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本项目位于苏州市漕湖街道永昌路28号A栋11单元，符合《江苏省生态空间管控区域规划》（苏政发〔2020〕1号）、《江苏省国家级生态保护红线</w:t>
                  </w:r>
                </w:p>
                <w:p w14:paraId="6965E8B3">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规划》（苏政发〔2018〕74号）及《江苏省自然资源厅关于苏州市生态空间管控区域</w:t>
                  </w:r>
                  <w:r>
                    <w:rPr>
                      <w:rFonts w:hint="eastAsia" w:eastAsia="仿宋" w:cs="Times New Roman"/>
                      <w:color w:val="auto"/>
                      <w:sz w:val="21"/>
                      <w:szCs w:val="21"/>
                      <w:highlight w:val="none"/>
                      <w:lang w:val="en-US" w:eastAsia="zh-CN"/>
                    </w:rPr>
                    <w:t>评估优化成果</w:t>
                  </w:r>
                  <w:r>
                    <w:rPr>
                      <w:rFonts w:hint="default" w:ascii="Times New Roman" w:hAnsi="Times New Roman" w:eastAsia="仿宋" w:cs="Times New Roman"/>
                      <w:color w:val="auto"/>
                      <w:sz w:val="21"/>
                      <w:szCs w:val="21"/>
                      <w:highlight w:val="none"/>
                    </w:rPr>
                    <w:t>的复函》（苏自然资函〔202</w:t>
                  </w:r>
                  <w:r>
                    <w:rPr>
                      <w:rFonts w:hint="eastAsia" w:eastAsia="仿宋" w:cs="Times New Roman"/>
                      <w:color w:val="auto"/>
                      <w:sz w:val="21"/>
                      <w:szCs w:val="21"/>
                      <w:highlight w:val="none"/>
                      <w:lang w:val="en-US" w:eastAsia="zh-CN"/>
                    </w:rPr>
                    <w:t>6</w:t>
                  </w:r>
                  <w:r>
                    <w:rPr>
                      <w:rFonts w:hint="default" w:ascii="Times New Roman" w:hAnsi="Times New Roman" w:eastAsia="仿宋" w:cs="Times New Roman"/>
                      <w:color w:val="auto"/>
                      <w:sz w:val="21"/>
                      <w:szCs w:val="21"/>
                      <w:highlight w:val="none"/>
                    </w:rPr>
                    <w:t>〕</w:t>
                  </w:r>
                  <w:r>
                    <w:rPr>
                      <w:rFonts w:hint="eastAsia" w:eastAsia="仿宋" w:cs="Times New Roman"/>
                      <w:color w:val="auto"/>
                      <w:sz w:val="21"/>
                      <w:szCs w:val="21"/>
                      <w:highlight w:val="none"/>
                      <w:lang w:val="en-US" w:eastAsia="zh-CN"/>
                    </w:rPr>
                    <w:t>487</w:t>
                  </w:r>
                  <w:r>
                    <w:rPr>
                      <w:rFonts w:hint="default" w:ascii="Times New Roman" w:hAnsi="Times New Roman" w:eastAsia="仿宋" w:cs="Times New Roman"/>
                      <w:color w:val="auto"/>
                      <w:sz w:val="21"/>
                      <w:szCs w:val="21"/>
                      <w:highlight w:val="none"/>
                    </w:rPr>
                    <w:t>号）的相关要求。</w:t>
                  </w:r>
                </w:p>
                <w:p w14:paraId="0592C4BD">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同时，本项目会采取相应的污染防治措施，满足环境质量底线要求。本项目不属于《市场准入负面清单（2025年版）》禁止准入类，以及禁止性规定中所列内容。</w:t>
                  </w:r>
                </w:p>
              </w:tc>
              <w:tc>
                <w:tcPr>
                  <w:tcW w:w="410" w:type="pct"/>
                  <w:tcBorders>
                    <w:tl2br w:val="nil"/>
                    <w:tr2bl w:val="nil"/>
                  </w:tcBorders>
                  <w:vAlign w:val="center"/>
                </w:tcPr>
                <w:p w14:paraId="2A9C735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13B667E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33" w:type="pct"/>
                  <w:tcBorders>
                    <w:tl2br w:val="nil"/>
                    <w:tr2bl w:val="nil"/>
                  </w:tcBorders>
                  <w:vAlign w:val="center"/>
                </w:tcPr>
                <w:p w14:paraId="064F4566">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p>
              </w:tc>
              <w:tc>
                <w:tcPr>
                  <w:tcW w:w="2963" w:type="pct"/>
                  <w:tcBorders>
                    <w:tl2br w:val="nil"/>
                    <w:tr2bl w:val="nil"/>
                  </w:tcBorders>
                  <w:vAlign w:val="center"/>
                </w:tcPr>
                <w:p w14:paraId="6CB6D095">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严格空间管控，优化空间布局。严格落实生态空间管控要求，望虞河（相城区）清水通道维护区、西塘河（相城区）清水通道维护区、漕湖重要湿地等3处生态空间管控区原则上不得开展有损主导生态功能的开发建设活动，不得随意占用和调整。任何单位和个人不得擅自占用或者改变区内永久基本农田的用途，开发区内绿地及水域在规划期内原则上不得开发利用。加强工业区与居住区生活空间的防护，推进区内空间隔离带建设，规划产业片区与周边居住用地之间设置50米空间防护距离，居住用地100米范围内严格限制建设产生恶臭类废气、有机废气、粉尘、高噪声的项目，确保产业布局与生态环境保护、人居环境安全相</w:t>
                  </w:r>
                  <w:r>
                    <w:rPr>
                      <w:rFonts w:hint="eastAsia" w:eastAsia="仿宋" w:cs="Times New Roman"/>
                      <w:color w:val="auto"/>
                      <w:sz w:val="21"/>
                      <w:szCs w:val="21"/>
                      <w:highlight w:val="none"/>
                      <w:lang w:val="en-US" w:eastAsia="zh-CN"/>
                    </w:rPr>
                    <w:t>协调</w:t>
                  </w:r>
                  <w:r>
                    <w:rPr>
                      <w:rFonts w:hint="default" w:ascii="Times New Roman" w:hAnsi="Times New Roman" w:eastAsia="仿宋" w:cs="Times New Roman"/>
                      <w:color w:val="auto"/>
                      <w:sz w:val="21"/>
                      <w:szCs w:val="21"/>
                      <w:highlight w:val="none"/>
                    </w:rPr>
                    <w:t>。</w:t>
                  </w:r>
                </w:p>
              </w:tc>
              <w:tc>
                <w:tcPr>
                  <w:tcW w:w="1292" w:type="pct"/>
                  <w:tcBorders>
                    <w:tl2br w:val="nil"/>
                    <w:tr2bl w:val="nil"/>
                  </w:tcBorders>
                  <w:vAlign w:val="center"/>
                </w:tcPr>
                <w:p w14:paraId="09BBB6BC">
                  <w:pPr>
                    <w:pStyle w:val="29"/>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本项目位于</w:t>
                  </w:r>
                  <w:r>
                    <w:rPr>
                      <w:rFonts w:hint="default" w:ascii="Times New Roman" w:hAnsi="Times New Roman" w:eastAsia="仿宋" w:cs="Times New Roman"/>
                      <w:color w:val="auto"/>
                      <w:sz w:val="21"/>
                      <w:szCs w:val="21"/>
                      <w:highlight w:val="none"/>
                    </w:rPr>
                    <w:t>苏州市漕湖街道永昌路28号A栋11单元</w:t>
                  </w:r>
                  <w:r>
                    <w:rPr>
                      <w:rFonts w:hint="default" w:ascii="Times New Roman" w:hAnsi="Times New Roman" w:eastAsia="仿宋" w:cs="Times New Roman"/>
                      <w:color w:val="auto"/>
                      <w:sz w:val="21"/>
                      <w:szCs w:val="21"/>
                      <w:highlight w:val="none"/>
                      <w:lang w:val="en-US" w:eastAsia="zh-CN"/>
                    </w:rPr>
                    <w:t>，100米范围内无居民区，本项目位于太湖流域三级保护区，项目所在地不属于清水通道维护区、重要湿地生态空间管控区域，符合要求。</w:t>
                  </w:r>
                </w:p>
              </w:tc>
              <w:tc>
                <w:tcPr>
                  <w:tcW w:w="410" w:type="pct"/>
                  <w:tcBorders>
                    <w:tl2br w:val="nil"/>
                    <w:tr2bl w:val="nil"/>
                  </w:tcBorders>
                  <w:vAlign w:val="center"/>
                </w:tcPr>
                <w:p w14:paraId="606E8072">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5C088E4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33" w:type="pct"/>
                  <w:tcBorders>
                    <w:tl2br w:val="nil"/>
                    <w:tr2bl w:val="nil"/>
                  </w:tcBorders>
                  <w:shd w:val="clear" w:color="auto" w:fill="auto"/>
                  <w:vAlign w:val="center"/>
                </w:tcPr>
                <w:p w14:paraId="5F304200">
                  <w:pPr>
                    <w:pStyle w:val="29"/>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rPr>
                    <w:t>3</w:t>
                  </w:r>
                </w:p>
              </w:tc>
              <w:tc>
                <w:tcPr>
                  <w:tcW w:w="2963" w:type="pct"/>
                  <w:tcBorders>
                    <w:tl2br w:val="nil"/>
                    <w:tr2bl w:val="nil"/>
                  </w:tcBorders>
                  <w:vAlign w:val="center"/>
                </w:tcPr>
                <w:p w14:paraId="301E798E">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严格空间管控，优化区内空间布局。在生态保护红线范围内，严禁不符合管控要求的各类开发建设活动。严控占用清水通道等重要生态空间，避免产生不良环境影响。做好规划控制和生态隔离带建设，加强对经开区内及周边集中居住区等生活空间的防护，确保经开区产业布局与生态环境保护、人居环境安全相协调。</w:t>
                  </w:r>
                </w:p>
              </w:tc>
              <w:tc>
                <w:tcPr>
                  <w:tcW w:w="1292" w:type="pct"/>
                  <w:tcBorders>
                    <w:tl2br w:val="nil"/>
                    <w:tr2bl w:val="nil"/>
                  </w:tcBorders>
                  <w:vAlign w:val="center"/>
                </w:tcPr>
                <w:p w14:paraId="62871CC7">
                  <w:pPr>
                    <w:pStyle w:val="29"/>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本项目位于</w:t>
                  </w:r>
                  <w:r>
                    <w:rPr>
                      <w:rFonts w:hint="default" w:ascii="Times New Roman" w:hAnsi="Times New Roman" w:eastAsia="仿宋" w:cs="Times New Roman"/>
                      <w:color w:val="auto"/>
                      <w:sz w:val="21"/>
                      <w:szCs w:val="21"/>
                      <w:highlight w:val="none"/>
                    </w:rPr>
                    <w:t>苏州市漕湖街道永昌路28号A栋11单元</w:t>
                  </w:r>
                  <w:r>
                    <w:rPr>
                      <w:rFonts w:hint="default" w:ascii="Times New Roman" w:hAnsi="Times New Roman" w:eastAsia="仿宋" w:cs="Times New Roman"/>
                      <w:color w:val="auto"/>
                      <w:sz w:val="21"/>
                      <w:szCs w:val="21"/>
                      <w:highlight w:val="none"/>
                      <w:lang w:val="en-US" w:eastAsia="zh-CN"/>
                    </w:rPr>
                    <w:t>，符合《江苏省生态空间管控区域规划》（苏政发〔2020〕1号）、《江苏省国家级生态保护红线</w:t>
                  </w:r>
                </w:p>
                <w:p w14:paraId="26A0E583">
                  <w:pPr>
                    <w:pStyle w:val="29"/>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规划》（苏政发〔2018〕74号）及《江苏省自然资源厅关于苏州市生态空间管控区域评估优化成果的复函》（苏自然资函〔2026〕487号）的相关要求。</w:t>
                  </w:r>
                </w:p>
              </w:tc>
              <w:tc>
                <w:tcPr>
                  <w:tcW w:w="410" w:type="pct"/>
                  <w:tcBorders>
                    <w:tl2br w:val="nil"/>
                    <w:tr2bl w:val="nil"/>
                  </w:tcBorders>
                  <w:vAlign w:val="center"/>
                </w:tcPr>
                <w:p w14:paraId="1069021A">
                  <w:pPr>
                    <w:pStyle w:val="29"/>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相符</w:t>
                  </w:r>
                </w:p>
              </w:tc>
            </w:tr>
            <w:tr w14:paraId="5EFB891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33" w:type="pct"/>
                  <w:tcBorders>
                    <w:tl2br w:val="nil"/>
                    <w:tr2bl w:val="nil"/>
                  </w:tcBorders>
                  <w:shd w:val="clear" w:color="auto" w:fill="auto"/>
                  <w:vAlign w:val="center"/>
                </w:tcPr>
                <w:p w14:paraId="386A5B2A">
                  <w:pPr>
                    <w:pStyle w:val="29"/>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rPr>
                    <w:t>4</w:t>
                  </w:r>
                </w:p>
              </w:tc>
              <w:tc>
                <w:tcPr>
                  <w:tcW w:w="2963" w:type="pct"/>
                  <w:tcBorders>
                    <w:tl2br w:val="nil"/>
                    <w:tr2bl w:val="nil"/>
                  </w:tcBorders>
                  <w:vAlign w:val="center"/>
                </w:tcPr>
                <w:p w14:paraId="19B81933">
                  <w:pPr>
                    <w:pStyle w:val="29"/>
                    <w:jc w:val="both"/>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val="en-US" w:eastAsia="zh-CN"/>
                    </w:rPr>
                    <w:t>严</w:t>
                  </w:r>
                  <w:r>
                    <w:rPr>
                      <w:rFonts w:hint="default" w:ascii="Times New Roman" w:hAnsi="Times New Roman" w:eastAsia="仿宋" w:cs="Times New Roman"/>
                      <w:color w:val="auto"/>
                      <w:sz w:val="21"/>
                      <w:szCs w:val="21"/>
                      <w:highlight w:val="none"/>
                    </w:rPr>
                    <w:t>守环境质量底线，实施污染物排放限值限量管理。落实国家和江苏省关于大气、水、土壤、噪声污染防治、区域生态环境分区管控、工业园区（集中区）污染物排放限值限量管理等相关要求，建立以环境质量为核心的污染物总量控制管理体系实施主要污染物排放浓度和总量</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双管控</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，开发区不得新建、扩建增加重点重金属（铅、汞、镉、铬和砷等）排放的项目。2027年，开发区环境空气细颗粒物（PM</w:t>
                  </w:r>
                  <w:r>
                    <w:rPr>
                      <w:rFonts w:hint="default" w:ascii="Times New Roman" w:hAnsi="Times New Roman" w:eastAsia="仿宋" w:cs="Times New Roman"/>
                      <w:color w:val="auto"/>
                      <w:sz w:val="21"/>
                      <w:szCs w:val="21"/>
                      <w:highlight w:val="none"/>
                      <w:vertAlign w:val="subscript"/>
                    </w:rPr>
                    <w:t>2.5</w:t>
                  </w:r>
                  <w:r>
                    <w:rPr>
                      <w:rFonts w:hint="default" w:ascii="Times New Roman" w:hAnsi="Times New Roman" w:eastAsia="仿宋" w:cs="Times New Roman"/>
                      <w:color w:val="auto"/>
                      <w:sz w:val="21"/>
                      <w:szCs w:val="21"/>
                      <w:highlight w:val="none"/>
                    </w:rPr>
                    <w:t>）年均浓度应达到26微克/立方米；蠡塘河、漕湖、西塘河、望虞河和冶长泾稳定达到地表水Ⅲ类水质标准。</w:t>
                  </w:r>
                </w:p>
              </w:tc>
              <w:tc>
                <w:tcPr>
                  <w:tcW w:w="1292" w:type="pct"/>
                  <w:tcBorders>
                    <w:tl2br w:val="nil"/>
                    <w:tr2bl w:val="nil"/>
                  </w:tcBorders>
                  <w:vAlign w:val="center"/>
                </w:tcPr>
                <w:p w14:paraId="40E9137C">
                  <w:pPr>
                    <w:pStyle w:val="29"/>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产生的废气污染物排放量在苏州相城经济技术开发区内平衡；本项目无生产废水，生活污水接管至苏州市相润排水管理有限公司（漕湖污水处理厂）。项目的建设符合国家和江苏省关于大气、水、土壤污染防治相关要求。</w:t>
                  </w:r>
                </w:p>
              </w:tc>
              <w:tc>
                <w:tcPr>
                  <w:tcW w:w="410" w:type="pct"/>
                  <w:tcBorders>
                    <w:tl2br w:val="nil"/>
                    <w:tr2bl w:val="nil"/>
                  </w:tcBorders>
                  <w:vAlign w:val="center"/>
                </w:tcPr>
                <w:p w14:paraId="6919133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5F70D15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33" w:type="pct"/>
                  <w:tcBorders>
                    <w:tl2br w:val="nil"/>
                    <w:tr2bl w:val="nil"/>
                  </w:tcBorders>
                  <w:vAlign w:val="center"/>
                </w:tcPr>
                <w:p w14:paraId="17DCA17E">
                  <w:pPr>
                    <w:pStyle w:val="29"/>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5</w:t>
                  </w:r>
                </w:p>
              </w:tc>
              <w:tc>
                <w:tcPr>
                  <w:tcW w:w="2963" w:type="pct"/>
                  <w:tcBorders>
                    <w:tl2br w:val="nil"/>
                    <w:tr2bl w:val="nil"/>
                  </w:tcBorders>
                  <w:vAlign w:val="center"/>
                </w:tcPr>
                <w:p w14:paraId="1B633223">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加强源头治理，协同推进减污降碳。严格落实生态环境准入清单，落实《报告书》提出的生态环境准入要求，严格限制与主导产业不相关且排污负荷大的项目入区，执行最严格的废水、废气排放控制要求。强化企业特征污染物排放控制、高效治理设施建设，落实精细化管控要求。引进项目的生产工艺、设备单位产品水耗能耗、污染物排放和资源利用效率等应达到清洁生产I级水平。全面开展清洁生产审核，推动重点行业依法实施强制性审核，引导其他行业自觉自愿开展审核，不断提高现有企业清洁生产和污染治理水平。根据国家和地方碳减排、碳达峰行动方案和路径要求，推进开发区绿色低碳转型发展，优化产业结构、能源结构、交通运输加强源头治理，协同推进减污降碳。严格落实生态环境准入清单，落实《报告书》提出的生态环境准入要求，严格限制与主导产业不相关且排污负荷大的项目入区，执行最严格的废水、废气排放控制要求。强化企业特征污染物排放控制、高效治理设施建设，落实精细化管控要求。引进项目的生产工艺、设备单位产品水耗、能耗、污染物排放和资源利用效率等应达到清洁生产I级水平。全面开展清洁生产审核，推动重点行业依法实施强制性审核，引导其他行业自觉自愿开展审核，不断提高现有企业清洁生产和污染治理水平。根据国家和地方碳减排、碳达峰行动方案和路径要求，推进开发区绿色低碳转型发展，优化产业结构、能源结构、交通运输等规划内容，实现减污降碳协同增效目标。</w:t>
                  </w:r>
                </w:p>
              </w:tc>
              <w:tc>
                <w:tcPr>
                  <w:tcW w:w="1292" w:type="pct"/>
                  <w:tcBorders>
                    <w:tl2br w:val="nil"/>
                    <w:tr2bl w:val="nil"/>
                  </w:tcBorders>
                  <w:vAlign w:val="center"/>
                </w:tcPr>
                <w:p w14:paraId="3FFE296C">
                  <w:pPr>
                    <w:pStyle w:val="29"/>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本项目不涉及高污染燃料的使用，本项目无工业废水产生，不属于高耗水项目，也不向水体直接排放污染物，符合要求。</w:t>
                  </w:r>
                </w:p>
              </w:tc>
              <w:tc>
                <w:tcPr>
                  <w:tcW w:w="410" w:type="pct"/>
                  <w:tcBorders>
                    <w:tl2br w:val="nil"/>
                    <w:tr2bl w:val="nil"/>
                  </w:tcBorders>
                  <w:vAlign w:val="center"/>
                </w:tcPr>
                <w:p w14:paraId="06119D12">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2D1BC49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33" w:type="pct"/>
                  <w:tcBorders>
                    <w:tl2br w:val="nil"/>
                    <w:tr2bl w:val="nil"/>
                  </w:tcBorders>
                  <w:vAlign w:val="center"/>
                </w:tcPr>
                <w:p w14:paraId="748268EA">
                  <w:pPr>
                    <w:pStyle w:val="29"/>
                    <w:rPr>
                      <w:rFonts w:hint="eastAsia" w:ascii="Times New Roman" w:hAnsi="Times New Roman" w:eastAsia="仿宋" w:cs="Times New Roman"/>
                      <w:color w:val="auto"/>
                      <w:sz w:val="21"/>
                      <w:szCs w:val="21"/>
                      <w:highlight w:val="none"/>
                      <w:lang w:eastAsia="zh-CN"/>
                    </w:rPr>
                  </w:pPr>
                  <w:r>
                    <w:rPr>
                      <w:rFonts w:hint="eastAsia" w:eastAsia="仿宋" w:cs="Times New Roman"/>
                      <w:color w:val="auto"/>
                      <w:sz w:val="21"/>
                      <w:szCs w:val="21"/>
                      <w:highlight w:val="none"/>
                      <w:lang w:val="en-US" w:eastAsia="zh-CN"/>
                    </w:rPr>
                    <w:t>6</w:t>
                  </w:r>
                </w:p>
              </w:tc>
              <w:tc>
                <w:tcPr>
                  <w:tcW w:w="2963" w:type="pct"/>
                  <w:tcBorders>
                    <w:tl2br w:val="nil"/>
                    <w:tr2bl w:val="nil"/>
                  </w:tcBorders>
                  <w:vAlign w:val="center"/>
                </w:tcPr>
                <w:p w14:paraId="10E20A79">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完善环境基础设施建设，提高基础设施运行效能。完善区域污水管网建设，制定实施管网周期性检测评估制度，加强老旧破损管网修复改造，确保开发区污水全收集、全处理。2025年6月底前对漕湖污水厂、一弘污水厂进行改造，在生化处理工艺段前，建设单独的含重金属、难生化降解废水、高盐废水、含氟废水预处理设施，预处理设施出水特征污染物浓度执行《城镇污水处理厂污染物排放标准》（DB32/4440-2022）及相应行业直接排放标准中最严标准后，再与生活污水及其他工业废水混合进入污水厂生化工艺段，确保工业废水与生活污水分类收集、分质处理。推进中水回用设施及配套管网建设，确保规划末期漕湖污水处理厂和一弘污水处理厂中水回用率不低于30%，加快推进一弘污水处理厂生态安全缓冲区建设。加强入河排污口监督管理，原则上开发区不得设置工矿企业入河排污口。定期开展开发区污水管网渗漏排查工作，建立健全地下水污染监督、检查、管理及修复机制。积极推进供热管网建设，依托望亭电厂、江南化纤热电厂在集中工业片区、大型集中公共设施区实施集中供热。推动</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无废园区</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建设，加强开发区固体废物资源化、减量化、无害化处理，一般工业固废、危险废物应依法依规收集、处理处置，做到</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就地分类收集、就近转移处置</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，严格控制危险废物无法就近利用、处置的建设项目入区。</w:t>
                  </w:r>
                </w:p>
              </w:tc>
              <w:tc>
                <w:tcPr>
                  <w:tcW w:w="1292" w:type="pct"/>
                  <w:tcBorders>
                    <w:tl2br w:val="nil"/>
                    <w:tr2bl w:val="nil"/>
                  </w:tcBorders>
                  <w:vAlign w:val="center"/>
                </w:tcPr>
                <w:p w14:paraId="1A16591B">
                  <w:pPr>
                    <w:pStyle w:val="29"/>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本项目无生产废水，生活污水接管至苏州市相润排水管理有限公司（漕湖污水处理厂）。</w:t>
                  </w:r>
                </w:p>
              </w:tc>
              <w:tc>
                <w:tcPr>
                  <w:tcW w:w="410" w:type="pct"/>
                  <w:tcBorders>
                    <w:tl2br w:val="nil"/>
                    <w:tr2bl w:val="nil"/>
                  </w:tcBorders>
                  <w:vAlign w:val="center"/>
                </w:tcPr>
                <w:p w14:paraId="1702454D">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31F9567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33" w:type="pct"/>
                  <w:tcBorders>
                    <w:tl2br w:val="nil"/>
                    <w:tr2bl w:val="nil"/>
                  </w:tcBorders>
                  <w:vAlign w:val="center"/>
                </w:tcPr>
                <w:p w14:paraId="05D537BF">
                  <w:pPr>
                    <w:pStyle w:val="29"/>
                    <w:rPr>
                      <w:rFonts w:hint="eastAsia" w:ascii="Times New Roman" w:hAnsi="Times New Roman" w:eastAsia="仿宋" w:cs="Times New Roman"/>
                      <w:color w:val="auto"/>
                      <w:sz w:val="21"/>
                      <w:szCs w:val="21"/>
                      <w:highlight w:val="none"/>
                      <w:lang w:eastAsia="zh-CN"/>
                    </w:rPr>
                  </w:pPr>
                  <w:r>
                    <w:rPr>
                      <w:rFonts w:hint="eastAsia" w:eastAsia="仿宋" w:cs="Times New Roman"/>
                      <w:color w:val="auto"/>
                      <w:sz w:val="21"/>
                      <w:szCs w:val="21"/>
                      <w:highlight w:val="none"/>
                      <w:lang w:val="en-US" w:eastAsia="zh-CN"/>
                    </w:rPr>
                    <w:t>7</w:t>
                  </w:r>
                </w:p>
              </w:tc>
              <w:tc>
                <w:tcPr>
                  <w:tcW w:w="2963" w:type="pct"/>
                  <w:tcBorders>
                    <w:tl2br w:val="nil"/>
                    <w:tr2bl w:val="nil"/>
                  </w:tcBorders>
                  <w:vAlign w:val="center"/>
                </w:tcPr>
                <w:p w14:paraId="647A7F6F">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建立健全环境监测监控体系。开展包括环境空气、地表水、地下水、土壤、底泥等环境要素的长期跟踪监测与管理。结合区域跟踪监测情况，动态调整开发区开发建设规模和时序进度，优化生态环境保护措施，确保区域环境质量不恶化。对于企业关闭、搬迁遗留的污染地块应依法开展土壤污染状况调查、治理与修复工作。严格落实环境质量监测要求，建立开发区土壤和地下水隐患排查制度并纳入监控预警体系。探索开展新污染物环境本底调查监测，依法公开新污染物信息。指导区内企业规范安装在线监测设备并联网，推进区内排污许可重点管理单位自动监测全覆盖；暂不具备安装在线监测设备条件的企业，应做好委托监测工作。积极推进氟化物污染物排放及水环境质量的监测监控，区内重点涉氟企业雨水、污水排放口应安装氟化物自动监控系统并联网。</w:t>
                  </w:r>
                </w:p>
              </w:tc>
              <w:tc>
                <w:tcPr>
                  <w:tcW w:w="1292" w:type="pct"/>
                  <w:tcBorders>
                    <w:tl2br w:val="nil"/>
                    <w:tr2bl w:val="nil"/>
                  </w:tcBorders>
                  <w:vAlign w:val="center"/>
                </w:tcPr>
                <w:p w14:paraId="46AD578F">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本项目不涉及氟化物，无生产废水，生活污水接管至</w:t>
                  </w:r>
                  <w:r>
                    <w:rPr>
                      <w:rFonts w:hint="default" w:ascii="Times New Roman" w:hAnsi="Times New Roman" w:eastAsia="仿宋" w:cs="Times New Roman"/>
                      <w:color w:val="auto"/>
                      <w:sz w:val="21"/>
                      <w:szCs w:val="21"/>
                      <w:highlight w:val="none"/>
                      <w:lang w:val="en-US" w:eastAsia="zh-CN"/>
                    </w:rPr>
                    <w:t>苏州市相润排水管理有限公司（漕湖污水处理厂）</w:t>
                  </w:r>
                  <w:r>
                    <w:rPr>
                      <w:rFonts w:hint="default" w:ascii="Times New Roman" w:hAnsi="Times New Roman" w:eastAsia="仿宋" w:cs="Times New Roman"/>
                      <w:color w:val="auto"/>
                      <w:sz w:val="21"/>
                      <w:szCs w:val="21"/>
                      <w:highlight w:val="none"/>
                    </w:rPr>
                    <w:t>。</w:t>
                  </w:r>
                </w:p>
              </w:tc>
              <w:tc>
                <w:tcPr>
                  <w:tcW w:w="410" w:type="pct"/>
                  <w:tcBorders>
                    <w:tl2br w:val="nil"/>
                    <w:tr2bl w:val="nil"/>
                  </w:tcBorders>
                  <w:vAlign w:val="center"/>
                </w:tcPr>
                <w:p w14:paraId="725B450E">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51FF821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33" w:type="pct"/>
                  <w:tcBorders>
                    <w:tl2br w:val="nil"/>
                    <w:tr2bl w:val="nil"/>
                  </w:tcBorders>
                  <w:vAlign w:val="center"/>
                </w:tcPr>
                <w:p w14:paraId="140A0E54">
                  <w:pPr>
                    <w:pStyle w:val="29"/>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8</w:t>
                  </w:r>
                </w:p>
              </w:tc>
              <w:tc>
                <w:tcPr>
                  <w:tcW w:w="2963" w:type="pct"/>
                  <w:tcBorders>
                    <w:tl2br w:val="nil"/>
                    <w:tr2bl w:val="nil"/>
                  </w:tcBorders>
                  <w:vAlign w:val="center"/>
                </w:tcPr>
                <w:p w14:paraId="3BCF970D">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健全环境风险防控体系，提升环境应急能力。强化入河排污口监督管理，有效管控入河污染物排放。进一步完善开发区突发水污染事件风险防控体系建设，苏州荣望环保科技有限公司根据</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车间一企业一外部水环境</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三级防控评估结果，针对性完善水环境风险防控措施，确保</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小事故不出厂区、大事故不出园区</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保障望虞河、漕湖等水质安全。加强环境应急基础设施建设，配备充足的应急装备物资，提高环境应急救援能力。建立健全环境风险评估和应急预案制度，定期开展环境应急演练，完善环境应急响应联动机制，提升应急实战水平。建立突发环境事件隐患排查长效机制，定期排查突发环境事件隐患，建立隐患清单并督促整改到位，保障区域环境安全。重点关注并督促指导涉重金属企业构筑</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风险单元一管网、应急池一厂界</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环境风险防控体系，严防涉重金属突发水污染事件。</w:t>
                  </w:r>
                </w:p>
              </w:tc>
              <w:tc>
                <w:tcPr>
                  <w:tcW w:w="1292" w:type="pct"/>
                  <w:tcBorders>
                    <w:tl2br w:val="nil"/>
                    <w:tr2bl w:val="nil"/>
                  </w:tcBorders>
                  <w:vAlign w:val="center"/>
                </w:tcPr>
                <w:p w14:paraId="3DEE265B">
                  <w:pPr>
                    <w:pStyle w:val="29"/>
                    <w:jc w:val="both"/>
                    <w:rPr>
                      <w:rFonts w:hint="eastAsia"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本项目采取完善危险废物管理制度，项目建设、运行过程中环境风险可接受</w:t>
                  </w:r>
                  <w:r>
                    <w:rPr>
                      <w:rFonts w:hint="eastAsia" w:eastAsia="仿宋" w:cs="Times New Roman"/>
                      <w:color w:val="auto"/>
                      <w:sz w:val="21"/>
                      <w:szCs w:val="21"/>
                      <w:highlight w:val="none"/>
                      <w:lang w:eastAsia="zh-CN"/>
                    </w:rPr>
                    <w:t>。</w:t>
                  </w:r>
                </w:p>
              </w:tc>
              <w:tc>
                <w:tcPr>
                  <w:tcW w:w="410" w:type="pct"/>
                  <w:tcBorders>
                    <w:tl2br w:val="nil"/>
                    <w:tr2bl w:val="nil"/>
                  </w:tcBorders>
                  <w:vAlign w:val="center"/>
                </w:tcPr>
                <w:p w14:paraId="3976382E">
                  <w:pPr>
                    <w:pStyle w:val="29"/>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val="en-US" w:eastAsia="zh-CN"/>
                    </w:rPr>
                    <w:t>相符</w:t>
                  </w:r>
                </w:p>
              </w:tc>
            </w:tr>
            <w:tr w14:paraId="5062220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33" w:type="pct"/>
                  <w:tcBorders>
                    <w:tl2br w:val="nil"/>
                    <w:tr2bl w:val="nil"/>
                  </w:tcBorders>
                  <w:vAlign w:val="center"/>
                </w:tcPr>
                <w:p w14:paraId="5A9B82CD">
                  <w:pPr>
                    <w:pStyle w:val="29"/>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9</w:t>
                  </w:r>
                </w:p>
              </w:tc>
              <w:tc>
                <w:tcPr>
                  <w:tcW w:w="2963" w:type="pct"/>
                  <w:tcBorders>
                    <w:tl2br w:val="nil"/>
                    <w:tr2bl w:val="nil"/>
                  </w:tcBorders>
                  <w:vAlign w:val="center"/>
                </w:tcPr>
                <w:p w14:paraId="458C3B6F">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拟进入开发区的建设项目，应结合规划环评提出的指导意见做好环境影响评价工作，落实相关要求，加强与规划环评的联动，重点开展工程分析、污染物允许排放量测算、环境风险评价和环保措施的可行性论证等工作，重点关注应急体系建设、污染防治措施等内容，强化环境监测、环境保护和风险防控措施的落实。规划环评中协调性分析、环境现状调查、污染源调查等符合要求的资料可供建设项目环评共享，项目环评相应内容可结合实际情况予以简化。</w:t>
                  </w:r>
                </w:p>
              </w:tc>
              <w:tc>
                <w:tcPr>
                  <w:tcW w:w="1292" w:type="pct"/>
                  <w:tcBorders>
                    <w:tl2br w:val="nil"/>
                    <w:tr2bl w:val="nil"/>
                  </w:tcBorders>
                  <w:vAlign w:val="center"/>
                </w:tcPr>
                <w:p w14:paraId="48765810">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本项目正进行环境影响评价工作，结合规划环评的内容，开展了工程分析、污染物排放量测算和环保措施的可行性分析论证，并制定了环境监测计划。</w:t>
                  </w:r>
                </w:p>
              </w:tc>
              <w:tc>
                <w:tcPr>
                  <w:tcW w:w="410" w:type="pct"/>
                  <w:tcBorders>
                    <w:tl2br w:val="nil"/>
                    <w:tr2bl w:val="nil"/>
                  </w:tcBorders>
                  <w:vAlign w:val="center"/>
                </w:tcPr>
                <w:p w14:paraId="7D319937">
                  <w:pPr>
                    <w:pStyle w:val="29"/>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相符</w:t>
                  </w:r>
                </w:p>
              </w:tc>
            </w:tr>
          </w:tbl>
          <w:p w14:paraId="47912E77">
            <w:pPr>
              <w:widowControl/>
              <w:numPr>
                <w:ilvl w:val="0"/>
                <w:numId w:val="3"/>
              </w:numPr>
              <w:ind w:left="210" w:leftChars="0" w:firstLine="0" w:firstLineChars="0"/>
              <w:jc w:val="center"/>
              <w:rPr>
                <w:b/>
                <w:color w:val="auto"/>
                <w:kern w:val="0"/>
                <w:sz w:val="24"/>
                <w:szCs w:val="24"/>
                <w:highlight w:val="none"/>
              </w:rPr>
            </w:pPr>
            <w:r>
              <w:rPr>
                <w:b/>
                <w:color w:val="auto"/>
                <w:kern w:val="0"/>
                <w:sz w:val="24"/>
                <w:szCs w:val="24"/>
                <w:highlight w:val="none"/>
              </w:rPr>
              <w:t>本项目与</w:t>
            </w:r>
            <w:r>
              <w:rPr>
                <w:rFonts w:hint="eastAsia"/>
                <w:b/>
                <w:color w:val="auto"/>
                <w:kern w:val="0"/>
                <w:sz w:val="24"/>
                <w:szCs w:val="24"/>
                <w:highlight w:val="none"/>
                <w:lang w:val="en-US" w:eastAsia="zh-CN"/>
              </w:rPr>
              <w:t>生态环境准入清单</w:t>
            </w:r>
            <w:r>
              <w:rPr>
                <w:rFonts w:hint="eastAsia"/>
                <w:b/>
                <w:bCs/>
                <w:color w:val="auto"/>
                <w:kern w:val="0"/>
                <w:sz w:val="24"/>
                <w:szCs w:val="24"/>
                <w:highlight w:val="none"/>
              </w:rPr>
              <w:t>相符性</w:t>
            </w:r>
            <w:r>
              <w:rPr>
                <w:rFonts w:hint="eastAsia"/>
                <w:b/>
                <w:bCs/>
                <w:color w:val="auto"/>
                <w:kern w:val="0"/>
                <w:sz w:val="24"/>
                <w:szCs w:val="24"/>
                <w:highlight w:val="none"/>
                <w:lang w:val="en-US" w:eastAsia="zh-CN"/>
              </w:rPr>
              <w:t>分析一览表</w:t>
            </w:r>
          </w:p>
          <w:tbl>
            <w:tblPr>
              <w:tblStyle w:val="22"/>
              <w:tblW w:w="4997" w:type="pct"/>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283"/>
              <w:gridCol w:w="342"/>
              <w:gridCol w:w="5150"/>
              <w:gridCol w:w="2530"/>
              <w:gridCol w:w="786"/>
            </w:tblGrid>
            <w:tr w14:paraId="0DEFB7A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44" w:type="pct"/>
                  <w:gridSpan w:val="2"/>
                  <w:tcBorders>
                    <w:tl2br w:val="nil"/>
                    <w:tr2bl w:val="nil"/>
                  </w:tcBorders>
                  <w:vAlign w:val="center"/>
                </w:tcPr>
                <w:p w14:paraId="4920CABC">
                  <w:pPr>
                    <w:pStyle w:val="29"/>
                    <w:rPr>
                      <w:rFonts w:hint="default"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清单类型</w:t>
                  </w:r>
                </w:p>
              </w:tc>
              <w:tc>
                <w:tcPr>
                  <w:tcW w:w="2832" w:type="pct"/>
                  <w:tcBorders>
                    <w:tl2br w:val="nil"/>
                    <w:tr2bl w:val="nil"/>
                  </w:tcBorders>
                  <w:vAlign w:val="center"/>
                </w:tcPr>
                <w:p w14:paraId="7BEAF68A">
                  <w:pPr>
                    <w:pStyle w:val="29"/>
                    <w:rPr>
                      <w:rFonts w:hint="default"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类别</w:t>
                  </w:r>
                </w:p>
              </w:tc>
              <w:tc>
                <w:tcPr>
                  <w:tcW w:w="1391" w:type="pct"/>
                  <w:tcBorders>
                    <w:tl2br w:val="nil"/>
                    <w:tr2bl w:val="nil"/>
                  </w:tcBorders>
                  <w:vAlign w:val="center"/>
                </w:tcPr>
                <w:p w14:paraId="587937B9">
                  <w:pPr>
                    <w:pStyle w:val="2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本项目情况</w:t>
                  </w:r>
                </w:p>
              </w:tc>
              <w:tc>
                <w:tcPr>
                  <w:tcW w:w="432" w:type="pct"/>
                  <w:tcBorders>
                    <w:tl2br w:val="nil"/>
                    <w:tr2bl w:val="nil"/>
                  </w:tcBorders>
                  <w:vAlign w:val="center"/>
                </w:tcPr>
                <w:p w14:paraId="43A0C0BD">
                  <w:pPr>
                    <w:pStyle w:val="2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相符性</w:t>
                  </w:r>
                </w:p>
              </w:tc>
            </w:tr>
            <w:tr w14:paraId="5CBBD30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156" w:type="pct"/>
                  <w:vMerge w:val="restart"/>
                  <w:tcBorders>
                    <w:tl2br w:val="nil"/>
                    <w:tr2bl w:val="nil"/>
                  </w:tcBorders>
                  <w:vAlign w:val="center"/>
                </w:tcPr>
                <w:p w14:paraId="2AB15F37">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行业准入</w:t>
                  </w:r>
                </w:p>
              </w:tc>
              <w:tc>
                <w:tcPr>
                  <w:tcW w:w="187" w:type="pct"/>
                  <w:tcBorders>
                    <w:tl2br w:val="nil"/>
                    <w:tr2bl w:val="nil"/>
                  </w:tcBorders>
                  <w:vAlign w:val="center"/>
                </w:tcPr>
                <w:p w14:paraId="4F1AEB0B">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优先引进</w:t>
                  </w:r>
                </w:p>
              </w:tc>
              <w:tc>
                <w:tcPr>
                  <w:tcW w:w="2832" w:type="pct"/>
                  <w:tcBorders>
                    <w:tl2br w:val="nil"/>
                    <w:tr2bl w:val="nil"/>
                  </w:tcBorders>
                  <w:vAlign w:val="center"/>
                </w:tcPr>
                <w:p w14:paraId="3B222756">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1、优先引进属于国家及省重大战略性新兴产业或产业强链计划的项目；</w:t>
                  </w:r>
                </w:p>
                <w:p w14:paraId="2D87FC61">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优先引进工业互联网、智能制造、新一代信息技术、高端装备制造、新材料等纳入本轮规划主导产业的项目。①新一代信息技术产业：优先引进智能家电、智能家居、卫星导航与位置服务、柔性电子相关项目；②高端装备制造产业：优先引进汽车零部件（汽车电子、车身内外饰、车身轻量化部件、新能源车关键零部件）、智能网联汽车关键零部件生产制造相关项目；③新材料产业：优先引进航空航天材料相关项目。</w:t>
                  </w:r>
                </w:p>
              </w:tc>
              <w:tc>
                <w:tcPr>
                  <w:tcW w:w="1391" w:type="pct"/>
                  <w:tcBorders>
                    <w:tl2br w:val="nil"/>
                    <w:tr2bl w:val="nil"/>
                  </w:tcBorders>
                  <w:vAlign w:val="center"/>
                </w:tcPr>
                <w:p w14:paraId="1E81E1BA">
                  <w:pPr>
                    <w:pStyle w:val="29"/>
                    <w:jc w:val="both"/>
                    <w:rPr>
                      <w:rFonts w:hint="eastAsia"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本项目为航空航天精密零部件和其他精密零部件项目，属于</w:t>
                  </w:r>
                  <w:r>
                    <w:rPr>
                      <w:rFonts w:hint="eastAsia" w:eastAsia="仿宋" w:cs="Times New Roman"/>
                      <w:color w:val="auto"/>
                      <w:sz w:val="21"/>
                      <w:szCs w:val="21"/>
                      <w:highlight w:val="none"/>
                      <w:lang w:val="en-US" w:eastAsia="zh-CN"/>
                    </w:rPr>
                    <w:t>高端装备制造的配套产业</w:t>
                  </w:r>
                  <w:r>
                    <w:rPr>
                      <w:rFonts w:hint="default" w:ascii="Times New Roman" w:hAnsi="Times New Roman" w:eastAsia="仿宋" w:cs="Times New Roman"/>
                      <w:color w:val="auto"/>
                      <w:sz w:val="21"/>
                      <w:szCs w:val="21"/>
                      <w:highlight w:val="none"/>
                    </w:rPr>
                    <w:t>，符合相城经济技术开发区的产业定位</w:t>
                  </w:r>
                  <w:r>
                    <w:rPr>
                      <w:rFonts w:hint="eastAsia" w:eastAsia="仿宋" w:cs="Times New Roman"/>
                      <w:color w:val="auto"/>
                      <w:sz w:val="21"/>
                      <w:szCs w:val="21"/>
                      <w:highlight w:val="none"/>
                      <w:lang w:eastAsia="zh-CN"/>
                    </w:rPr>
                    <w:t>。</w:t>
                  </w:r>
                </w:p>
              </w:tc>
              <w:tc>
                <w:tcPr>
                  <w:tcW w:w="432" w:type="pct"/>
                  <w:tcBorders>
                    <w:tl2br w:val="nil"/>
                    <w:tr2bl w:val="nil"/>
                  </w:tcBorders>
                  <w:vAlign w:val="center"/>
                </w:tcPr>
                <w:p w14:paraId="62D37654">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相符</w:t>
                  </w:r>
                </w:p>
              </w:tc>
            </w:tr>
            <w:tr w14:paraId="340287D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156" w:type="pct"/>
                  <w:vMerge w:val="continue"/>
                  <w:tcBorders>
                    <w:tl2br w:val="nil"/>
                    <w:tr2bl w:val="nil"/>
                  </w:tcBorders>
                  <w:vAlign w:val="center"/>
                </w:tcPr>
                <w:p w14:paraId="77256EC2">
                  <w:pPr>
                    <w:pStyle w:val="29"/>
                    <w:rPr>
                      <w:rFonts w:hint="default" w:ascii="Times New Roman" w:hAnsi="Times New Roman" w:eastAsia="仿宋" w:cs="Times New Roman"/>
                      <w:color w:val="auto"/>
                      <w:sz w:val="21"/>
                      <w:szCs w:val="21"/>
                      <w:highlight w:val="none"/>
                    </w:rPr>
                  </w:pPr>
                </w:p>
              </w:tc>
              <w:tc>
                <w:tcPr>
                  <w:tcW w:w="187" w:type="pct"/>
                  <w:tcBorders>
                    <w:tl2br w:val="nil"/>
                    <w:tr2bl w:val="nil"/>
                  </w:tcBorders>
                  <w:vAlign w:val="center"/>
                </w:tcPr>
                <w:p w14:paraId="34E25543">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禁止引入</w:t>
                  </w:r>
                </w:p>
              </w:tc>
              <w:tc>
                <w:tcPr>
                  <w:tcW w:w="2832" w:type="pct"/>
                  <w:tcBorders>
                    <w:tl2br w:val="nil"/>
                    <w:tr2bl w:val="nil"/>
                  </w:tcBorders>
                  <w:vAlign w:val="center"/>
                </w:tcPr>
                <w:p w14:paraId="7B09923E">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禁止建设生产和使用高VOCs含量的溶剂型涂料、油墨、胶粘剂等项目，工业涂装、包装印刷、纺织、木材加工等行业以及涂料、油墨等生产企业的新（改、扩）建项目需满足低（无）VOCs含量限值要求。若确实无法达到上述要求，应提供相应的论证说明，相关涂料、油墨、清洗剂、胶粘剂等产品应符合相关标准中VOCs含量的限值要求；</w:t>
                  </w:r>
                </w:p>
                <w:p w14:paraId="1BACDF26">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2、禁止建设《产业结构调整指导目录》《江苏省太湖流域禁止和限制的产业产品目录》《长江经济带发展负面清单指南江苏省实施细则》等文件明令禁止的项目；</w:t>
                  </w:r>
                </w:p>
                <w:p w14:paraId="08D0C0A9">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3、禁止新建、改建、扩建设置电镀、蚀刻、钝化工艺的项目（太湖流域战略性新兴产业除外）；</w:t>
                  </w:r>
                </w:p>
                <w:p w14:paraId="4A1B0FCB">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4、不得新建、扩建增加重点重金属（铅、汞、镉、铬和砷等）排放的项目。</w:t>
                  </w:r>
                </w:p>
              </w:tc>
              <w:tc>
                <w:tcPr>
                  <w:tcW w:w="1391" w:type="pct"/>
                  <w:tcBorders>
                    <w:tl2br w:val="nil"/>
                    <w:tr2bl w:val="nil"/>
                  </w:tcBorders>
                  <w:vAlign w:val="center"/>
                </w:tcPr>
                <w:p w14:paraId="2437272C">
                  <w:pPr>
                    <w:pStyle w:val="29"/>
                    <w:jc w:val="both"/>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lang w:val="en-US" w:eastAsia="zh-CN"/>
                    </w:rPr>
                    <w:t>本项目不使用涂料、油墨、清洗剂，胶粘剂。</w:t>
                  </w:r>
                </w:p>
                <w:p w14:paraId="14C7C85B">
                  <w:pPr>
                    <w:pStyle w:val="29"/>
                    <w:jc w:val="both"/>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lang w:val="en-US" w:eastAsia="zh-CN"/>
                    </w:rPr>
                    <w:t>本项目不属于《产业结构调整指导目录》《江苏省太湖流域禁止和限制的产业产品目录》《长江经济带发展负面清单指南江苏省实施细则》等文件明令禁止的项目；本项目不属于电路板制造项目，不属于《江苏省</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两高</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项目管理目录（2025年版）》等国家和省有关文件规定的</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两高</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项目。</w:t>
                  </w:r>
                </w:p>
                <w:p w14:paraId="43AA1203">
                  <w:pPr>
                    <w:pStyle w:val="29"/>
                    <w:jc w:val="both"/>
                    <w:rPr>
                      <w:rFonts w:hint="eastAsia"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lang w:val="en-US" w:eastAsia="zh-CN"/>
                    </w:rPr>
                    <w:t>本项目不涉及电镀、蚀刻、钝化工艺，无工业废水排放</w:t>
                  </w:r>
                  <w:r>
                    <w:rPr>
                      <w:rFonts w:hint="eastAsia" w:eastAsia="仿宋" w:cs="Times New Roman"/>
                      <w:color w:val="auto"/>
                      <w:sz w:val="21"/>
                      <w:szCs w:val="21"/>
                      <w:highlight w:val="none"/>
                      <w:lang w:val="en-US" w:eastAsia="zh-CN"/>
                    </w:rPr>
                    <w:t>。</w:t>
                  </w:r>
                </w:p>
                <w:p w14:paraId="16615DF4">
                  <w:pPr>
                    <w:pStyle w:val="29"/>
                    <w:jc w:val="both"/>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4、本项目无生产废水，且不涉及重金属排放。</w:t>
                  </w:r>
                </w:p>
              </w:tc>
              <w:tc>
                <w:tcPr>
                  <w:tcW w:w="432" w:type="pct"/>
                  <w:vMerge w:val="restart"/>
                  <w:tcBorders>
                    <w:tl2br w:val="nil"/>
                    <w:tr2bl w:val="nil"/>
                  </w:tcBorders>
                  <w:vAlign w:val="center"/>
                </w:tcPr>
                <w:p w14:paraId="5994FC8B">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相符</w:t>
                  </w:r>
                </w:p>
              </w:tc>
            </w:tr>
            <w:tr w14:paraId="568651C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156" w:type="pct"/>
                  <w:vMerge w:val="continue"/>
                  <w:tcBorders>
                    <w:tl2br w:val="nil"/>
                    <w:tr2bl w:val="nil"/>
                  </w:tcBorders>
                  <w:shd w:val="clear" w:color="auto" w:fill="auto"/>
                  <w:vAlign w:val="center"/>
                </w:tcPr>
                <w:p w14:paraId="32B0C878">
                  <w:pPr>
                    <w:pStyle w:val="29"/>
                    <w:rPr>
                      <w:rFonts w:hint="default" w:ascii="Times New Roman" w:hAnsi="Times New Roman" w:eastAsia="仿宋" w:cs="Times New Roman"/>
                      <w:color w:val="auto"/>
                      <w:kern w:val="0"/>
                      <w:sz w:val="21"/>
                      <w:szCs w:val="21"/>
                      <w:highlight w:val="none"/>
                      <w:lang w:val="en-US" w:eastAsia="zh-CN" w:bidi="ar-SA"/>
                    </w:rPr>
                  </w:pPr>
                </w:p>
              </w:tc>
              <w:tc>
                <w:tcPr>
                  <w:tcW w:w="187" w:type="pct"/>
                  <w:tcBorders>
                    <w:tl2br w:val="nil"/>
                    <w:tr2bl w:val="nil"/>
                  </w:tcBorders>
                  <w:vAlign w:val="center"/>
                </w:tcPr>
                <w:p w14:paraId="5833708B">
                  <w:pPr>
                    <w:pStyle w:val="29"/>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限制引入</w:t>
                  </w:r>
                </w:p>
              </w:tc>
              <w:tc>
                <w:tcPr>
                  <w:tcW w:w="2832" w:type="pct"/>
                  <w:tcBorders>
                    <w:tl2br w:val="nil"/>
                    <w:tr2bl w:val="nil"/>
                  </w:tcBorders>
                  <w:vAlign w:val="center"/>
                </w:tcPr>
                <w:p w14:paraId="12EF563C">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1、限制印刷电路板制造（C3982）项目。</w:t>
                  </w:r>
                </w:p>
                <w:p w14:paraId="390F698F">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2、严格限制新建、扩建《江苏省</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两高</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项目管理目录（2024年版）》等国家和省有关文件规定的</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两高</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项目。</w:t>
                  </w:r>
                </w:p>
              </w:tc>
              <w:tc>
                <w:tcPr>
                  <w:tcW w:w="1391" w:type="pct"/>
                  <w:tcBorders>
                    <w:tl2br w:val="nil"/>
                    <w:tr2bl w:val="nil"/>
                  </w:tcBorders>
                  <w:vAlign w:val="center"/>
                </w:tcPr>
                <w:p w14:paraId="7D7A7820">
                  <w:pPr>
                    <w:pStyle w:val="29"/>
                    <w:jc w:val="both"/>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lang w:val="en-US" w:eastAsia="zh-CN"/>
                    </w:rPr>
                    <w:t>本项目不属于限制印刷电路板制造（C3982）项目；</w:t>
                  </w:r>
                </w:p>
                <w:p w14:paraId="54CC3A3B">
                  <w:pPr>
                    <w:pStyle w:val="29"/>
                    <w:jc w:val="both"/>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lang w:val="en-US" w:eastAsia="zh-CN"/>
                    </w:rPr>
                    <w:t>本项目不属于新建、扩建《江苏省</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两高</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项目管理目录（2025年版）》等国家和省有关文件规定的</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两高</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项目。</w:t>
                  </w:r>
                </w:p>
              </w:tc>
              <w:tc>
                <w:tcPr>
                  <w:tcW w:w="432" w:type="pct"/>
                  <w:vMerge w:val="continue"/>
                  <w:tcBorders>
                    <w:tl2br w:val="nil"/>
                    <w:tr2bl w:val="nil"/>
                  </w:tcBorders>
                  <w:vAlign w:val="center"/>
                </w:tcPr>
                <w:p w14:paraId="769123DD">
                  <w:pPr>
                    <w:pStyle w:val="29"/>
                    <w:rPr>
                      <w:rFonts w:hint="eastAsia" w:ascii="Times New Roman" w:hAnsi="Times New Roman" w:eastAsia="仿宋" w:cs="Times New Roman"/>
                      <w:color w:val="auto"/>
                      <w:sz w:val="21"/>
                      <w:szCs w:val="21"/>
                      <w:highlight w:val="none"/>
                      <w:lang w:val="en-US" w:eastAsia="zh-CN"/>
                    </w:rPr>
                  </w:pPr>
                </w:p>
              </w:tc>
            </w:tr>
            <w:tr w14:paraId="68EB444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44" w:type="pct"/>
                  <w:gridSpan w:val="2"/>
                  <w:tcBorders>
                    <w:tl2br w:val="nil"/>
                    <w:tr2bl w:val="nil"/>
                  </w:tcBorders>
                  <w:shd w:val="clear" w:color="auto" w:fill="auto"/>
                  <w:vAlign w:val="center"/>
                </w:tcPr>
                <w:p w14:paraId="38098B96">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空间布局约束</w:t>
                  </w:r>
                </w:p>
              </w:tc>
              <w:tc>
                <w:tcPr>
                  <w:tcW w:w="2832" w:type="pct"/>
                  <w:tcBorders>
                    <w:tl2br w:val="nil"/>
                    <w:tr2bl w:val="nil"/>
                  </w:tcBorders>
                  <w:vAlign w:val="center"/>
                </w:tcPr>
                <w:p w14:paraId="727D080C">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1、严格落实江苏省与苏州市生态环境分区管控要求；</w:t>
                  </w:r>
                </w:p>
                <w:p w14:paraId="50759DA2">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2、禁止铁路、公路及主要城市道路防护绿带、水系防护绿带、</w:t>
                  </w:r>
                </w:p>
                <w:p w14:paraId="6861C2F7">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高压走廊防护绿地、工业区与居住区之间的防护绿带、市政设施周围防护绿带内的开发建设；</w:t>
                  </w:r>
                </w:p>
                <w:p w14:paraId="0E3D1E58">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3、规划产业片区（苏相现代产业园（北区）、苏相现代产业园（南区）、智能制造产业园北片、智能制造产业园南片、阳澄湖研发产业园、灵峰产业园）与周边居住用地之间设置50米宽空间防护距离；</w:t>
                  </w:r>
                </w:p>
                <w:p w14:paraId="5B0F2DF9">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4、居住用地100米范围内严格限制建设产生恶臭类废气、有机废气、粉尘、高噪声的项目；</w:t>
                  </w:r>
                </w:p>
                <w:p w14:paraId="61D30FF3">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5、太湖流域二级保护区（望虞河沿岸纵深1km范围）禁止新建、扩建化工、医药生产项目；新建、扩建污水集中处理设施排污口以外的排污口；</w:t>
                  </w:r>
                </w:p>
                <w:p w14:paraId="688DBC9E">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开发区本轮规划范围内涉及生态空间管控区共3处，包括望虞河（相城区）清水通道维护区、西塘河（相城区）清水通道维护区、漕湖重要湿地，严格执行《江苏省生态空间管控区域调整管理办法》（苏政办发〔2021〕3号）、《江苏省生态空间管控区域监督管理办法》（苏政办发〔2021〕20号）相应管控要求；</w:t>
                  </w:r>
                </w:p>
                <w:p w14:paraId="019AE92E">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7、开发区本轮规划范围内涉及部分永久基本农田（约9.33km</w:t>
                  </w:r>
                  <w:r>
                    <w:rPr>
                      <w:rFonts w:hint="default" w:ascii="Times New Roman" w:hAnsi="Times New Roman" w:eastAsia="仿宋" w:cs="Times New Roman"/>
                      <w:color w:val="auto"/>
                      <w:sz w:val="21"/>
                      <w:szCs w:val="21"/>
                      <w:highlight w:val="none"/>
                      <w:vertAlign w:val="superscript"/>
                    </w:rPr>
                    <w:t>2</w:t>
                  </w:r>
                  <w:r>
                    <w:rPr>
                      <w:rFonts w:hint="default" w:ascii="Times New Roman" w:hAnsi="Times New Roman" w:eastAsia="仿宋" w:cs="Times New Roman"/>
                      <w:color w:val="auto"/>
                      <w:sz w:val="21"/>
                      <w:szCs w:val="21"/>
                      <w:highlight w:val="none"/>
                    </w:rPr>
                    <w:t>），规划期应严格按照国家《基本农田保护条例》进行保护和管理，不得开发利用；</w:t>
                  </w:r>
                </w:p>
                <w:p w14:paraId="3E9155F9">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阳澄湖二级水源水质保护区（北河泾沿岸纵深500米）禁止新建、改建、扩建向水体排放水污染物的工业建设项目，禁止设置装卸垃圾、粪便、油类和有毒物品的码头、有毒有害化学品仓库及堆栈，禁止设置危险废物贮存、处置、利用项目。</w:t>
                  </w:r>
                </w:p>
              </w:tc>
              <w:tc>
                <w:tcPr>
                  <w:tcW w:w="1391" w:type="pct"/>
                  <w:tcBorders>
                    <w:tl2br w:val="nil"/>
                    <w:tr2bl w:val="nil"/>
                  </w:tcBorders>
                  <w:vAlign w:val="center"/>
                </w:tcPr>
                <w:p w14:paraId="1E1AF71F">
                  <w:pPr>
                    <w:pStyle w:val="29"/>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本项目的建设符合江苏省与苏州市生态环境分区管控要求；</w:t>
                  </w:r>
                </w:p>
                <w:p w14:paraId="0BC1B380">
                  <w:pPr>
                    <w:pStyle w:val="29"/>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本项目位于</w:t>
                  </w:r>
                  <w:r>
                    <w:rPr>
                      <w:rFonts w:hint="default" w:ascii="Times New Roman" w:hAnsi="Times New Roman" w:eastAsia="仿宋" w:cs="Times New Roman"/>
                      <w:color w:val="auto"/>
                      <w:sz w:val="21"/>
                      <w:szCs w:val="21"/>
                      <w:highlight w:val="none"/>
                    </w:rPr>
                    <w:t>苏州市漕湖街道永昌路28号A栋11单元</w:t>
                  </w:r>
                  <w:r>
                    <w:rPr>
                      <w:rFonts w:hint="default" w:ascii="Times New Roman" w:hAnsi="Times New Roman" w:eastAsia="仿宋" w:cs="Times New Roman"/>
                      <w:color w:val="auto"/>
                      <w:sz w:val="21"/>
                      <w:szCs w:val="21"/>
                      <w:highlight w:val="none"/>
                      <w:lang w:val="en-US" w:eastAsia="zh-CN"/>
                    </w:rPr>
                    <w:t>，不属于铁路、公路及主要城市道路防护绿带、水系防护绿带、高压走廊防护绿地、工业区与居住区之间的防护绿带、市政设施周围防护绿带内的开发建设；</w:t>
                  </w:r>
                </w:p>
                <w:p w14:paraId="6ECD4A66">
                  <w:pPr>
                    <w:pStyle w:val="29"/>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本项目位于苏相现代产业园（南区），设置的100m卫生防护距离内无居民点；</w:t>
                  </w:r>
                </w:p>
                <w:p w14:paraId="2FFB3CDF">
                  <w:pPr>
                    <w:pStyle w:val="29"/>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本项目100米范围内</w:t>
                  </w:r>
                  <w:r>
                    <w:rPr>
                      <w:rFonts w:hint="eastAsia" w:eastAsia="仿宋" w:cs="Times New Roman"/>
                      <w:color w:val="auto"/>
                      <w:sz w:val="21"/>
                      <w:szCs w:val="21"/>
                      <w:highlight w:val="none"/>
                      <w:lang w:val="en-US" w:eastAsia="zh-CN"/>
                    </w:rPr>
                    <w:t>无居住用地</w:t>
                  </w:r>
                  <w:r>
                    <w:rPr>
                      <w:rFonts w:hint="default" w:ascii="Times New Roman" w:hAnsi="Times New Roman" w:eastAsia="仿宋" w:cs="Times New Roman"/>
                      <w:color w:val="auto"/>
                      <w:sz w:val="21"/>
                      <w:szCs w:val="21"/>
                      <w:highlight w:val="none"/>
                      <w:lang w:val="en-US" w:eastAsia="zh-CN"/>
                    </w:rPr>
                    <w:t>；</w:t>
                  </w:r>
                </w:p>
                <w:p w14:paraId="1443DA9B">
                  <w:pPr>
                    <w:pStyle w:val="29"/>
                    <w:jc w:val="both"/>
                    <w:rPr>
                      <w:rFonts w:hint="eastAsia"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本项目位于</w:t>
                  </w:r>
                  <w:r>
                    <w:rPr>
                      <w:rFonts w:hint="default" w:ascii="Times New Roman" w:hAnsi="Times New Roman" w:eastAsia="仿宋" w:cs="Times New Roman"/>
                      <w:color w:val="auto"/>
                      <w:sz w:val="21"/>
                      <w:szCs w:val="21"/>
                      <w:highlight w:val="none"/>
                    </w:rPr>
                    <w:t>苏州市漕湖街道永昌路28号A栋11单元</w:t>
                  </w:r>
                  <w:r>
                    <w:rPr>
                      <w:rFonts w:hint="default" w:ascii="Times New Roman" w:hAnsi="Times New Roman" w:eastAsia="仿宋" w:cs="Times New Roman"/>
                      <w:color w:val="auto"/>
                      <w:sz w:val="21"/>
                      <w:szCs w:val="21"/>
                      <w:highlight w:val="none"/>
                      <w:lang w:val="en-US" w:eastAsia="zh-CN"/>
                    </w:rPr>
                    <w:t>，属于太湖流域三级保护区</w:t>
                  </w:r>
                  <w:r>
                    <w:rPr>
                      <w:rFonts w:hint="eastAsia" w:eastAsia="仿宋" w:cs="Times New Roman"/>
                      <w:color w:val="auto"/>
                      <w:sz w:val="21"/>
                      <w:szCs w:val="21"/>
                      <w:highlight w:val="none"/>
                      <w:lang w:val="en-US" w:eastAsia="zh-CN"/>
                    </w:rPr>
                    <w:t>，不属于</w:t>
                  </w:r>
                  <w:r>
                    <w:rPr>
                      <w:rFonts w:hint="default" w:ascii="Times New Roman" w:hAnsi="Times New Roman" w:eastAsia="仿宋" w:cs="Times New Roman"/>
                      <w:color w:val="auto"/>
                      <w:sz w:val="21"/>
                      <w:szCs w:val="21"/>
                      <w:highlight w:val="none"/>
                    </w:rPr>
                    <w:t>新建、扩建化工、医药生产项目；</w:t>
                  </w:r>
                  <w:r>
                    <w:rPr>
                      <w:rFonts w:hint="eastAsia" w:eastAsia="仿宋" w:cs="Times New Roman"/>
                      <w:color w:val="auto"/>
                      <w:sz w:val="21"/>
                      <w:szCs w:val="21"/>
                      <w:highlight w:val="none"/>
                      <w:lang w:val="en-US" w:eastAsia="zh-CN"/>
                    </w:rPr>
                    <w:t>不属于</w:t>
                  </w:r>
                  <w:r>
                    <w:rPr>
                      <w:rFonts w:hint="default" w:ascii="Times New Roman" w:hAnsi="Times New Roman" w:eastAsia="仿宋" w:cs="Times New Roman"/>
                      <w:color w:val="auto"/>
                      <w:sz w:val="21"/>
                      <w:szCs w:val="21"/>
                      <w:highlight w:val="none"/>
                    </w:rPr>
                    <w:t>新建、扩建污水集中处理设施排污口以外的排污口；</w:t>
                  </w:r>
                </w:p>
                <w:p w14:paraId="5C4A11BE">
                  <w:pPr>
                    <w:pStyle w:val="29"/>
                    <w:jc w:val="both"/>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6、本项目</w:t>
                  </w:r>
                  <w:r>
                    <w:rPr>
                      <w:rFonts w:hint="default" w:ascii="Times New Roman" w:hAnsi="Times New Roman" w:eastAsia="仿宋" w:cs="Times New Roman"/>
                      <w:color w:val="auto"/>
                      <w:sz w:val="21"/>
                      <w:szCs w:val="21"/>
                      <w:highlight w:val="none"/>
                      <w:lang w:val="en-US" w:eastAsia="zh-CN"/>
                    </w:rPr>
                    <w:t>不在生态空间管控区范围内；</w:t>
                  </w:r>
                </w:p>
                <w:p w14:paraId="6742C473">
                  <w:pPr>
                    <w:pStyle w:val="29"/>
                    <w:jc w:val="both"/>
                    <w:rPr>
                      <w:rFonts w:hint="eastAsia"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7、</w:t>
                  </w:r>
                  <w:r>
                    <w:rPr>
                      <w:rFonts w:hint="default" w:ascii="Times New Roman" w:hAnsi="Times New Roman" w:eastAsia="仿宋" w:cs="Times New Roman"/>
                      <w:color w:val="auto"/>
                      <w:sz w:val="21"/>
                      <w:szCs w:val="21"/>
                      <w:highlight w:val="none"/>
                      <w:lang w:val="en-US" w:eastAsia="zh-CN"/>
                    </w:rPr>
                    <w:t>项目所在地属于城镇开发边界，不涉及永久基本农田</w:t>
                  </w:r>
                  <w:r>
                    <w:rPr>
                      <w:rFonts w:hint="eastAsia" w:eastAsia="仿宋" w:cs="Times New Roman"/>
                      <w:color w:val="auto"/>
                      <w:sz w:val="21"/>
                      <w:szCs w:val="21"/>
                      <w:highlight w:val="none"/>
                      <w:lang w:val="en-US" w:eastAsia="zh-CN"/>
                    </w:rPr>
                    <w:t>；</w:t>
                  </w:r>
                </w:p>
                <w:p w14:paraId="69C8443A">
                  <w:pPr>
                    <w:pStyle w:val="29"/>
                    <w:jc w:val="both"/>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8、位于阳澄湖三级保护区内，不涉及禁止项目</w:t>
                  </w:r>
                  <w:r>
                    <w:rPr>
                      <w:rFonts w:hint="default" w:ascii="Times New Roman" w:hAnsi="Times New Roman" w:eastAsia="仿宋" w:cs="Times New Roman"/>
                      <w:color w:val="auto"/>
                      <w:sz w:val="21"/>
                      <w:szCs w:val="21"/>
                      <w:highlight w:val="none"/>
                      <w:lang w:val="en-US" w:eastAsia="zh-CN"/>
                    </w:rPr>
                    <w:t>；</w:t>
                  </w:r>
                </w:p>
              </w:tc>
              <w:tc>
                <w:tcPr>
                  <w:tcW w:w="432" w:type="pct"/>
                  <w:tcBorders>
                    <w:tl2br w:val="nil"/>
                    <w:tr2bl w:val="nil"/>
                  </w:tcBorders>
                  <w:vAlign w:val="center"/>
                </w:tcPr>
                <w:p w14:paraId="5D9241D7">
                  <w:pPr>
                    <w:pStyle w:val="29"/>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相符</w:t>
                  </w:r>
                </w:p>
              </w:tc>
            </w:tr>
            <w:tr w14:paraId="59FFC5E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44" w:type="pct"/>
                  <w:gridSpan w:val="2"/>
                  <w:tcBorders>
                    <w:tl2br w:val="nil"/>
                    <w:tr2bl w:val="nil"/>
                  </w:tcBorders>
                  <w:vAlign w:val="center"/>
                </w:tcPr>
                <w:p w14:paraId="3325C9C2">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污染物排放管控</w:t>
                  </w:r>
                </w:p>
              </w:tc>
              <w:tc>
                <w:tcPr>
                  <w:tcW w:w="2832" w:type="pct"/>
                  <w:tcBorders>
                    <w:tl2br w:val="nil"/>
                    <w:tr2bl w:val="nil"/>
                  </w:tcBorders>
                  <w:vAlign w:val="center"/>
                </w:tcPr>
                <w:p w14:paraId="117FD85A">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1、开发区近期废水污染物外排量：COD545.238吨/年、NH</w:t>
                  </w:r>
                  <w:r>
                    <w:rPr>
                      <w:rFonts w:hint="default" w:ascii="Times New Roman" w:hAnsi="Times New Roman" w:eastAsia="仿宋" w:cs="Times New Roman"/>
                      <w:color w:val="auto"/>
                      <w:sz w:val="21"/>
                      <w:szCs w:val="21"/>
                      <w:highlight w:val="none"/>
                      <w:vertAlign w:val="subscript"/>
                    </w:rPr>
                    <w:t>3</w:t>
                  </w:r>
                  <w:r>
                    <w:rPr>
                      <w:rFonts w:hint="default" w:ascii="Times New Roman" w:hAnsi="Times New Roman" w:eastAsia="仿宋" w:cs="Times New Roman"/>
                      <w:color w:val="auto"/>
                      <w:sz w:val="21"/>
                      <w:szCs w:val="21"/>
                      <w:highlight w:val="none"/>
                    </w:rPr>
                    <w:t>-N54.530吨/年、总氮149.714吨/年、总磷10.493吨/年，氟化物1.801吨/年、总铜0.119吨/年、总锌0.156吨/年、总镍0.027吨/年；远期外排量COD607.680吨/年、NH3-N54.121吨/年、总氮173.362吨/年、总磷10.104吨/年，氟化物1.518吨/年、总铜0.075吨/年、总锌0.098吨/年、总镍0.022吨/年；</w:t>
                  </w:r>
                </w:p>
                <w:p w14:paraId="7ADE3630">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2、开发区近期废气污染物排放量：SO</w:t>
                  </w:r>
                  <w:r>
                    <w:rPr>
                      <w:rFonts w:hint="default" w:ascii="Times New Roman" w:hAnsi="Times New Roman" w:eastAsia="仿宋" w:cs="Times New Roman"/>
                      <w:color w:val="auto"/>
                      <w:sz w:val="21"/>
                      <w:szCs w:val="21"/>
                      <w:highlight w:val="none"/>
                      <w:vertAlign w:val="subscript"/>
                    </w:rPr>
                    <w:t>2</w:t>
                  </w:r>
                  <w:r>
                    <w:rPr>
                      <w:rFonts w:hint="default" w:ascii="Times New Roman" w:hAnsi="Times New Roman" w:eastAsia="仿宋" w:cs="Times New Roman"/>
                      <w:color w:val="auto"/>
                      <w:sz w:val="21"/>
                      <w:szCs w:val="21"/>
                      <w:highlight w:val="none"/>
                    </w:rPr>
                    <w:t>158.947吨/年、NOx182.466吨/年、烟粉尘224.440吨/年、VOCs235.313吨/年；远期SO</w:t>
                  </w:r>
                  <w:r>
                    <w:rPr>
                      <w:rFonts w:hint="default" w:ascii="Times New Roman" w:hAnsi="Times New Roman" w:eastAsia="仿宋" w:cs="Times New Roman"/>
                      <w:color w:val="auto"/>
                      <w:sz w:val="21"/>
                      <w:szCs w:val="21"/>
                      <w:highlight w:val="none"/>
                      <w:vertAlign w:val="subscript"/>
                    </w:rPr>
                    <w:t>2</w:t>
                  </w:r>
                  <w:r>
                    <w:rPr>
                      <w:rFonts w:hint="default" w:ascii="Times New Roman" w:hAnsi="Times New Roman" w:eastAsia="仿宋" w:cs="Times New Roman"/>
                      <w:color w:val="auto"/>
                      <w:sz w:val="21"/>
                      <w:szCs w:val="21"/>
                      <w:highlight w:val="none"/>
                    </w:rPr>
                    <w:t>153.90吨/年、NOx190.461吨/年、烟粉尘199.731吨/年、VOCs178.454吨/年；</w:t>
                  </w:r>
                </w:p>
                <w:p w14:paraId="65B642CF">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3、开发区近期碳排放量：913238.49tCO</w:t>
                  </w:r>
                  <w:r>
                    <w:rPr>
                      <w:rFonts w:hint="default" w:ascii="Times New Roman" w:hAnsi="Times New Roman" w:eastAsia="仿宋" w:cs="Times New Roman"/>
                      <w:color w:val="auto"/>
                      <w:sz w:val="21"/>
                      <w:szCs w:val="21"/>
                      <w:highlight w:val="none"/>
                      <w:vertAlign w:val="subscript"/>
                    </w:rPr>
                    <w:t>2</w:t>
                  </w:r>
                  <w:r>
                    <w:rPr>
                      <w:rFonts w:hint="default" w:ascii="Times New Roman" w:hAnsi="Times New Roman" w:eastAsia="仿宋" w:cs="Times New Roman"/>
                      <w:color w:val="auto"/>
                      <w:sz w:val="21"/>
                      <w:szCs w:val="21"/>
                      <w:highlight w:val="none"/>
                    </w:rPr>
                    <w:t>/年，远期碳排放量：1077120.46tCO</w:t>
                  </w:r>
                  <w:r>
                    <w:rPr>
                      <w:rFonts w:hint="default" w:ascii="Times New Roman" w:hAnsi="Times New Roman" w:eastAsia="仿宋" w:cs="Times New Roman"/>
                      <w:color w:val="auto"/>
                      <w:sz w:val="21"/>
                      <w:szCs w:val="21"/>
                      <w:highlight w:val="none"/>
                      <w:vertAlign w:val="subscript"/>
                    </w:rPr>
                    <w:t>2</w:t>
                  </w:r>
                  <w:r>
                    <w:rPr>
                      <w:rFonts w:hint="default" w:ascii="Times New Roman" w:hAnsi="Times New Roman" w:eastAsia="仿宋" w:cs="Times New Roman"/>
                      <w:color w:val="auto"/>
                      <w:sz w:val="21"/>
                      <w:szCs w:val="21"/>
                      <w:highlight w:val="none"/>
                    </w:rPr>
                    <w:t>/年；</w:t>
                  </w:r>
                </w:p>
                <w:p w14:paraId="05FB57E1">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战略性新兴产业新建、扩建项目新增的磷、氮等重点水污染物排放总量应当从本区域通过产业置换、淘汰、关闭等方式获得的指标中取得，且按照不低于该项目新增年排放总量的1.1倍实施减量替代；战略性新兴产业改建项目应当实现项目磷、氮等重点水污染物年排放总量减少；提升环保标准的技术改造项目的磷、氮等重点水污染物年排放总量减少幅度应当不低于该项目原年排放总量的百分之二十。前述减少的磷、氮等重点水污染物年排放总量指标不得用于其他项目。</w:t>
                  </w:r>
                </w:p>
                <w:p w14:paraId="6EDF5E8C">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新建企业涉及含重金属、难生化降解废水、高盐废水、含氟废水以及其他需接入工业污水处理厂的生产废水，分别接入一泓污水处理厂及漕湖污水处理厂工业废水预处理设施，预处理设施出水特征污染物浓度执行《城镇污水处理厂污染物排放标准》（DB32/4440-2022）及相应行业直接排放标准中最严标准后，再与生活污水及其他工业废水混合进入污水厂生化工艺段。</w:t>
                  </w:r>
                </w:p>
              </w:tc>
              <w:tc>
                <w:tcPr>
                  <w:tcW w:w="1391" w:type="pct"/>
                  <w:tcBorders>
                    <w:tl2br w:val="nil"/>
                    <w:tr2bl w:val="nil"/>
                  </w:tcBorders>
                  <w:vAlign w:val="center"/>
                </w:tcPr>
                <w:p w14:paraId="4C94847D">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本项目不属于新建电镀工业和食品工业，项目涉及的废气经有效的处理措施处理后排放。本项目严格落实污染物排放总量控制制度，将主要污染物排放总量指标作为建设项目环评审批的前置条件。</w:t>
                  </w:r>
                </w:p>
              </w:tc>
              <w:tc>
                <w:tcPr>
                  <w:tcW w:w="432" w:type="pct"/>
                  <w:tcBorders>
                    <w:tl2br w:val="nil"/>
                    <w:tr2bl w:val="nil"/>
                  </w:tcBorders>
                  <w:vAlign w:val="center"/>
                </w:tcPr>
                <w:p w14:paraId="2C341438">
                  <w:pPr>
                    <w:pStyle w:val="29"/>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相符</w:t>
                  </w:r>
                </w:p>
              </w:tc>
            </w:tr>
            <w:tr w14:paraId="5486BBF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44" w:type="pct"/>
                  <w:gridSpan w:val="2"/>
                  <w:tcBorders>
                    <w:tl2br w:val="nil"/>
                    <w:tr2bl w:val="nil"/>
                  </w:tcBorders>
                  <w:vAlign w:val="center"/>
                </w:tcPr>
                <w:p w14:paraId="199FA509">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环境风险防控</w:t>
                  </w:r>
                </w:p>
              </w:tc>
              <w:tc>
                <w:tcPr>
                  <w:tcW w:w="2832" w:type="pct"/>
                  <w:tcBorders>
                    <w:tl2br w:val="nil"/>
                    <w:tr2bl w:val="nil"/>
                  </w:tcBorders>
                  <w:vAlign w:val="center"/>
                </w:tcPr>
                <w:p w14:paraId="644D375B">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1、禁止向区内水体排放或者倾倒油类、酸液、碱液、剧毒废渣废液、含放射性废渣废液、含病原体污水、工业废渣以及其他废弃物；</w:t>
                  </w:r>
                </w:p>
                <w:p w14:paraId="566A006D">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2、建立区域监测预警系统，建立省市县上下联动、区域之间左右联动等联动应急响应体系，实行联防联控；</w:t>
                  </w:r>
                </w:p>
                <w:p w14:paraId="18BC9EA6">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生产、使用、储存危险化学品或其他存在环境风险的企业事业单位，应当采取风险防范措施，并根据《企业事业单位突发环境事件应急预案备案管理办法（试行）》的要求编制环境风险应急预案，防止发生环境污染事故；</w:t>
                  </w:r>
                </w:p>
                <w:p w14:paraId="7E6D3744">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4、禁止引入防渗防漏措施不到位易造成地下水、土壤环境污染的项目。</w:t>
                  </w:r>
                </w:p>
              </w:tc>
              <w:tc>
                <w:tcPr>
                  <w:tcW w:w="1391" w:type="pct"/>
                  <w:tcBorders>
                    <w:tl2br w:val="nil"/>
                    <w:tr2bl w:val="nil"/>
                  </w:tcBorders>
                  <w:vAlign w:val="center"/>
                </w:tcPr>
                <w:p w14:paraId="0303D51D">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本项目厂区内已实行雨污分流。建设单位</w:t>
                  </w:r>
                  <w:r>
                    <w:rPr>
                      <w:rFonts w:hint="eastAsia" w:eastAsia="仿宋" w:cs="Times New Roman"/>
                      <w:color w:val="auto"/>
                      <w:sz w:val="21"/>
                      <w:szCs w:val="21"/>
                      <w:highlight w:val="none"/>
                      <w:lang w:val="en-US" w:eastAsia="zh-CN"/>
                    </w:rPr>
                    <w:t>拟</w:t>
                  </w:r>
                  <w:r>
                    <w:rPr>
                      <w:rFonts w:hint="default" w:ascii="Times New Roman" w:hAnsi="Times New Roman" w:eastAsia="仿宋" w:cs="Times New Roman"/>
                      <w:color w:val="auto"/>
                      <w:sz w:val="21"/>
                      <w:szCs w:val="21"/>
                      <w:highlight w:val="none"/>
                      <w:lang w:val="en-US" w:eastAsia="zh-CN"/>
                    </w:rPr>
                    <w:t>采取相应风险防范措施，并根据《企业事业单位突发环境事件应急预案备案管理办法（试行）》的要求</w:t>
                  </w:r>
                  <w:r>
                    <w:rPr>
                      <w:rFonts w:hint="eastAsia" w:eastAsia="仿宋" w:cs="Times New Roman"/>
                      <w:color w:val="auto"/>
                      <w:sz w:val="21"/>
                      <w:szCs w:val="21"/>
                      <w:highlight w:val="none"/>
                      <w:lang w:val="en-US" w:eastAsia="zh-CN"/>
                    </w:rPr>
                    <w:t>编制</w:t>
                  </w:r>
                  <w:r>
                    <w:rPr>
                      <w:rFonts w:hint="default" w:ascii="Times New Roman" w:hAnsi="Times New Roman" w:eastAsia="仿宋" w:cs="Times New Roman"/>
                      <w:color w:val="auto"/>
                      <w:sz w:val="21"/>
                      <w:szCs w:val="21"/>
                      <w:highlight w:val="none"/>
                      <w:lang w:val="en-US" w:eastAsia="zh-CN"/>
                    </w:rPr>
                    <w:t>环境风险应急预案。本项目厂区已全部硬化并做好分区防渗处理，不易造成地下水、土壤的环境污染。</w:t>
                  </w:r>
                </w:p>
              </w:tc>
              <w:tc>
                <w:tcPr>
                  <w:tcW w:w="432" w:type="pct"/>
                  <w:tcBorders>
                    <w:tl2br w:val="nil"/>
                    <w:tr2bl w:val="nil"/>
                  </w:tcBorders>
                  <w:vAlign w:val="center"/>
                </w:tcPr>
                <w:p w14:paraId="66323F79">
                  <w:pPr>
                    <w:pStyle w:val="29"/>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相符</w:t>
                  </w:r>
                </w:p>
              </w:tc>
            </w:tr>
            <w:tr w14:paraId="5D07B68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44" w:type="pct"/>
                  <w:gridSpan w:val="2"/>
                  <w:tcBorders>
                    <w:tl2br w:val="nil"/>
                    <w:tr2bl w:val="nil"/>
                  </w:tcBorders>
                  <w:vAlign w:val="center"/>
                </w:tcPr>
                <w:p w14:paraId="22AC8DA5">
                  <w:pPr>
                    <w:pStyle w:val="29"/>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资源开发利用要求</w:t>
                  </w:r>
                </w:p>
              </w:tc>
              <w:tc>
                <w:tcPr>
                  <w:tcW w:w="2832" w:type="pct"/>
                  <w:tcBorders>
                    <w:tl2br w:val="nil"/>
                    <w:tr2bl w:val="nil"/>
                  </w:tcBorders>
                  <w:vAlign w:val="center"/>
                </w:tcPr>
                <w:p w14:paraId="05452EBE">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1、单位工业用地工业增加值近期≥11亿元/km</w:t>
                  </w:r>
                  <w:r>
                    <w:rPr>
                      <w:rFonts w:hint="default" w:ascii="Times New Roman" w:hAnsi="Times New Roman" w:eastAsia="仿宋" w:cs="Times New Roman"/>
                      <w:color w:val="auto"/>
                      <w:sz w:val="21"/>
                      <w:szCs w:val="21"/>
                      <w:highlight w:val="none"/>
                      <w:vertAlign w:val="superscript"/>
                    </w:rPr>
                    <w:t>2</w:t>
                  </w:r>
                  <w:r>
                    <w:rPr>
                      <w:rFonts w:hint="default" w:ascii="Times New Roman" w:hAnsi="Times New Roman" w:eastAsia="仿宋" w:cs="Times New Roman"/>
                      <w:color w:val="auto"/>
                      <w:sz w:val="21"/>
                      <w:szCs w:val="21"/>
                      <w:highlight w:val="none"/>
                    </w:rPr>
                    <w:t>、远期≥15亿元/km</w:t>
                  </w:r>
                  <w:r>
                    <w:rPr>
                      <w:rFonts w:hint="default" w:ascii="Times New Roman" w:hAnsi="Times New Roman" w:eastAsia="仿宋" w:cs="Times New Roman"/>
                      <w:color w:val="auto"/>
                      <w:sz w:val="21"/>
                      <w:szCs w:val="21"/>
                      <w:highlight w:val="none"/>
                      <w:vertAlign w:val="superscript"/>
                    </w:rPr>
                    <w:t>2</w:t>
                  </w:r>
                  <w:r>
                    <w:rPr>
                      <w:rFonts w:hint="default" w:ascii="Times New Roman" w:hAnsi="Times New Roman" w:eastAsia="仿宋" w:cs="Times New Roman"/>
                      <w:color w:val="auto"/>
                      <w:sz w:val="21"/>
                      <w:szCs w:val="21"/>
                      <w:highlight w:val="none"/>
                    </w:rPr>
                    <w:t>；单位工业增加值新鲜水耗近期≤4m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/万元、远期≤4m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/万元；单位工业增加值综合能耗近期、远期不低于现状值（0.132吨标</w:t>
                  </w:r>
                </w:p>
                <w:p w14:paraId="6751E7AE">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煤/万元）；工业用水重复利用率近期≥75%、远期≥85%；</w:t>
                  </w:r>
                </w:p>
                <w:p w14:paraId="1B20FC09">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2、开发区污水处理厂近期中水回用≥20%、远期中水回用≥30%；</w:t>
                  </w:r>
                </w:p>
                <w:p w14:paraId="27A6E124">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3、禁止新建、扩建燃用高污染燃料的项目和设施；</w:t>
                  </w:r>
                </w:p>
                <w:p w14:paraId="4F89E702">
                  <w:pPr>
                    <w:pStyle w:val="29"/>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4、引进项目的生产工艺、设备，以及单位产品水耗、能耗、污染物排放和资源利用效率等应达到清洁生产Ⅰ级水平。</w:t>
                  </w:r>
                </w:p>
              </w:tc>
              <w:tc>
                <w:tcPr>
                  <w:tcW w:w="1391" w:type="pct"/>
                  <w:tcBorders>
                    <w:tl2br w:val="nil"/>
                    <w:tr2bl w:val="nil"/>
                  </w:tcBorders>
                  <w:vAlign w:val="center"/>
                </w:tcPr>
                <w:p w14:paraId="2CA6659E">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利用现有已租厂房进行改造，不新增用地，不涉及占用农田。项目所有设备使用电能作为能源，不涉及使用高污染燃料；引进项目的生产工艺、设备，以及单位产品水耗、能耗、污染物排放和资源利用效率等应达到清洁生产Ⅰ级水平。</w:t>
                  </w:r>
                </w:p>
              </w:tc>
              <w:tc>
                <w:tcPr>
                  <w:tcW w:w="432" w:type="pct"/>
                  <w:tcBorders>
                    <w:tl2br w:val="nil"/>
                    <w:tr2bl w:val="nil"/>
                  </w:tcBorders>
                  <w:vAlign w:val="center"/>
                </w:tcPr>
                <w:p w14:paraId="36A4D7EC">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相符</w:t>
                  </w:r>
                </w:p>
              </w:tc>
            </w:tr>
          </w:tbl>
          <w:p w14:paraId="4D2C44B0">
            <w:pPr>
              <w:autoSpaceDE w:val="0"/>
              <w:autoSpaceDN w:val="0"/>
              <w:adjustRightInd w:val="0"/>
              <w:snapToGrid w:val="0"/>
              <w:spacing w:line="360" w:lineRule="auto"/>
              <w:ind w:firstLine="480" w:firstLineChars="200"/>
              <w:jc w:val="both"/>
              <w:rPr>
                <w:rFonts w:hint="default" w:ascii="Times New Roman" w:hAnsi="Times New Roman" w:eastAsia="宋体" w:cs="Times New Roman"/>
                <w:b/>
                <w:bCs/>
                <w:color w:val="auto"/>
                <w:sz w:val="24"/>
                <w:szCs w:val="24"/>
                <w:highlight w:val="none"/>
                <w:lang w:val="en-US" w:eastAsia="zh-CN"/>
              </w:rPr>
            </w:pPr>
            <w:r>
              <w:rPr>
                <w:color w:val="auto"/>
                <w:sz w:val="24"/>
                <w:szCs w:val="24"/>
                <w:highlight w:val="none"/>
              </w:rPr>
              <w:t>由</w:t>
            </w:r>
            <w:r>
              <w:rPr>
                <w:rFonts w:hint="eastAsia"/>
                <w:color w:val="auto"/>
                <w:sz w:val="24"/>
                <w:szCs w:val="24"/>
                <w:highlight w:val="none"/>
                <w:lang w:val="en-US" w:eastAsia="zh-CN"/>
              </w:rPr>
              <w:t>上表</w:t>
            </w:r>
            <w:r>
              <w:rPr>
                <w:color w:val="auto"/>
                <w:sz w:val="24"/>
                <w:szCs w:val="24"/>
                <w:highlight w:val="none"/>
              </w:rPr>
              <w:t>可知，</w:t>
            </w:r>
            <w:r>
              <w:rPr>
                <w:rFonts w:hint="eastAsia"/>
                <w:color w:val="auto"/>
                <w:sz w:val="24"/>
                <w:szCs w:val="24"/>
                <w:highlight w:val="none"/>
              </w:rPr>
              <w:t>本项目的建设符合《苏州相城经济技术开发区开发建设规划（2022-2035）环境影响报告书》及其审查意见的要求</w:t>
            </w:r>
            <w:r>
              <w:rPr>
                <w:color w:val="auto"/>
                <w:sz w:val="24"/>
                <w:szCs w:val="24"/>
                <w:highlight w:val="none"/>
              </w:rPr>
              <w:t>。</w:t>
            </w:r>
          </w:p>
        </w:tc>
      </w:tr>
      <w:tr w14:paraId="56814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12" w:type="dxa"/>
            <w:vAlign w:val="center"/>
          </w:tcPr>
          <w:p w14:paraId="0E0ADAC2">
            <w:pPr>
              <w:autoSpaceDE w:val="0"/>
              <w:autoSpaceDN w:val="0"/>
              <w:adjustRightInd w:val="0"/>
              <w:snapToGrid w:val="0"/>
              <w:jc w:val="center"/>
              <w:rPr>
                <w:color w:val="auto"/>
                <w:kern w:val="0"/>
                <w:szCs w:val="21"/>
                <w:highlight w:val="none"/>
              </w:rPr>
            </w:pPr>
            <w:r>
              <w:rPr>
                <w:color w:val="auto"/>
                <w:kern w:val="0"/>
                <w:sz w:val="24"/>
                <w:szCs w:val="24"/>
                <w:highlight w:val="none"/>
              </w:rPr>
              <w:t>其他符合性分析</w:t>
            </w:r>
          </w:p>
        </w:tc>
        <w:tc>
          <w:tcPr>
            <w:tcW w:w="9342" w:type="dxa"/>
            <w:gridSpan w:val="4"/>
            <w:vAlign w:val="center"/>
          </w:tcPr>
          <w:p w14:paraId="3622C55A">
            <w:pPr>
              <w:autoSpaceDE w:val="0"/>
              <w:autoSpaceDN w:val="0"/>
              <w:adjustRightInd w:val="0"/>
              <w:snapToGrid w:val="0"/>
              <w:spacing w:line="360" w:lineRule="auto"/>
              <w:jc w:val="left"/>
              <w:rPr>
                <w:b/>
                <w:bCs/>
                <w:color w:val="auto"/>
                <w:kern w:val="0"/>
                <w:sz w:val="24"/>
                <w:szCs w:val="24"/>
                <w:highlight w:val="none"/>
              </w:rPr>
            </w:pPr>
            <w:r>
              <w:rPr>
                <w:rFonts w:hint="eastAsia"/>
                <w:b/>
                <w:bCs/>
                <w:color w:val="auto"/>
                <w:kern w:val="0"/>
                <w:sz w:val="24"/>
                <w:szCs w:val="24"/>
                <w:highlight w:val="none"/>
                <w:lang w:val="en-US" w:eastAsia="zh-CN"/>
              </w:rPr>
              <w:t>5、</w:t>
            </w: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生态环境分区管控</w:t>
            </w:r>
            <w:r>
              <w:rPr>
                <w:rFonts w:hint="eastAsia" w:ascii="宋体" w:hAnsi="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相符</w:t>
            </w:r>
            <w:r>
              <w:rPr>
                <w:b/>
                <w:bCs/>
                <w:color w:val="auto"/>
                <w:kern w:val="0"/>
                <w:sz w:val="24"/>
                <w:szCs w:val="24"/>
                <w:highlight w:val="none"/>
              </w:rPr>
              <w:t>性分析</w:t>
            </w:r>
          </w:p>
          <w:p w14:paraId="2FA1E0D3">
            <w:pPr>
              <w:autoSpaceDE w:val="0"/>
              <w:autoSpaceDN w:val="0"/>
              <w:adjustRightInd w:val="0"/>
              <w:snapToGrid w:val="0"/>
              <w:spacing w:line="360" w:lineRule="auto"/>
              <w:jc w:val="left"/>
              <w:rPr>
                <w:b/>
                <w:color w:val="auto"/>
                <w:kern w:val="0"/>
                <w:sz w:val="24"/>
                <w:szCs w:val="24"/>
                <w:highlight w:val="none"/>
              </w:rPr>
            </w:pPr>
            <w:r>
              <w:rPr>
                <w:rFonts w:hint="eastAsia"/>
                <w:b/>
                <w:color w:val="auto"/>
                <w:kern w:val="0"/>
                <w:sz w:val="24"/>
                <w:szCs w:val="24"/>
                <w:highlight w:val="none"/>
                <w:lang w:val="en-US" w:eastAsia="zh-CN"/>
              </w:rPr>
              <w:t>5</w:t>
            </w:r>
            <w:r>
              <w:rPr>
                <w:rFonts w:hint="eastAsia"/>
                <w:b/>
                <w:color w:val="auto"/>
                <w:kern w:val="0"/>
                <w:sz w:val="24"/>
                <w:szCs w:val="24"/>
                <w:highlight w:val="none"/>
              </w:rPr>
              <w:t xml:space="preserve">.1 </w:t>
            </w:r>
            <w:r>
              <w:rPr>
                <w:b/>
                <w:color w:val="auto"/>
                <w:kern w:val="0"/>
                <w:sz w:val="24"/>
                <w:szCs w:val="24"/>
                <w:highlight w:val="none"/>
              </w:rPr>
              <w:t xml:space="preserve"> </w:t>
            </w:r>
            <w:r>
              <w:rPr>
                <w:rFonts w:hint="eastAsia" w:ascii="宋体" w:hAnsi="宋体" w:cs="宋体"/>
                <w:b/>
                <w:color w:val="auto"/>
                <w:kern w:val="0"/>
                <w:sz w:val="24"/>
                <w:szCs w:val="24"/>
                <w:highlight w:val="none"/>
                <w:lang w:eastAsia="zh-CN"/>
              </w:rPr>
              <w:t>“</w:t>
            </w:r>
            <w:r>
              <w:rPr>
                <w:rFonts w:hint="eastAsia" w:ascii="宋体" w:hAnsi="宋体" w:eastAsia="宋体" w:cs="宋体"/>
                <w:b/>
                <w:color w:val="auto"/>
                <w:kern w:val="0"/>
                <w:sz w:val="24"/>
                <w:szCs w:val="24"/>
                <w:highlight w:val="none"/>
              </w:rPr>
              <w:t>生态保护红线</w:t>
            </w:r>
            <w:r>
              <w:rPr>
                <w:rFonts w:hint="eastAsia" w:ascii="宋体" w:hAnsi="宋体" w:cs="宋体"/>
                <w:b/>
                <w:color w:val="auto"/>
                <w:kern w:val="0"/>
                <w:sz w:val="24"/>
                <w:szCs w:val="24"/>
                <w:highlight w:val="none"/>
                <w:lang w:eastAsia="zh-CN"/>
              </w:rPr>
              <w:t>”</w:t>
            </w:r>
            <w:r>
              <w:rPr>
                <w:rFonts w:hint="eastAsia" w:ascii="宋体" w:hAnsi="宋体" w:eastAsia="宋体" w:cs="宋体"/>
                <w:b/>
                <w:color w:val="auto"/>
                <w:kern w:val="0"/>
                <w:sz w:val="24"/>
                <w:szCs w:val="24"/>
                <w:highlight w:val="none"/>
                <w:lang w:val="en-US" w:eastAsia="zh-CN"/>
              </w:rPr>
              <w:t>相</w:t>
            </w:r>
            <w:r>
              <w:rPr>
                <w:rFonts w:hint="eastAsia"/>
                <w:b/>
                <w:color w:val="auto"/>
                <w:kern w:val="0"/>
                <w:sz w:val="24"/>
                <w:szCs w:val="24"/>
                <w:highlight w:val="none"/>
                <w:lang w:val="en-US" w:eastAsia="zh-CN"/>
              </w:rPr>
              <w:t>符</w:t>
            </w:r>
            <w:r>
              <w:rPr>
                <w:b/>
                <w:color w:val="auto"/>
                <w:kern w:val="0"/>
                <w:sz w:val="24"/>
                <w:szCs w:val="24"/>
                <w:highlight w:val="none"/>
              </w:rPr>
              <w:t>性分析</w:t>
            </w:r>
          </w:p>
          <w:p w14:paraId="4465513D">
            <w:pPr>
              <w:adjustRightInd w:val="0"/>
              <w:snapToGrid w:val="0"/>
              <w:spacing w:line="360" w:lineRule="auto"/>
              <w:ind w:firstLine="480" w:firstLineChars="200"/>
              <w:rPr>
                <w:bCs/>
                <w:color w:val="auto"/>
                <w:sz w:val="24"/>
                <w:szCs w:val="24"/>
                <w:highlight w:val="none"/>
              </w:rPr>
            </w:pPr>
            <w:r>
              <w:rPr>
                <w:bCs/>
                <w:color w:val="auto"/>
                <w:sz w:val="24"/>
                <w:szCs w:val="24"/>
                <w:highlight w:val="none"/>
              </w:rPr>
              <w:t>经查《江苏省国家级生态保护红线规划》（苏政发</w:t>
            </w:r>
            <w:r>
              <w:rPr>
                <w:rFonts w:hint="eastAsia"/>
                <w:bCs/>
                <w:color w:val="auto"/>
                <w:sz w:val="24"/>
                <w:szCs w:val="24"/>
                <w:highlight w:val="none"/>
                <w:lang w:eastAsia="zh-CN"/>
              </w:rPr>
              <w:t>〔2018〕74号</w:t>
            </w:r>
            <w:r>
              <w:rPr>
                <w:bCs/>
                <w:color w:val="auto"/>
                <w:sz w:val="24"/>
                <w:szCs w:val="24"/>
                <w:highlight w:val="none"/>
              </w:rPr>
              <w:t>），本项目距离较近的生态红线为苏州荷塘月色省级湿地公园，其类型和保护范围见</w:t>
            </w:r>
            <w:r>
              <w:rPr>
                <w:rFonts w:hint="eastAsia"/>
                <w:bCs/>
                <w:color w:val="auto"/>
                <w:sz w:val="24"/>
                <w:szCs w:val="24"/>
                <w:highlight w:val="none"/>
                <w:lang w:val="en-US" w:eastAsia="zh-CN"/>
              </w:rPr>
              <w:t>下表</w:t>
            </w:r>
            <w:r>
              <w:rPr>
                <w:bCs/>
                <w:color w:val="auto"/>
                <w:sz w:val="24"/>
                <w:szCs w:val="24"/>
                <w:highlight w:val="none"/>
              </w:rPr>
              <w:t>。</w:t>
            </w:r>
          </w:p>
          <w:p w14:paraId="368203CD">
            <w:pPr>
              <w:widowControl/>
              <w:numPr>
                <w:ilvl w:val="0"/>
                <w:numId w:val="3"/>
              </w:numPr>
              <w:ind w:left="210" w:leftChars="0" w:firstLine="0" w:firstLineChars="0"/>
              <w:jc w:val="center"/>
              <w:rPr>
                <w:b/>
                <w:color w:val="auto"/>
                <w:kern w:val="0"/>
                <w:sz w:val="24"/>
                <w:szCs w:val="24"/>
                <w:highlight w:val="none"/>
              </w:rPr>
            </w:pPr>
            <w:r>
              <w:rPr>
                <w:rFonts w:hint="eastAsia"/>
                <w:b/>
                <w:color w:val="auto"/>
                <w:kern w:val="0"/>
                <w:sz w:val="24"/>
                <w:szCs w:val="24"/>
                <w:highlight w:val="none"/>
              </w:rPr>
              <w:t>与</w:t>
            </w:r>
            <w:r>
              <w:rPr>
                <w:b/>
                <w:color w:val="auto"/>
                <w:kern w:val="0"/>
                <w:sz w:val="24"/>
                <w:szCs w:val="24"/>
                <w:highlight w:val="none"/>
              </w:rPr>
              <w:t>江苏省国家级生态红线</w:t>
            </w:r>
            <w:r>
              <w:rPr>
                <w:rFonts w:hint="eastAsia"/>
                <w:b/>
                <w:color w:val="auto"/>
                <w:kern w:val="0"/>
                <w:sz w:val="24"/>
                <w:szCs w:val="24"/>
                <w:highlight w:val="none"/>
              </w:rPr>
              <w:t>相对空间位置关系</w:t>
            </w:r>
          </w:p>
          <w:tbl>
            <w:tblPr>
              <w:tblStyle w:val="22"/>
              <w:tblW w:w="4996" w:type="pct"/>
              <w:tblInd w:w="-15"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1455"/>
              <w:gridCol w:w="1740"/>
              <w:gridCol w:w="2826"/>
              <w:gridCol w:w="1293"/>
              <w:gridCol w:w="958"/>
              <w:gridCol w:w="817"/>
            </w:tblGrid>
            <w:tr w14:paraId="5E03103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800" w:type="pct"/>
                  <w:tcBorders>
                    <w:tl2br w:val="nil"/>
                    <w:tr2bl w:val="nil"/>
                  </w:tcBorders>
                  <w:vAlign w:val="center"/>
                </w:tcPr>
                <w:p w14:paraId="166F6681">
                  <w:pPr>
                    <w:adjustRightInd w:val="0"/>
                    <w:snapToGrid w:val="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生态保护红线名称</w:t>
                  </w:r>
                </w:p>
              </w:tc>
              <w:tc>
                <w:tcPr>
                  <w:tcW w:w="957" w:type="pct"/>
                  <w:tcBorders>
                    <w:tl2br w:val="nil"/>
                    <w:tr2bl w:val="nil"/>
                  </w:tcBorders>
                  <w:vAlign w:val="center"/>
                </w:tcPr>
                <w:p w14:paraId="49E323AA">
                  <w:pPr>
                    <w:adjustRightInd w:val="0"/>
                    <w:snapToGrid w:val="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类型</w:t>
                  </w:r>
                </w:p>
              </w:tc>
              <w:tc>
                <w:tcPr>
                  <w:tcW w:w="1554" w:type="pct"/>
                  <w:tcBorders>
                    <w:tl2br w:val="nil"/>
                    <w:tr2bl w:val="nil"/>
                  </w:tcBorders>
                  <w:vAlign w:val="center"/>
                </w:tcPr>
                <w:p w14:paraId="6E0D5181">
                  <w:pPr>
                    <w:adjustRightInd w:val="0"/>
                    <w:snapToGrid w:val="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地理位置</w:t>
                  </w:r>
                </w:p>
              </w:tc>
              <w:tc>
                <w:tcPr>
                  <w:tcW w:w="711" w:type="pct"/>
                  <w:tcBorders>
                    <w:tl2br w:val="nil"/>
                    <w:tr2bl w:val="nil"/>
                  </w:tcBorders>
                  <w:vAlign w:val="center"/>
                </w:tcPr>
                <w:p w14:paraId="180FBA97">
                  <w:pPr>
                    <w:adjustRightInd w:val="0"/>
                    <w:snapToGrid w:val="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区域面积（km</w:t>
                  </w:r>
                  <w:r>
                    <w:rPr>
                      <w:rFonts w:hint="default" w:ascii="Times New Roman" w:hAnsi="Times New Roman" w:eastAsia="仿宋" w:cs="Times New Roman"/>
                      <w:b/>
                      <w:color w:val="auto"/>
                      <w:sz w:val="21"/>
                      <w:szCs w:val="21"/>
                      <w:highlight w:val="none"/>
                      <w:vertAlign w:val="superscript"/>
                    </w:rPr>
                    <w:t>2</w:t>
                  </w:r>
                  <w:r>
                    <w:rPr>
                      <w:rFonts w:hint="default" w:ascii="Times New Roman" w:hAnsi="Times New Roman" w:eastAsia="仿宋" w:cs="Times New Roman"/>
                      <w:b/>
                      <w:color w:val="auto"/>
                      <w:sz w:val="21"/>
                      <w:szCs w:val="21"/>
                      <w:highlight w:val="none"/>
                    </w:rPr>
                    <w:t>）</w:t>
                  </w:r>
                </w:p>
              </w:tc>
              <w:tc>
                <w:tcPr>
                  <w:tcW w:w="976" w:type="pct"/>
                  <w:gridSpan w:val="2"/>
                  <w:tcBorders>
                    <w:tl2br w:val="nil"/>
                    <w:tr2bl w:val="nil"/>
                  </w:tcBorders>
                  <w:vAlign w:val="center"/>
                </w:tcPr>
                <w:p w14:paraId="192E1DD4">
                  <w:pPr>
                    <w:adjustRightInd w:val="0"/>
                    <w:snapToGrid w:val="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相对方位及距离</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rPr>
                    <w:t>km</w:t>
                  </w:r>
                  <w:r>
                    <w:rPr>
                      <w:rFonts w:hint="default" w:ascii="Times New Roman" w:hAnsi="Times New Roman" w:eastAsia="仿宋" w:cs="Times New Roman"/>
                      <w:b/>
                      <w:color w:val="auto"/>
                      <w:sz w:val="21"/>
                      <w:szCs w:val="21"/>
                      <w:highlight w:val="none"/>
                      <w:lang w:eastAsia="zh-CN"/>
                    </w:rPr>
                    <w:t>）</w:t>
                  </w:r>
                </w:p>
              </w:tc>
            </w:tr>
            <w:tr w14:paraId="139D15D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800" w:type="pct"/>
                  <w:tcBorders>
                    <w:tl2br w:val="nil"/>
                    <w:tr2bl w:val="nil"/>
                  </w:tcBorders>
                  <w:vAlign w:val="center"/>
                </w:tcPr>
                <w:p w14:paraId="4224DC61">
                  <w:pPr>
                    <w:adjustRightInd w:val="0"/>
                    <w:snapToGrid w:val="0"/>
                    <w:jc w:val="center"/>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苏州荷塘月色省级湿地公园</w:t>
                  </w:r>
                </w:p>
              </w:tc>
              <w:tc>
                <w:tcPr>
                  <w:tcW w:w="957" w:type="pct"/>
                  <w:tcBorders>
                    <w:tl2br w:val="nil"/>
                    <w:tr2bl w:val="nil"/>
                  </w:tcBorders>
                  <w:vAlign w:val="center"/>
                </w:tcPr>
                <w:p w14:paraId="44A510E4">
                  <w:pPr>
                    <w:adjustRightInd w:val="0"/>
                    <w:snapToGrid w:val="0"/>
                    <w:jc w:val="center"/>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湿地公园的湿地保育区和恢复重建区</w:t>
                  </w:r>
                </w:p>
              </w:tc>
              <w:tc>
                <w:tcPr>
                  <w:tcW w:w="1554" w:type="pct"/>
                  <w:tcBorders>
                    <w:tl2br w:val="nil"/>
                    <w:tr2bl w:val="nil"/>
                  </w:tcBorders>
                  <w:vAlign w:val="center"/>
                </w:tcPr>
                <w:p w14:paraId="1AC3F106">
                  <w:pPr>
                    <w:adjustRightInd w:val="0"/>
                    <w:snapToGrid w:val="0"/>
                    <w:jc w:val="center"/>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苏州荷塘月色省级湿地公园总体规划中的湿地保育区和恢复重建区</w:t>
                  </w:r>
                </w:p>
              </w:tc>
              <w:tc>
                <w:tcPr>
                  <w:tcW w:w="711" w:type="pct"/>
                  <w:tcBorders>
                    <w:tl2br w:val="nil"/>
                    <w:tr2bl w:val="nil"/>
                  </w:tcBorders>
                  <w:vAlign w:val="center"/>
                </w:tcPr>
                <w:p w14:paraId="1D618C6A">
                  <w:pPr>
                    <w:adjustRightInd w:val="0"/>
                    <w:snapToGrid w:val="0"/>
                    <w:jc w:val="center"/>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3.53</w:t>
                  </w:r>
                </w:p>
              </w:tc>
              <w:tc>
                <w:tcPr>
                  <w:tcW w:w="527" w:type="pct"/>
                  <w:tcBorders>
                    <w:tl2br w:val="nil"/>
                    <w:tr2bl w:val="nil"/>
                  </w:tcBorders>
                  <w:vAlign w:val="center"/>
                </w:tcPr>
                <w:p w14:paraId="5A08D48A">
                  <w:pPr>
                    <w:adjustRightInd w:val="0"/>
                    <w:snapToGrid w:val="0"/>
                    <w:jc w:val="center"/>
                    <w:rPr>
                      <w:rFonts w:hint="eastAsia" w:ascii="Times New Roman" w:hAnsi="Times New Roman" w:eastAsia="仿宋" w:cs="Times New Roman"/>
                      <w:bCs/>
                      <w:color w:val="auto"/>
                      <w:sz w:val="21"/>
                      <w:szCs w:val="21"/>
                      <w:highlight w:val="none"/>
                      <w:lang w:eastAsia="zh-CN"/>
                    </w:rPr>
                  </w:pPr>
                  <w:r>
                    <w:rPr>
                      <w:rFonts w:hint="eastAsia" w:eastAsia="仿宋" w:cs="Times New Roman"/>
                      <w:bCs/>
                      <w:color w:val="auto"/>
                      <w:sz w:val="21"/>
                      <w:szCs w:val="21"/>
                      <w:highlight w:val="none"/>
                      <w:lang w:val="en-US" w:eastAsia="zh-CN"/>
                    </w:rPr>
                    <w:t>南</w:t>
                  </w:r>
                </w:p>
              </w:tc>
              <w:tc>
                <w:tcPr>
                  <w:tcW w:w="449" w:type="pct"/>
                  <w:tcBorders>
                    <w:tl2br w:val="nil"/>
                    <w:tr2bl w:val="nil"/>
                  </w:tcBorders>
                  <w:vAlign w:val="center"/>
                </w:tcPr>
                <w:p w14:paraId="1AF50FA4">
                  <w:pPr>
                    <w:adjustRightInd w:val="0"/>
                    <w:snapToGrid w:val="0"/>
                    <w:jc w:val="center"/>
                    <w:rPr>
                      <w:rFonts w:hint="default" w:ascii="Times New Roman" w:hAnsi="Times New Roman" w:eastAsia="仿宋" w:cs="Times New Roman"/>
                      <w:bCs/>
                      <w:color w:val="auto"/>
                      <w:sz w:val="21"/>
                      <w:szCs w:val="21"/>
                      <w:highlight w:val="none"/>
                      <w:lang w:val="en-US" w:eastAsia="zh-CN"/>
                    </w:rPr>
                  </w:pPr>
                  <w:r>
                    <w:rPr>
                      <w:rFonts w:hint="eastAsia" w:eastAsia="仿宋" w:cs="Times New Roman"/>
                      <w:bCs/>
                      <w:color w:val="auto"/>
                      <w:sz w:val="21"/>
                      <w:szCs w:val="21"/>
                      <w:highlight w:val="none"/>
                      <w:lang w:val="en-US" w:eastAsia="zh-CN"/>
                    </w:rPr>
                    <w:t>5.40</w:t>
                  </w:r>
                </w:p>
              </w:tc>
            </w:tr>
          </w:tbl>
          <w:p w14:paraId="6B68EABC">
            <w:pPr>
              <w:adjustRightInd w:val="0"/>
              <w:snapToGrid w:val="0"/>
              <w:spacing w:line="360" w:lineRule="auto"/>
              <w:ind w:firstLine="480" w:firstLineChars="200"/>
              <w:rPr>
                <w:color w:val="auto"/>
                <w:sz w:val="24"/>
                <w:szCs w:val="24"/>
                <w:highlight w:val="none"/>
              </w:rPr>
            </w:pPr>
            <w:r>
              <w:rPr>
                <w:bCs/>
                <w:color w:val="auto"/>
                <w:sz w:val="24"/>
                <w:szCs w:val="24"/>
                <w:highlight w:val="none"/>
              </w:rPr>
              <w:t>根据《江苏省生态空间管控区域规划》（苏政发</w:t>
            </w:r>
            <w:r>
              <w:rPr>
                <w:rFonts w:hint="eastAsia"/>
                <w:bCs/>
                <w:color w:val="auto"/>
                <w:sz w:val="24"/>
                <w:szCs w:val="24"/>
                <w:highlight w:val="none"/>
                <w:lang w:val="en-US" w:eastAsia="zh-CN"/>
              </w:rPr>
              <w:t>〔2020〕</w:t>
            </w:r>
            <w:r>
              <w:rPr>
                <w:bCs/>
                <w:color w:val="auto"/>
                <w:sz w:val="24"/>
                <w:szCs w:val="24"/>
                <w:highlight w:val="none"/>
              </w:rPr>
              <w:t>1号）</w:t>
            </w:r>
            <w:r>
              <w:rPr>
                <w:rFonts w:hint="eastAsia"/>
                <w:bCs/>
                <w:color w:val="auto"/>
                <w:sz w:val="24"/>
                <w:szCs w:val="24"/>
                <w:highlight w:val="none"/>
                <w:lang w:val="en-US" w:eastAsia="zh-CN"/>
              </w:rPr>
              <w:t>及《江苏省自然资源厅关于苏州市生态空间管控区域评估优化成果的复函》（苏自然资函〔2026〕487号）</w:t>
            </w:r>
            <w:r>
              <w:rPr>
                <w:bCs/>
                <w:color w:val="auto"/>
                <w:sz w:val="24"/>
                <w:szCs w:val="24"/>
                <w:highlight w:val="none"/>
              </w:rPr>
              <w:t>，</w:t>
            </w:r>
            <w:r>
              <w:rPr>
                <w:color w:val="auto"/>
                <w:sz w:val="24"/>
                <w:szCs w:val="24"/>
                <w:highlight w:val="none"/>
              </w:rPr>
              <w:t>本项目</w:t>
            </w:r>
            <w:r>
              <w:rPr>
                <w:rFonts w:hint="eastAsia"/>
                <w:color w:val="auto"/>
                <w:sz w:val="24"/>
                <w:szCs w:val="24"/>
                <w:highlight w:val="none"/>
              </w:rPr>
              <w:t>距离较近的生态空间管控区为</w:t>
            </w:r>
            <w:r>
              <w:rPr>
                <w:rFonts w:hint="eastAsia"/>
                <w:color w:val="auto"/>
                <w:sz w:val="24"/>
                <w:szCs w:val="24"/>
                <w:highlight w:val="none"/>
                <w:lang w:val="en-US" w:eastAsia="zh-CN"/>
              </w:rPr>
              <w:t>漕湖重要湿地</w:t>
            </w:r>
            <w:r>
              <w:rPr>
                <w:rFonts w:hint="eastAsia"/>
                <w:color w:val="auto"/>
                <w:sz w:val="24"/>
                <w:szCs w:val="24"/>
                <w:highlight w:val="none"/>
              </w:rPr>
              <w:t>，其主导生态功能和保护范围分别见下表。</w:t>
            </w:r>
          </w:p>
          <w:p w14:paraId="62F6D4B9">
            <w:pPr>
              <w:widowControl/>
              <w:numPr>
                <w:ilvl w:val="0"/>
                <w:numId w:val="3"/>
              </w:numPr>
              <w:ind w:left="210" w:leftChars="0" w:firstLine="0" w:firstLineChars="0"/>
              <w:jc w:val="center"/>
              <w:rPr>
                <w:rFonts w:hint="eastAsia"/>
                <w:b/>
                <w:color w:val="auto"/>
                <w:kern w:val="0"/>
                <w:sz w:val="24"/>
                <w:szCs w:val="24"/>
                <w:highlight w:val="none"/>
              </w:rPr>
            </w:pPr>
            <w:r>
              <w:rPr>
                <w:rFonts w:hint="eastAsia"/>
                <w:b/>
                <w:color w:val="auto"/>
                <w:kern w:val="0"/>
                <w:sz w:val="24"/>
                <w:szCs w:val="24"/>
                <w:highlight w:val="none"/>
              </w:rPr>
              <w:t>与生态空间管控区域相对空间位置关系</w:t>
            </w:r>
          </w:p>
          <w:tbl>
            <w:tblPr>
              <w:tblStyle w:val="22"/>
              <w:tblW w:w="4996"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1111"/>
              <w:gridCol w:w="853"/>
              <w:gridCol w:w="1210"/>
              <w:gridCol w:w="1482"/>
              <w:gridCol w:w="1286"/>
              <w:gridCol w:w="1091"/>
              <w:gridCol w:w="688"/>
              <w:gridCol w:w="818"/>
              <w:gridCol w:w="550"/>
            </w:tblGrid>
            <w:tr w14:paraId="12BA4CE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11" w:type="pct"/>
                  <w:vMerge w:val="restart"/>
                  <w:tcBorders>
                    <w:tl2br w:val="nil"/>
                    <w:tr2bl w:val="nil"/>
                  </w:tcBorders>
                  <w:vAlign w:val="center"/>
                </w:tcPr>
                <w:p w14:paraId="089A2FAC">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生态空间保护区域名称</w:t>
                  </w:r>
                </w:p>
              </w:tc>
              <w:tc>
                <w:tcPr>
                  <w:tcW w:w="469" w:type="pct"/>
                  <w:vMerge w:val="restart"/>
                  <w:tcBorders>
                    <w:tl2br w:val="nil"/>
                    <w:tr2bl w:val="nil"/>
                  </w:tcBorders>
                  <w:vAlign w:val="center"/>
                </w:tcPr>
                <w:p w14:paraId="2D132AD2">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主导生态功能</w:t>
                  </w:r>
                </w:p>
              </w:tc>
              <w:tc>
                <w:tcPr>
                  <w:tcW w:w="665" w:type="pct"/>
                  <w:vMerge w:val="restart"/>
                  <w:tcBorders>
                    <w:tl2br w:val="nil"/>
                    <w:tr2bl w:val="nil"/>
                  </w:tcBorders>
                  <w:vAlign w:val="center"/>
                </w:tcPr>
                <w:p w14:paraId="7D5784D7">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国家级生态保护红线范围</w:t>
                  </w:r>
                </w:p>
              </w:tc>
              <w:tc>
                <w:tcPr>
                  <w:tcW w:w="815" w:type="pct"/>
                  <w:vMerge w:val="restart"/>
                  <w:tcBorders>
                    <w:tl2br w:val="nil"/>
                    <w:tr2bl w:val="nil"/>
                  </w:tcBorders>
                  <w:vAlign w:val="center"/>
                </w:tcPr>
                <w:p w14:paraId="3455533A">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生态空间管控区域范围</w:t>
                  </w:r>
                </w:p>
              </w:tc>
              <w:tc>
                <w:tcPr>
                  <w:tcW w:w="1685" w:type="pct"/>
                  <w:gridSpan w:val="3"/>
                  <w:tcBorders>
                    <w:tl2br w:val="nil"/>
                    <w:tr2bl w:val="nil"/>
                  </w:tcBorders>
                  <w:vAlign w:val="center"/>
                </w:tcPr>
                <w:p w14:paraId="3F2C9E3E">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面积（km</w:t>
                  </w:r>
                  <w:r>
                    <w:rPr>
                      <w:rFonts w:hint="default" w:ascii="Times New Roman" w:hAnsi="Times New Roman" w:eastAsia="仿宋" w:cs="Times New Roman"/>
                      <w:b/>
                      <w:color w:val="auto"/>
                      <w:sz w:val="21"/>
                      <w:szCs w:val="21"/>
                      <w:highlight w:val="none"/>
                      <w:vertAlign w:val="superscript"/>
                    </w:rPr>
                    <w:t>2</w:t>
                  </w:r>
                  <w:r>
                    <w:rPr>
                      <w:rFonts w:hint="default" w:ascii="Times New Roman" w:hAnsi="Times New Roman" w:eastAsia="仿宋" w:cs="Times New Roman"/>
                      <w:b/>
                      <w:color w:val="auto"/>
                      <w:sz w:val="21"/>
                      <w:szCs w:val="21"/>
                      <w:highlight w:val="none"/>
                    </w:rPr>
                    <w:t>）</w:t>
                  </w:r>
                </w:p>
              </w:tc>
              <w:tc>
                <w:tcPr>
                  <w:tcW w:w="450" w:type="pct"/>
                  <w:vMerge w:val="restart"/>
                  <w:tcBorders>
                    <w:tl2br w:val="nil"/>
                    <w:tr2bl w:val="nil"/>
                  </w:tcBorders>
                  <w:vAlign w:val="center"/>
                </w:tcPr>
                <w:p w14:paraId="52EE9296">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lang w:val="en-US" w:eastAsia="zh-CN"/>
                    </w:rPr>
                    <w:t>相对</w:t>
                  </w:r>
                  <w:r>
                    <w:rPr>
                      <w:rFonts w:hint="default" w:ascii="Times New Roman" w:hAnsi="Times New Roman" w:eastAsia="仿宋" w:cs="Times New Roman"/>
                      <w:b/>
                      <w:color w:val="auto"/>
                      <w:sz w:val="21"/>
                      <w:szCs w:val="21"/>
                      <w:highlight w:val="none"/>
                    </w:rPr>
                    <w:t>距离</w:t>
                  </w:r>
                </w:p>
                <w:p w14:paraId="2EEE8147">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（km）</w:t>
                  </w:r>
                </w:p>
              </w:tc>
              <w:tc>
                <w:tcPr>
                  <w:tcW w:w="302" w:type="pct"/>
                  <w:vMerge w:val="restart"/>
                  <w:tcBorders>
                    <w:tl2br w:val="nil"/>
                    <w:tr2bl w:val="nil"/>
                  </w:tcBorders>
                  <w:vAlign w:val="center"/>
                </w:tcPr>
                <w:p w14:paraId="7CAB7757">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相对方位</w:t>
                  </w:r>
                </w:p>
              </w:tc>
            </w:tr>
            <w:tr w14:paraId="667CAF6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11" w:type="pct"/>
                  <w:vMerge w:val="continue"/>
                  <w:tcBorders>
                    <w:tl2br w:val="nil"/>
                    <w:tr2bl w:val="nil"/>
                  </w:tcBorders>
                  <w:vAlign w:val="center"/>
                </w:tcPr>
                <w:p w14:paraId="35C87848">
                  <w:pPr>
                    <w:pStyle w:val="29"/>
                    <w:rPr>
                      <w:rFonts w:hint="default" w:ascii="Times New Roman" w:hAnsi="Times New Roman" w:eastAsia="仿宋" w:cs="Times New Roman"/>
                      <w:b/>
                      <w:color w:val="auto"/>
                      <w:sz w:val="21"/>
                      <w:szCs w:val="21"/>
                      <w:highlight w:val="none"/>
                    </w:rPr>
                  </w:pPr>
                </w:p>
              </w:tc>
              <w:tc>
                <w:tcPr>
                  <w:tcW w:w="469" w:type="pct"/>
                  <w:vMerge w:val="continue"/>
                  <w:tcBorders>
                    <w:tl2br w:val="nil"/>
                    <w:tr2bl w:val="nil"/>
                  </w:tcBorders>
                  <w:vAlign w:val="center"/>
                </w:tcPr>
                <w:p w14:paraId="0154CCA3">
                  <w:pPr>
                    <w:pStyle w:val="29"/>
                    <w:rPr>
                      <w:rFonts w:hint="default" w:ascii="Times New Roman" w:hAnsi="Times New Roman" w:eastAsia="仿宋" w:cs="Times New Roman"/>
                      <w:b/>
                      <w:color w:val="auto"/>
                      <w:sz w:val="21"/>
                      <w:szCs w:val="21"/>
                      <w:highlight w:val="none"/>
                    </w:rPr>
                  </w:pPr>
                </w:p>
              </w:tc>
              <w:tc>
                <w:tcPr>
                  <w:tcW w:w="665" w:type="pct"/>
                  <w:vMerge w:val="continue"/>
                  <w:tcBorders>
                    <w:tl2br w:val="nil"/>
                    <w:tr2bl w:val="nil"/>
                  </w:tcBorders>
                  <w:vAlign w:val="center"/>
                </w:tcPr>
                <w:p w14:paraId="7745F423">
                  <w:pPr>
                    <w:pStyle w:val="29"/>
                    <w:rPr>
                      <w:rFonts w:hint="default" w:ascii="Times New Roman" w:hAnsi="Times New Roman" w:eastAsia="仿宋" w:cs="Times New Roman"/>
                      <w:b/>
                      <w:color w:val="auto"/>
                      <w:sz w:val="21"/>
                      <w:szCs w:val="21"/>
                      <w:highlight w:val="none"/>
                    </w:rPr>
                  </w:pPr>
                </w:p>
              </w:tc>
              <w:tc>
                <w:tcPr>
                  <w:tcW w:w="815" w:type="pct"/>
                  <w:vMerge w:val="continue"/>
                  <w:tcBorders>
                    <w:tl2br w:val="nil"/>
                    <w:tr2bl w:val="nil"/>
                  </w:tcBorders>
                  <w:vAlign w:val="center"/>
                </w:tcPr>
                <w:p w14:paraId="760DD513">
                  <w:pPr>
                    <w:pStyle w:val="29"/>
                    <w:rPr>
                      <w:rFonts w:hint="default" w:ascii="Times New Roman" w:hAnsi="Times New Roman" w:eastAsia="仿宋" w:cs="Times New Roman"/>
                      <w:b/>
                      <w:color w:val="auto"/>
                      <w:sz w:val="21"/>
                      <w:szCs w:val="21"/>
                      <w:highlight w:val="none"/>
                    </w:rPr>
                  </w:pPr>
                </w:p>
              </w:tc>
              <w:tc>
                <w:tcPr>
                  <w:tcW w:w="707" w:type="pct"/>
                  <w:tcBorders>
                    <w:tl2br w:val="nil"/>
                    <w:tr2bl w:val="nil"/>
                  </w:tcBorders>
                  <w:vAlign w:val="center"/>
                </w:tcPr>
                <w:p w14:paraId="3CDB6E91">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国家级生态保护红线面积</w:t>
                  </w:r>
                </w:p>
              </w:tc>
              <w:tc>
                <w:tcPr>
                  <w:tcW w:w="600" w:type="pct"/>
                  <w:tcBorders>
                    <w:tl2br w:val="nil"/>
                    <w:tr2bl w:val="nil"/>
                  </w:tcBorders>
                  <w:vAlign w:val="center"/>
                </w:tcPr>
                <w:p w14:paraId="6B4CC1B1">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生态空间管控区域面积</w:t>
                  </w:r>
                </w:p>
              </w:tc>
              <w:tc>
                <w:tcPr>
                  <w:tcW w:w="378" w:type="pct"/>
                  <w:tcBorders>
                    <w:tl2br w:val="nil"/>
                    <w:tr2bl w:val="nil"/>
                  </w:tcBorders>
                  <w:vAlign w:val="center"/>
                </w:tcPr>
                <w:p w14:paraId="5B3E6458">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总面积</w:t>
                  </w:r>
                </w:p>
              </w:tc>
              <w:tc>
                <w:tcPr>
                  <w:tcW w:w="450" w:type="pct"/>
                  <w:vMerge w:val="continue"/>
                  <w:tcBorders>
                    <w:tl2br w:val="nil"/>
                    <w:tr2bl w:val="nil"/>
                  </w:tcBorders>
                  <w:vAlign w:val="center"/>
                </w:tcPr>
                <w:p w14:paraId="6873406C">
                  <w:pPr>
                    <w:pStyle w:val="29"/>
                    <w:rPr>
                      <w:rFonts w:hint="default" w:ascii="Times New Roman" w:hAnsi="Times New Roman" w:eastAsia="仿宋" w:cs="Times New Roman"/>
                      <w:color w:val="auto"/>
                      <w:sz w:val="21"/>
                      <w:szCs w:val="21"/>
                      <w:highlight w:val="none"/>
                    </w:rPr>
                  </w:pPr>
                </w:p>
              </w:tc>
              <w:tc>
                <w:tcPr>
                  <w:tcW w:w="302" w:type="pct"/>
                  <w:vMerge w:val="continue"/>
                  <w:tcBorders>
                    <w:tl2br w:val="nil"/>
                    <w:tr2bl w:val="nil"/>
                  </w:tcBorders>
                  <w:vAlign w:val="center"/>
                </w:tcPr>
                <w:p w14:paraId="2AE7D425">
                  <w:pPr>
                    <w:pStyle w:val="29"/>
                    <w:rPr>
                      <w:rFonts w:hint="default" w:ascii="Times New Roman" w:hAnsi="Times New Roman" w:eastAsia="仿宋" w:cs="Times New Roman"/>
                      <w:color w:val="auto"/>
                      <w:sz w:val="21"/>
                      <w:szCs w:val="21"/>
                      <w:highlight w:val="none"/>
                    </w:rPr>
                  </w:pPr>
                </w:p>
              </w:tc>
            </w:tr>
            <w:tr w14:paraId="356AB8F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11" w:type="pct"/>
                  <w:tcBorders>
                    <w:tl2br w:val="nil"/>
                    <w:tr2bl w:val="nil"/>
                  </w:tcBorders>
                  <w:vAlign w:val="center"/>
                </w:tcPr>
                <w:p w14:paraId="5EBFD084">
                  <w:pPr>
                    <w:pStyle w:val="29"/>
                    <w:rPr>
                      <w:rFonts w:hint="default" w:ascii="Times New Roman" w:hAnsi="Times New Roman" w:eastAsia="仿宋" w:cs="Times New Roman"/>
                      <w:color w:val="auto"/>
                      <w:kern w:val="21"/>
                      <w:sz w:val="21"/>
                      <w:szCs w:val="21"/>
                      <w:highlight w:val="none"/>
                    </w:rPr>
                  </w:pPr>
                  <w:r>
                    <w:rPr>
                      <w:rFonts w:hint="default" w:ascii="Times New Roman" w:hAnsi="Times New Roman" w:eastAsia="仿宋" w:cs="Times New Roman"/>
                      <w:color w:val="auto"/>
                      <w:kern w:val="21"/>
                      <w:sz w:val="21"/>
                      <w:szCs w:val="21"/>
                      <w:highlight w:val="none"/>
                    </w:rPr>
                    <w:t>西塘河（相城区）清水通道维护区</w:t>
                  </w:r>
                </w:p>
              </w:tc>
              <w:tc>
                <w:tcPr>
                  <w:tcW w:w="469" w:type="pct"/>
                  <w:tcBorders>
                    <w:tl2br w:val="nil"/>
                    <w:tr2bl w:val="nil"/>
                  </w:tcBorders>
                  <w:vAlign w:val="center"/>
                </w:tcPr>
                <w:p w14:paraId="288D2DB1">
                  <w:pPr>
                    <w:pStyle w:val="29"/>
                    <w:rPr>
                      <w:rFonts w:hint="default" w:ascii="Times New Roman" w:hAnsi="Times New Roman" w:eastAsia="仿宋" w:cs="Times New Roman"/>
                      <w:color w:val="auto"/>
                      <w:kern w:val="21"/>
                      <w:sz w:val="21"/>
                      <w:szCs w:val="21"/>
                      <w:highlight w:val="none"/>
                    </w:rPr>
                  </w:pPr>
                  <w:r>
                    <w:rPr>
                      <w:rFonts w:hint="default" w:ascii="Times New Roman" w:hAnsi="Times New Roman" w:eastAsia="仿宋" w:cs="Times New Roman"/>
                      <w:color w:val="auto"/>
                      <w:sz w:val="21"/>
                      <w:szCs w:val="21"/>
                      <w:highlight w:val="none"/>
                    </w:rPr>
                    <w:t>水源水质保护</w:t>
                  </w:r>
                </w:p>
              </w:tc>
              <w:tc>
                <w:tcPr>
                  <w:tcW w:w="665" w:type="pct"/>
                  <w:tcBorders>
                    <w:tl2br w:val="nil"/>
                    <w:tr2bl w:val="nil"/>
                  </w:tcBorders>
                  <w:vAlign w:val="center"/>
                </w:tcPr>
                <w:p w14:paraId="318A1D5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c>
                <w:tcPr>
                  <w:tcW w:w="815" w:type="pct"/>
                  <w:tcBorders>
                    <w:tl2br w:val="nil"/>
                    <w:tr2bl w:val="nil"/>
                  </w:tcBorders>
                  <w:vAlign w:val="center"/>
                </w:tcPr>
                <w:p w14:paraId="7BA0BCC2">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西塘河水体及沿岸50米范围</w:t>
                  </w:r>
                </w:p>
              </w:tc>
              <w:tc>
                <w:tcPr>
                  <w:tcW w:w="707" w:type="pct"/>
                  <w:tcBorders>
                    <w:tl2br w:val="nil"/>
                    <w:tr2bl w:val="nil"/>
                  </w:tcBorders>
                  <w:vAlign w:val="center"/>
                </w:tcPr>
                <w:p w14:paraId="626F398F">
                  <w:pPr>
                    <w:pStyle w:val="29"/>
                    <w:rPr>
                      <w:rFonts w:hint="default" w:ascii="Times New Roman" w:hAnsi="Times New Roman" w:eastAsia="仿宋" w:cs="Times New Roman"/>
                      <w:color w:val="auto"/>
                      <w:kern w:val="21"/>
                      <w:sz w:val="21"/>
                      <w:szCs w:val="21"/>
                      <w:highlight w:val="none"/>
                    </w:rPr>
                  </w:pPr>
                  <w:r>
                    <w:rPr>
                      <w:rFonts w:hint="default" w:ascii="Times New Roman" w:hAnsi="Times New Roman" w:eastAsia="仿宋" w:cs="Times New Roman"/>
                      <w:color w:val="auto"/>
                      <w:kern w:val="21"/>
                      <w:sz w:val="21"/>
                      <w:szCs w:val="21"/>
                      <w:highlight w:val="none"/>
                    </w:rPr>
                    <w:t>--</w:t>
                  </w:r>
                </w:p>
              </w:tc>
              <w:tc>
                <w:tcPr>
                  <w:tcW w:w="600" w:type="pct"/>
                  <w:tcBorders>
                    <w:tl2br w:val="nil"/>
                    <w:tr2bl w:val="nil"/>
                  </w:tcBorders>
                  <w:vAlign w:val="center"/>
                </w:tcPr>
                <w:p w14:paraId="01D17DF3">
                  <w:pPr>
                    <w:pStyle w:val="29"/>
                    <w:rPr>
                      <w:rFonts w:hint="default" w:ascii="Times New Roman" w:hAnsi="Times New Roman" w:eastAsia="仿宋" w:cs="Times New Roman"/>
                      <w:color w:val="auto"/>
                      <w:kern w:val="21"/>
                      <w:sz w:val="21"/>
                      <w:szCs w:val="21"/>
                      <w:highlight w:val="none"/>
                    </w:rPr>
                  </w:pPr>
                  <w:r>
                    <w:rPr>
                      <w:rFonts w:hint="default" w:ascii="Times New Roman" w:hAnsi="Times New Roman" w:eastAsia="仿宋" w:cs="Times New Roman"/>
                      <w:color w:val="auto"/>
                      <w:kern w:val="21"/>
                      <w:sz w:val="21"/>
                      <w:szCs w:val="21"/>
                      <w:highlight w:val="none"/>
                    </w:rPr>
                    <w:t>1.09</w:t>
                  </w:r>
                </w:p>
              </w:tc>
              <w:tc>
                <w:tcPr>
                  <w:tcW w:w="378" w:type="pct"/>
                  <w:tcBorders>
                    <w:tl2br w:val="nil"/>
                    <w:tr2bl w:val="nil"/>
                  </w:tcBorders>
                  <w:vAlign w:val="center"/>
                </w:tcPr>
                <w:p w14:paraId="1A1CA0C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1.09</w:t>
                  </w:r>
                </w:p>
              </w:tc>
              <w:tc>
                <w:tcPr>
                  <w:tcW w:w="450" w:type="pct"/>
                  <w:tcBorders>
                    <w:tl2br w:val="nil"/>
                    <w:tr2bl w:val="nil"/>
                  </w:tcBorders>
                  <w:vAlign w:val="center"/>
                </w:tcPr>
                <w:p w14:paraId="2D23B0AB">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5.08</w:t>
                  </w:r>
                </w:p>
              </w:tc>
              <w:tc>
                <w:tcPr>
                  <w:tcW w:w="302" w:type="pct"/>
                  <w:tcBorders>
                    <w:tl2br w:val="nil"/>
                    <w:tr2bl w:val="nil"/>
                  </w:tcBorders>
                  <w:vAlign w:val="center"/>
                </w:tcPr>
                <w:p w14:paraId="7D090E11">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西</w:t>
                  </w:r>
                </w:p>
              </w:tc>
            </w:tr>
            <w:tr w14:paraId="1D86C2D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11" w:type="pct"/>
                  <w:tcBorders>
                    <w:tl2br w:val="nil"/>
                    <w:tr2bl w:val="nil"/>
                  </w:tcBorders>
                  <w:vAlign w:val="center"/>
                </w:tcPr>
                <w:p w14:paraId="12B70B50">
                  <w:pPr>
                    <w:pStyle w:val="29"/>
                    <w:rPr>
                      <w:rFonts w:hint="default" w:ascii="Times New Roman" w:hAnsi="Times New Roman" w:eastAsia="仿宋" w:cs="Times New Roman"/>
                      <w:color w:val="auto"/>
                      <w:kern w:val="21"/>
                      <w:sz w:val="21"/>
                      <w:szCs w:val="21"/>
                      <w:highlight w:val="none"/>
                    </w:rPr>
                  </w:pPr>
                  <w:r>
                    <w:rPr>
                      <w:rFonts w:hint="default" w:ascii="Times New Roman" w:hAnsi="Times New Roman" w:eastAsia="仿宋" w:cs="Times New Roman"/>
                      <w:color w:val="auto"/>
                      <w:kern w:val="21"/>
                      <w:sz w:val="21"/>
                      <w:szCs w:val="21"/>
                      <w:highlight w:val="none"/>
                    </w:rPr>
                    <w:t>望虞河（相城区）清水通道维护区</w:t>
                  </w:r>
                </w:p>
              </w:tc>
              <w:tc>
                <w:tcPr>
                  <w:tcW w:w="469" w:type="pct"/>
                  <w:tcBorders>
                    <w:tl2br w:val="nil"/>
                    <w:tr2bl w:val="nil"/>
                  </w:tcBorders>
                  <w:vAlign w:val="center"/>
                </w:tcPr>
                <w:p w14:paraId="370EDEA9">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水源水质保护</w:t>
                  </w:r>
                </w:p>
              </w:tc>
              <w:tc>
                <w:tcPr>
                  <w:tcW w:w="665" w:type="pct"/>
                  <w:tcBorders>
                    <w:tl2br w:val="nil"/>
                    <w:tr2bl w:val="nil"/>
                  </w:tcBorders>
                  <w:vAlign w:val="center"/>
                </w:tcPr>
                <w:p w14:paraId="7EE525E6">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c>
                <w:tcPr>
                  <w:tcW w:w="815" w:type="pct"/>
                  <w:tcBorders>
                    <w:tl2br w:val="nil"/>
                    <w:tr2bl w:val="nil"/>
                  </w:tcBorders>
                  <w:vAlign w:val="center"/>
                </w:tcPr>
                <w:p w14:paraId="0D05E1A9">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望虞河及其两岸100米范围</w:t>
                  </w:r>
                </w:p>
              </w:tc>
              <w:tc>
                <w:tcPr>
                  <w:tcW w:w="707" w:type="pct"/>
                  <w:tcBorders>
                    <w:tl2br w:val="nil"/>
                    <w:tr2bl w:val="nil"/>
                  </w:tcBorders>
                  <w:vAlign w:val="center"/>
                </w:tcPr>
                <w:p w14:paraId="0EFDE931">
                  <w:pPr>
                    <w:pStyle w:val="29"/>
                    <w:rPr>
                      <w:rFonts w:hint="default" w:ascii="Times New Roman" w:hAnsi="Times New Roman" w:eastAsia="仿宋" w:cs="Times New Roman"/>
                      <w:color w:val="auto"/>
                      <w:kern w:val="21"/>
                      <w:sz w:val="21"/>
                      <w:szCs w:val="21"/>
                      <w:highlight w:val="none"/>
                    </w:rPr>
                  </w:pPr>
                  <w:r>
                    <w:rPr>
                      <w:rFonts w:hint="default" w:ascii="Times New Roman" w:hAnsi="Times New Roman" w:eastAsia="仿宋" w:cs="Times New Roman"/>
                      <w:color w:val="auto"/>
                      <w:kern w:val="21"/>
                      <w:sz w:val="21"/>
                      <w:szCs w:val="21"/>
                      <w:highlight w:val="none"/>
                    </w:rPr>
                    <w:t>--</w:t>
                  </w:r>
                </w:p>
              </w:tc>
              <w:tc>
                <w:tcPr>
                  <w:tcW w:w="600" w:type="pct"/>
                  <w:tcBorders>
                    <w:tl2br w:val="nil"/>
                    <w:tr2bl w:val="nil"/>
                  </w:tcBorders>
                  <w:vAlign w:val="center"/>
                </w:tcPr>
                <w:p w14:paraId="04C84BDA">
                  <w:pPr>
                    <w:pStyle w:val="29"/>
                    <w:rPr>
                      <w:rFonts w:hint="default" w:ascii="Times New Roman" w:hAnsi="Times New Roman" w:eastAsia="仿宋" w:cs="Times New Roman"/>
                      <w:color w:val="auto"/>
                      <w:kern w:val="21"/>
                      <w:sz w:val="21"/>
                      <w:szCs w:val="21"/>
                      <w:highlight w:val="none"/>
                      <w:lang w:val="en-US" w:eastAsia="zh-CN"/>
                    </w:rPr>
                  </w:pPr>
                  <w:r>
                    <w:rPr>
                      <w:rFonts w:hint="default" w:ascii="Times New Roman" w:hAnsi="Times New Roman" w:eastAsia="仿宋" w:cs="Times New Roman"/>
                      <w:color w:val="auto"/>
                      <w:kern w:val="21"/>
                      <w:sz w:val="21"/>
                      <w:szCs w:val="21"/>
                      <w:highlight w:val="none"/>
                      <w:lang w:val="en-US" w:eastAsia="zh-CN"/>
                    </w:rPr>
                    <w:t>2.81</w:t>
                  </w:r>
                </w:p>
              </w:tc>
              <w:tc>
                <w:tcPr>
                  <w:tcW w:w="378" w:type="pct"/>
                  <w:tcBorders>
                    <w:tl2br w:val="nil"/>
                    <w:tr2bl w:val="nil"/>
                  </w:tcBorders>
                  <w:vAlign w:val="center"/>
                </w:tcPr>
                <w:p w14:paraId="3BEE162B">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2.81</w:t>
                  </w:r>
                </w:p>
              </w:tc>
              <w:tc>
                <w:tcPr>
                  <w:tcW w:w="450" w:type="pct"/>
                  <w:tcBorders>
                    <w:tl2br w:val="nil"/>
                    <w:tr2bl w:val="nil"/>
                  </w:tcBorders>
                  <w:vAlign w:val="center"/>
                </w:tcPr>
                <w:p w14:paraId="7F9B0F59">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4.25</w:t>
                  </w:r>
                </w:p>
              </w:tc>
              <w:tc>
                <w:tcPr>
                  <w:tcW w:w="302" w:type="pct"/>
                  <w:tcBorders>
                    <w:tl2br w:val="nil"/>
                    <w:tr2bl w:val="nil"/>
                  </w:tcBorders>
                  <w:vAlign w:val="center"/>
                </w:tcPr>
                <w:p w14:paraId="4C851F8E">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西</w:t>
                  </w:r>
                  <w:r>
                    <w:rPr>
                      <w:rFonts w:hint="default" w:ascii="Times New Roman" w:hAnsi="Times New Roman" w:eastAsia="仿宋" w:cs="Times New Roman"/>
                      <w:color w:val="auto"/>
                      <w:sz w:val="21"/>
                      <w:szCs w:val="21"/>
                      <w:highlight w:val="none"/>
                      <w:lang w:val="en-US" w:eastAsia="zh-CN"/>
                    </w:rPr>
                    <w:t>北</w:t>
                  </w:r>
                </w:p>
              </w:tc>
            </w:tr>
            <w:tr w14:paraId="748D2C6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11" w:type="pct"/>
                  <w:tcBorders>
                    <w:tl2br w:val="nil"/>
                    <w:tr2bl w:val="nil"/>
                  </w:tcBorders>
                  <w:shd w:val="clear" w:color="auto" w:fill="auto"/>
                  <w:vAlign w:val="center"/>
                </w:tcPr>
                <w:p w14:paraId="03C3E4F2">
                  <w:pPr>
                    <w:pStyle w:val="29"/>
                    <w:rPr>
                      <w:rFonts w:hint="default" w:ascii="Times New Roman" w:hAnsi="Times New Roman" w:eastAsia="仿宋" w:cs="Times New Roman"/>
                      <w:color w:val="auto"/>
                      <w:kern w:val="21"/>
                      <w:sz w:val="21"/>
                      <w:szCs w:val="21"/>
                      <w:highlight w:val="none"/>
                      <w:lang w:val="en-US" w:eastAsia="zh-CN"/>
                    </w:rPr>
                  </w:pPr>
                  <w:r>
                    <w:rPr>
                      <w:rFonts w:hint="default" w:ascii="Times New Roman" w:hAnsi="Times New Roman" w:eastAsia="仿宋" w:cs="Times New Roman"/>
                      <w:color w:val="auto"/>
                      <w:kern w:val="21"/>
                      <w:sz w:val="21"/>
                      <w:szCs w:val="21"/>
                      <w:highlight w:val="none"/>
                    </w:rPr>
                    <w:t>漕湖重要湿地</w:t>
                  </w:r>
                </w:p>
              </w:tc>
              <w:tc>
                <w:tcPr>
                  <w:tcW w:w="469" w:type="pct"/>
                  <w:tcBorders>
                    <w:tl2br w:val="nil"/>
                    <w:tr2bl w:val="nil"/>
                  </w:tcBorders>
                  <w:shd w:val="clear" w:color="auto" w:fill="auto"/>
                  <w:vAlign w:val="center"/>
                </w:tcPr>
                <w:p w14:paraId="6EBB7309">
                  <w:pPr>
                    <w:pStyle w:val="29"/>
                    <w:rPr>
                      <w:rFonts w:hint="default" w:ascii="Times New Roman" w:hAnsi="Times New Roman" w:eastAsia="仿宋" w:cs="Times New Roman"/>
                      <w:color w:val="auto"/>
                      <w:kern w:val="21"/>
                      <w:sz w:val="21"/>
                      <w:szCs w:val="21"/>
                      <w:highlight w:val="none"/>
                      <w:lang w:val="en-US" w:eastAsia="zh-CN"/>
                    </w:rPr>
                  </w:pPr>
                  <w:r>
                    <w:rPr>
                      <w:rFonts w:hint="default" w:ascii="Times New Roman" w:hAnsi="Times New Roman" w:eastAsia="仿宋" w:cs="Times New Roman"/>
                      <w:color w:val="auto"/>
                      <w:kern w:val="21"/>
                      <w:sz w:val="21"/>
                      <w:szCs w:val="21"/>
                      <w:highlight w:val="none"/>
                    </w:rPr>
                    <w:t>湿地生态系统保护</w:t>
                  </w:r>
                </w:p>
              </w:tc>
              <w:tc>
                <w:tcPr>
                  <w:tcW w:w="665" w:type="pct"/>
                  <w:tcBorders>
                    <w:tl2br w:val="nil"/>
                    <w:tr2bl w:val="nil"/>
                  </w:tcBorders>
                  <w:shd w:val="clear" w:color="auto" w:fill="auto"/>
                  <w:vAlign w:val="center"/>
                </w:tcPr>
                <w:p w14:paraId="5B15FBC0">
                  <w:pPr>
                    <w:pStyle w:val="29"/>
                    <w:rPr>
                      <w:rFonts w:hint="default" w:ascii="Times New Roman" w:hAnsi="Times New Roman" w:eastAsia="仿宋" w:cs="Times New Roman"/>
                      <w:color w:val="auto"/>
                      <w:kern w:val="21"/>
                      <w:sz w:val="21"/>
                      <w:szCs w:val="21"/>
                      <w:highlight w:val="none"/>
                      <w:lang w:val="en-US" w:eastAsia="zh-CN"/>
                    </w:rPr>
                  </w:pPr>
                  <w:r>
                    <w:rPr>
                      <w:rFonts w:hint="default" w:ascii="Times New Roman" w:hAnsi="Times New Roman" w:eastAsia="仿宋" w:cs="Times New Roman"/>
                      <w:color w:val="auto"/>
                      <w:sz w:val="21"/>
                      <w:szCs w:val="21"/>
                      <w:highlight w:val="none"/>
                    </w:rPr>
                    <w:t>--</w:t>
                  </w:r>
                </w:p>
              </w:tc>
              <w:tc>
                <w:tcPr>
                  <w:tcW w:w="815" w:type="pct"/>
                  <w:tcBorders>
                    <w:tl2br w:val="nil"/>
                    <w:tr2bl w:val="nil"/>
                  </w:tcBorders>
                  <w:shd w:val="clear" w:color="auto" w:fill="auto"/>
                  <w:vAlign w:val="center"/>
                </w:tcPr>
                <w:p w14:paraId="346642E3">
                  <w:pPr>
                    <w:pStyle w:val="29"/>
                    <w:rPr>
                      <w:rFonts w:hint="default" w:ascii="Times New Roman" w:hAnsi="Times New Roman" w:eastAsia="仿宋" w:cs="Times New Roman"/>
                      <w:color w:val="auto"/>
                      <w:kern w:val="21"/>
                      <w:sz w:val="21"/>
                      <w:szCs w:val="21"/>
                      <w:highlight w:val="none"/>
                      <w:lang w:val="en-US" w:eastAsia="zh-CN"/>
                    </w:rPr>
                  </w:pPr>
                  <w:r>
                    <w:rPr>
                      <w:rFonts w:hint="default" w:ascii="Times New Roman" w:hAnsi="Times New Roman" w:eastAsia="仿宋" w:cs="Times New Roman"/>
                      <w:color w:val="auto"/>
                      <w:kern w:val="21"/>
                      <w:sz w:val="21"/>
                      <w:szCs w:val="21"/>
                      <w:highlight w:val="none"/>
                    </w:rPr>
                    <w:t>漕湖湖体范围</w:t>
                  </w:r>
                </w:p>
              </w:tc>
              <w:tc>
                <w:tcPr>
                  <w:tcW w:w="707" w:type="pct"/>
                  <w:tcBorders>
                    <w:tl2br w:val="nil"/>
                    <w:tr2bl w:val="nil"/>
                  </w:tcBorders>
                  <w:shd w:val="clear" w:color="auto" w:fill="auto"/>
                  <w:vAlign w:val="center"/>
                </w:tcPr>
                <w:p w14:paraId="6DF45E5C">
                  <w:pPr>
                    <w:pStyle w:val="29"/>
                    <w:rPr>
                      <w:rFonts w:hint="default" w:ascii="Times New Roman" w:hAnsi="Times New Roman" w:eastAsia="仿宋" w:cs="Times New Roman"/>
                      <w:color w:val="auto"/>
                      <w:kern w:val="21"/>
                      <w:sz w:val="21"/>
                      <w:szCs w:val="21"/>
                      <w:highlight w:val="none"/>
                      <w:lang w:val="en-US" w:eastAsia="zh-CN"/>
                    </w:rPr>
                  </w:pPr>
                  <w:r>
                    <w:rPr>
                      <w:rFonts w:hint="default" w:ascii="Times New Roman" w:hAnsi="Times New Roman" w:eastAsia="仿宋" w:cs="Times New Roman"/>
                      <w:color w:val="auto"/>
                      <w:kern w:val="21"/>
                      <w:sz w:val="21"/>
                      <w:szCs w:val="21"/>
                      <w:highlight w:val="none"/>
                    </w:rPr>
                    <w:t>--</w:t>
                  </w:r>
                </w:p>
              </w:tc>
              <w:tc>
                <w:tcPr>
                  <w:tcW w:w="600" w:type="pct"/>
                  <w:tcBorders>
                    <w:tl2br w:val="nil"/>
                    <w:tr2bl w:val="nil"/>
                  </w:tcBorders>
                  <w:shd w:val="clear" w:color="auto" w:fill="auto"/>
                  <w:vAlign w:val="center"/>
                </w:tcPr>
                <w:p w14:paraId="0E642CE4">
                  <w:pPr>
                    <w:pStyle w:val="29"/>
                    <w:rPr>
                      <w:rFonts w:hint="default" w:ascii="Times New Roman" w:hAnsi="Times New Roman" w:eastAsia="仿宋" w:cs="Times New Roman"/>
                      <w:color w:val="auto"/>
                      <w:kern w:val="21"/>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8.81</w:t>
                  </w:r>
                </w:p>
              </w:tc>
              <w:tc>
                <w:tcPr>
                  <w:tcW w:w="378" w:type="pct"/>
                  <w:tcBorders>
                    <w:tl2br w:val="nil"/>
                    <w:tr2bl w:val="nil"/>
                  </w:tcBorders>
                  <w:shd w:val="clear" w:color="auto" w:fill="auto"/>
                  <w:vAlign w:val="center"/>
                </w:tcPr>
                <w:p w14:paraId="7B391FBC">
                  <w:pPr>
                    <w:pStyle w:val="29"/>
                    <w:rPr>
                      <w:rFonts w:hint="default" w:ascii="Times New Roman" w:hAnsi="Times New Roman" w:eastAsia="仿宋" w:cs="Times New Roman"/>
                      <w:color w:val="auto"/>
                      <w:kern w:val="21"/>
                      <w:sz w:val="21"/>
                      <w:szCs w:val="21"/>
                      <w:highlight w:val="none"/>
                      <w:lang w:val="en-US" w:eastAsia="zh-CN"/>
                    </w:rPr>
                  </w:pPr>
                  <w:r>
                    <w:rPr>
                      <w:rFonts w:hint="default" w:ascii="Times New Roman" w:hAnsi="Times New Roman" w:eastAsia="仿宋" w:cs="Times New Roman"/>
                      <w:color w:val="auto"/>
                      <w:kern w:val="21"/>
                      <w:sz w:val="21"/>
                      <w:szCs w:val="21"/>
                      <w:highlight w:val="none"/>
                      <w:lang w:val="en-US" w:eastAsia="zh-CN"/>
                    </w:rPr>
                    <w:t>8.81</w:t>
                  </w:r>
                </w:p>
              </w:tc>
              <w:tc>
                <w:tcPr>
                  <w:tcW w:w="450" w:type="pct"/>
                  <w:tcBorders>
                    <w:tl2br w:val="nil"/>
                    <w:tr2bl w:val="nil"/>
                  </w:tcBorders>
                  <w:vAlign w:val="center"/>
                </w:tcPr>
                <w:p w14:paraId="0C1E52EA">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0.98</w:t>
                  </w:r>
                </w:p>
              </w:tc>
              <w:tc>
                <w:tcPr>
                  <w:tcW w:w="302" w:type="pct"/>
                  <w:tcBorders>
                    <w:tl2br w:val="nil"/>
                    <w:tr2bl w:val="nil"/>
                  </w:tcBorders>
                  <w:vAlign w:val="center"/>
                </w:tcPr>
                <w:p w14:paraId="57F7DF38">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北</w:t>
                  </w:r>
                </w:p>
              </w:tc>
            </w:tr>
          </w:tbl>
          <w:p w14:paraId="79F8E731">
            <w:pPr>
              <w:pStyle w:val="28"/>
              <w:snapToGrid w:val="0"/>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lang w:val="en-US" w:eastAsia="zh-CN"/>
              </w:rPr>
              <w:t>综上</w:t>
            </w:r>
            <w:r>
              <w:rPr>
                <w:rFonts w:ascii="宋体" w:hAnsi="宋体" w:eastAsia="宋体" w:cs="宋体"/>
                <w:color w:val="auto"/>
                <w:sz w:val="24"/>
                <w:szCs w:val="24"/>
                <w:highlight w:val="none"/>
              </w:rPr>
              <w:t>，本项目不在国家级生态红线及生态空间管控区域范围</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因此，</w:t>
            </w:r>
            <w:r>
              <w:rPr>
                <w:rFonts w:hint="eastAsia"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w:t>
            </w:r>
            <w:r>
              <w:rPr>
                <w:rFonts w:hint="eastAsia" w:ascii="Times New Roman" w:hAnsi="Times New Roman" w:eastAsia="宋体" w:cs="Times New Roman"/>
                <w:color w:val="auto"/>
                <w:sz w:val="24"/>
                <w:szCs w:val="24"/>
                <w:highlight w:val="none"/>
                <w:lang w:val="en-US" w:eastAsia="zh-CN"/>
              </w:rPr>
              <w:t>与</w:t>
            </w:r>
            <w:r>
              <w:rPr>
                <w:rFonts w:hint="default" w:ascii="Times New Roman" w:hAnsi="Times New Roman" w:eastAsia="宋体" w:cs="Times New Roman"/>
                <w:color w:val="auto"/>
                <w:sz w:val="24"/>
                <w:szCs w:val="24"/>
                <w:highlight w:val="none"/>
              </w:rPr>
              <w:t>《江苏省国家级生态保护红线规划》（苏政发</w:t>
            </w:r>
            <w:r>
              <w:rPr>
                <w:rFonts w:hint="default" w:ascii="Times New Roman" w:hAnsi="Times New Roman" w:eastAsia="宋体" w:cs="Times New Roman"/>
                <w:color w:val="auto"/>
                <w:sz w:val="24"/>
                <w:szCs w:val="24"/>
                <w:highlight w:val="none"/>
                <w:lang w:eastAsia="zh-CN"/>
              </w:rPr>
              <w:t>〔2018〕74号</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bCs/>
                <w:color w:val="auto"/>
                <w:sz w:val="24"/>
                <w:szCs w:val="24"/>
                <w:highlight w:val="none"/>
              </w:rPr>
              <w:t>《省政府关于印发江苏省生态空间管控区域规划的通知》（苏政发</w:t>
            </w:r>
            <w:r>
              <w:rPr>
                <w:rFonts w:hint="eastAsia" w:ascii="Times New Roman" w:hAnsi="Times New Roman" w:eastAsia="宋体" w:cs="Times New Roman"/>
                <w:bCs/>
                <w:color w:val="auto"/>
                <w:sz w:val="24"/>
                <w:szCs w:val="24"/>
                <w:highlight w:val="none"/>
                <w:lang w:val="en-US" w:eastAsia="zh-CN"/>
              </w:rPr>
              <w:t>〔202</w:t>
            </w:r>
            <w:r>
              <w:rPr>
                <w:rFonts w:hint="eastAsia" w:ascii="Times New Roman" w:cs="Times New Roman"/>
                <w:bCs/>
                <w:color w:val="auto"/>
                <w:sz w:val="24"/>
                <w:szCs w:val="24"/>
                <w:highlight w:val="none"/>
                <w:lang w:val="en-US" w:eastAsia="zh-CN"/>
              </w:rPr>
              <w:t>0</w:t>
            </w:r>
            <w:r>
              <w:rPr>
                <w:rFonts w:hint="eastAsia" w:ascii="Times New Roman" w:hAnsi="Times New Roman" w:eastAsia="宋体" w:cs="Times New Roman"/>
                <w:bCs/>
                <w:color w:val="auto"/>
                <w:sz w:val="24"/>
                <w:szCs w:val="24"/>
                <w:highlight w:val="none"/>
                <w:lang w:val="en-US" w:eastAsia="zh-CN"/>
              </w:rPr>
              <w:t>〕</w:t>
            </w:r>
            <w:r>
              <w:rPr>
                <w:rFonts w:hint="default" w:ascii="Times New Roman" w:hAnsi="Times New Roman" w:eastAsia="宋体" w:cs="Times New Roman"/>
                <w:bCs/>
                <w:color w:val="auto"/>
                <w:sz w:val="24"/>
                <w:szCs w:val="24"/>
                <w:highlight w:val="none"/>
              </w:rPr>
              <w:t>1号）</w:t>
            </w:r>
            <w:r>
              <w:rPr>
                <w:rFonts w:hint="eastAsia" w:ascii="Times New Roman" w:hAnsi="Times New Roman" w:eastAsia="宋体" w:cs="Times New Roman"/>
                <w:bCs/>
                <w:color w:val="auto"/>
                <w:sz w:val="24"/>
                <w:szCs w:val="24"/>
                <w:highlight w:val="none"/>
                <w:lang w:val="en-US" w:eastAsia="zh-CN"/>
              </w:rPr>
              <w:t>及《江苏省自然资源厅关于苏州市生态空间管控区域评估优化成果的复函》（苏自然资函〔2026〕487号）相符</w:t>
            </w:r>
            <w:r>
              <w:rPr>
                <w:rFonts w:hint="default" w:ascii="Times New Roman" w:hAnsi="Times New Roman" w:eastAsia="宋体" w:cs="Times New Roman"/>
                <w:color w:val="auto"/>
                <w:sz w:val="24"/>
                <w:szCs w:val="24"/>
                <w:highlight w:val="none"/>
              </w:rPr>
              <w:t>。</w:t>
            </w:r>
          </w:p>
          <w:p w14:paraId="3CA1F672">
            <w:pPr>
              <w:autoSpaceDE w:val="0"/>
              <w:autoSpaceDN w:val="0"/>
              <w:adjustRightInd w:val="0"/>
              <w:snapToGrid w:val="0"/>
              <w:spacing w:line="360" w:lineRule="auto"/>
              <w:jc w:val="left"/>
              <w:rPr>
                <w:rFonts w:hint="default" w:ascii="Times New Roman" w:hAnsi="Times New Roman" w:eastAsia="宋体" w:cs="Times New Roman"/>
                <w:b/>
                <w:color w:val="auto"/>
                <w:kern w:val="0"/>
                <w:sz w:val="24"/>
                <w:szCs w:val="24"/>
                <w:highlight w:val="none"/>
              </w:rPr>
            </w:pPr>
            <w:r>
              <w:rPr>
                <w:rFonts w:hint="eastAsia" w:cs="Times New Roman"/>
                <w:b/>
                <w:color w:val="auto"/>
                <w:kern w:val="0"/>
                <w:sz w:val="24"/>
                <w:szCs w:val="24"/>
                <w:highlight w:val="none"/>
                <w:lang w:val="en-US" w:eastAsia="zh-CN"/>
              </w:rPr>
              <w:t>5</w:t>
            </w:r>
            <w:r>
              <w:rPr>
                <w:rFonts w:hint="default" w:ascii="Times New Roman" w:hAnsi="Times New Roman" w:eastAsia="宋体" w:cs="Times New Roman"/>
                <w:b/>
                <w:color w:val="auto"/>
                <w:kern w:val="0"/>
                <w:sz w:val="24"/>
                <w:szCs w:val="24"/>
                <w:highlight w:val="none"/>
              </w:rPr>
              <w:t xml:space="preserve">.2  </w:t>
            </w:r>
            <w:r>
              <w:rPr>
                <w:rFonts w:hint="eastAsia" w:ascii="宋体" w:hAnsi="宋体" w:cs="宋体"/>
                <w:b/>
                <w:color w:val="auto"/>
                <w:kern w:val="0"/>
                <w:sz w:val="24"/>
                <w:szCs w:val="24"/>
                <w:highlight w:val="none"/>
                <w:lang w:eastAsia="zh-CN"/>
              </w:rPr>
              <w:t>“</w:t>
            </w:r>
            <w:r>
              <w:rPr>
                <w:rFonts w:hint="eastAsia" w:ascii="宋体" w:hAnsi="宋体" w:eastAsia="宋体" w:cs="宋体"/>
                <w:b/>
                <w:color w:val="auto"/>
                <w:kern w:val="0"/>
                <w:sz w:val="24"/>
                <w:szCs w:val="24"/>
                <w:highlight w:val="none"/>
              </w:rPr>
              <w:t>环境质量底线</w:t>
            </w:r>
            <w:r>
              <w:rPr>
                <w:rFonts w:hint="eastAsia" w:ascii="宋体" w:hAnsi="宋体" w:cs="宋体"/>
                <w:b/>
                <w:color w:val="auto"/>
                <w:kern w:val="0"/>
                <w:sz w:val="24"/>
                <w:szCs w:val="24"/>
                <w:highlight w:val="none"/>
                <w:lang w:eastAsia="zh-CN"/>
              </w:rPr>
              <w:t>”</w:t>
            </w:r>
            <w:r>
              <w:rPr>
                <w:rFonts w:hint="default" w:ascii="Times New Roman" w:hAnsi="Times New Roman" w:eastAsia="宋体" w:cs="Times New Roman"/>
                <w:b/>
                <w:color w:val="auto"/>
                <w:kern w:val="0"/>
                <w:sz w:val="24"/>
                <w:szCs w:val="24"/>
                <w:highlight w:val="none"/>
                <w:lang w:val="en-US" w:eastAsia="zh-CN"/>
              </w:rPr>
              <w:t>相符性</w:t>
            </w:r>
            <w:r>
              <w:rPr>
                <w:rFonts w:hint="default" w:ascii="Times New Roman" w:hAnsi="Times New Roman" w:eastAsia="宋体" w:cs="Times New Roman"/>
                <w:b/>
                <w:color w:val="auto"/>
                <w:kern w:val="0"/>
                <w:sz w:val="24"/>
                <w:szCs w:val="24"/>
                <w:highlight w:val="none"/>
              </w:rPr>
              <w:t>分析</w:t>
            </w:r>
          </w:p>
          <w:p w14:paraId="4692DAAE">
            <w:pPr>
              <w:keepNext w:val="0"/>
              <w:keepLines w:val="0"/>
              <w:pageBreakBefore w:val="0"/>
              <w:suppressLineNumbers w:val="0"/>
              <w:kinsoku/>
              <w:wordWrap/>
              <w:overflowPunct/>
              <w:topLinePunct w:val="0"/>
              <w:bidi w:val="0"/>
              <w:spacing w:before="0" w:beforeAutospacing="0" w:afterAutospacing="0" w:line="360" w:lineRule="auto"/>
              <w:ind w:left="0" w:right="0" w:firstLine="474" w:firstLineChars="200"/>
              <w:rPr>
                <w:rFonts w:hint="default" w:ascii="Times New Roman" w:hAnsi="Times New Roman" w:eastAsia="宋体" w:cs="Times New Roman"/>
                <w:bCs/>
                <w:color w:val="auto"/>
                <w:spacing w:val="-2"/>
                <w:kern w:val="0"/>
                <w:sz w:val="24"/>
                <w:szCs w:val="24"/>
                <w:highlight w:val="none"/>
              </w:rPr>
            </w:pPr>
            <w:r>
              <w:rPr>
                <w:rFonts w:hint="default" w:ascii="Times New Roman" w:hAnsi="Times New Roman" w:eastAsia="宋体" w:cs="Times New Roman"/>
                <w:b/>
                <w:color w:val="auto"/>
                <w:spacing w:val="-2"/>
                <w:kern w:val="0"/>
                <w:sz w:val="24"/>
                <w:szCs w:val="24"/>
                <w:highlight w:val="none"/>
              </w:rPr>
              <w:t>环境空气现状：</w:t>
            </w:r>
            <w:r>
              <w:rPr>
                <w:rFonts w:hint="default" w:ascii="Times New Roman" w:hAnsi="Times New Roman" w:eastAsia="宋体" w:cs="Times New Roman"/>
                <w:color w:val="auto"/>
                <w:spacing w:val="-2"/>
                <w:kern w:val="0"/>
                <w:sz w:val="24"/>
                <w:szCs w:val="24"/>
                <w:highlight w:val="none"/>
              </w:rPr>
              <w:t>根据《2025年度苏州市生态环境状况公报》，2025年，苏州市全市环境空气质量平均优良天数比率为80.3%，同比下降5.5个百分点。各地优良天数比率介于75.5%~82.2%；市区环境空气质量优良天数比率为80%，同比下降4.2个百分点。2025年，苏州市区环境空气中细颗粒物（PM</w:t>
            </w:r>
            <w:r>
              <w:rPr>
                <w:rFonts w:hint="default" w:ascii="Times New Roman" w:hAnsi="Times New Roman" w:eastAsia="宋体" w:cs="Times New Roman"/>
                <w:color w:val="auto"/>
                <w:spacing w:val="-2"/>
                <w:kern w:val="0"/>
                <w:sz w:val="24"/>
                <w:szCs w:val="24"/>
                <w:highlight w:val="none"/>
                <w:vertAlign w:val="subscript"/>
              </w:rPr>
              <w:t>2.5</w:t>
            </w:r>
            <w:r>
              <w:rPr>
                <w:rFonts w:hint="default" w:ascii="Times New Roman" w:hAnsi="Times New Roman" w:eastAsia="宋体" w:cs="Times New Roman"/>
                <w:color w:val="auto"/>
                <w:spacing w:val="-2"/>
                <w:kern w:val="0"/>
                <w:sz w:val="24"/>
                <w:szCs w:val="24"/>
                <w:highlight w:val="none"/>
              </w:rPr>
              <w:t>）年均浓度为28微克/立方米，同比下降3.4%；可吸入颗粒物（PM</w:t>
            </w:r>
            <w:r>
              <w:rPr>
                <w:rFonts w:hint="default" w:ascii="Times New Roman" w:hAnsi="Times New Roman" w:eastAsia="宋体" w:cs="Times New Roman"/>
                <w:color w:val="auto"/>
                <w:spacing w:val="-2"/>
                <w:kern w:val="0"/>
                <w:sz w:val="24"/>
                <w:szCs w:val="24"/>
                <w:highlight w:val="none"/>
                <w:vertAlign w:val="subscript"/>
              </w:rPr>
              <w:t>10</w:t>
            </w:r>
            <w:r>
              <w:rPr>
                <w:rFonts w:hint="default" w:ascii="Times New Roman" w:hAnsi="Times New Roman" w:eastAsia="宋体" w:cs="Times New Roman"/>
                <w:color w:val="auto"/>
                <w:spacing w:val="-2"/>
                <w:kern w:val="0"/>
                <w:sz w:val="24"/>
                <w:szCs w:val="24"/>
                <w:highlight w:val="none"/>
              </w:rPr>
              <w:t>）年均浓度为48微克/立方米，同比上升2.1%；二氧化硫（SO</w:t>
            </w:r>
            <w:r>
              <w:rPr>
                <w:rFonts w:hint="default" w:ascii="Times New Roman" w:hAnsi="Times New Roman" w:eastAsia="宋体" w:cs="Times New Roman"/>
                <w:color w:val="auto"/>
                <w:spacing w:val="-2"/>
                <w:kern w:val="0"/>
                <w:sz w:val="24"/>
                <w:szCs w:val="24"/>
                <w:highlight w:val="none"/>
                <w:vertAlign w:val="subscript"/>
              </w:rPr>
              <w:t>2</w:t>
            </w:r>
            <w:r>
              <w:rPr>
                <w:rFonts w:hint="default" w:ascii="Times New Roman" w:hAnsi="Times New Roman" w:eastAsia="宋体" w:cs="Times New Roman"/>
                <w:color w:val="auto"/>
                <w:spacing w:val="-2"/>
                <w:kern w:val="0"/>
                <w:sz w:val="24"/>
                <w:szCs w:val="24"/>
                <w:highlight w:val="none"/>
              </w:rPr>
              <w:t>）年均浓度为6微克/立方米，同比下降25.0%；二氧化氮（NO</w:t>
            </w:r>
            <w:r>
              <w:rPr>
                <w:rFonts w:hint="default" w:ascii="Times New Roman" w:hAnsi="Times New Roman" w:eastAsia="宋体" w:cs="Times New Roman"/>
                <w:color w:val="auto"/>
                <w:spacing w:val="-2"/>
                <w:kern w:val="0"/>
                <w:sz w:val="24"/>
                <w:szCs w:val="24"/>
                <w:highlight w:val="none"/>
                <w:vertAlign w:val="subscript"/>
              </w:rPr>
              <w:t>2</w:t>
            </w:r>
            <w:r>
              <w:rPr>
                <w:rFonts w:hint="default" w:ascii="Times New Roman" w:hAnsi="Times New Roman" w:eastAsia="宋体" w:cs="Times New Roman"/>
                <w:color w:val="auto"/>
                <w:spacing w:val="-2"/>
                <w:kern w:val="0"/>
                <w:sz w:val="24"/>
                <w:szCs w:val="24"/>
                <w:highlight w:val="none"/>
              </w:rPr>
              <w:t>）年均浓度为28微克/立方米，同比上升7.7%；一氧化碳（CO）浓度为0.9毫克/立方米，同比下降10.0%；臭氧（O</w:t>
            </w:r>
            <w:r>
              <w:rPr>
                <w:rFonts w:hint="default" w:ascii="Times New Roman" w:hAnsi="Times New Roman" w:eastAsia="宋体" w:cs="Times New Roman"/>
                <w:color w:val="auto"/>
                <w:spacing w:val="-2"/>
                <w:kern w:val="0"/>
                <w:sz w:val="24"/>
                <w:szCs w:val="24"/>
                <w:highlight w:val="none"/>
                <w:vertAlign w:val="subscript"/>
              </w:rPr>
              <w:t>3</w:t>
            </w:r>
            <w:r>
              <w:rPr>
                <w:rFonts w:hint="default" w:ascii="Times New Roman" w:hAnsi="Times New Roman" w:eastAsia="宋体" w:cs="Times New Roman"/>
                <w:color w:val="auto"/>
                <w:spacing w:val="-2"/>
                <w:kern w:val="0"/>
                <w:sz w:val="24"/>
                <w:szCs w:val="24"/>
                <w:highlight w:val="none"/>
              </w:rPr>
              <w:t>）浓度为174微克/立方米，同比上升8.1%</w:t>
            </w:r>
            <w:r>
              <w:rPr>
                <w:rFonts w:hint="eastAsia" w:cs="Times New Roman"/>
                <w:color w:val="auto"/>
                <w:spacing w:val="-2"/>
                <w:kern w:val="0"/>
                <w:sz w:val="24"/>
                <w:szCs w:val="24"/>
                <w:highlight w:val="none"/>
                <w:lang w:val="en-US" w:eastAsia="zh-CN"/>
              </w:rPr>
              <w:t>。</w:t>
            </w:r>
            <w:r>
              <w:rPr>
                <w:rFonts w:hint="default" w:ascii="Times New Roman" w:hAnsi="Times New Roman" w:eastAsia="宋体" w:cs="Times New Roman"/>
                <w:color w:val="auto"/>
                <w:kern w:val="0"/>
                <w:sz w:val="24"/>
                <w:szCs w:val="28"/>
                <w:highlight w:val="none"/>
              </w:rPr>
              <w:t>因此，判定苏州市</w:t>
            </w:r>
            <w:r>
              <w:rPr>
                <w:rFonts w:hint="default" w:ascii="Times New Roman" w:hAnsi="Times New Roman" w:eastAsia="宋体" w:cs="Times New Roman"/>
                <w:bCs/>
                <w:color w:val="auto"/>
                <w:spacing w:val="-2"/>
                <w:kern w:val="0"/>
                <w:sz w:val="24"/>
                <w:szCs w:val="24"/>
                <w:highlight w:val="none"/>
              </w:rPr>
              <w:t>为环境空气质量不达标区。</w:t>
            </w:r>
          </w:p>
          <w:p w14:paraId="1261F721">
            <w:pPr>
              <w:keepNext w:val="0"/>
              <w:keepLines w:val="0"/>
              <w:pageBreakBefore w:val="0"/>
              <w:suppressLineNumbers w:val="0"/>
              <w:kinsoku/>
              <w:wordWrap/>
              <w:overflowPunct/>
              <w:topLinePunct w:val="0"/>
              <w:bidi w:val="0"/>
              <w:spacing w:before="0" w:beforeAutospacing="0" w:afterAutospacing="0" w:line="360" w:lineRule="auto"/>
              <w:ind w:left="0" w:right="0" w:firstLine="472" w:firstLineChars="200"/>
              <w:rPr>
                <w:rFonts w:hint="default" w:ascii="Times New Roman" w:hAnsi="Times New Roman" w:eastAsia="宋体" w:cs="Times New Roman"/>
                <w:bCs/>
                <w:color w:val="auto"/>
                <w:spacing w:val="-2"/>
                <w:kern w:val="0"/>
                <w:sz w:val="24"/>
                <w:szCs w:val="24"/>
                <w:highlight w:val="none"/>
              </w:rPr>
            </w:pPr>
            <w:r>
              <w:rPr>
                <w:rFonts w:hint="default" w:ascii="Times New Roman" w:hAnsi="Times New Roman" w:eastAsia="宋体" w:cs="Times New Roman"/>
                <w:bCs/>
                <w:color w:val="auto"/>
                <w:spacing w:val="-2"/>
                <w:kern w:val="0"/>
                <w:sz w:val="24"/>
                <w:szCs w:val="24"/>
                <w:highlight w:val="none"/>
              </w:rPr>
              <w:t>为进一步改善环境质量，根据《苏州市空气质量持续改善行动计划实施方案》（苏府2024〔50〕号），苏州市以</w:t>
            </w:r>
            <w:r>
              <w:rPr>
                <w:rFonts w:hint="eastAsia" w:ascii="宋体" w:hAnsi="宋体" w:cs="宋体"/>
                <w:bCs/>
                <w:color w:val="auto"/>
                <w:spacing w:val="-2"/>
                <w:kern w:val="0"/>
                <w:sz w:val="24"/>
                <w:szCs w:val="24"/>
                <w:highlight w:val="none"/>
                <w:lang w:eastAsia="zh-CN"/>
              </w:rPr>
              <w:t>“</w:t>
            </w:r>
            <w:r>
              <w:rPr>
                <w:rFonts w:hint="eastAsia" w:ascii="宋体" w:hAnsi="宋体" w:eastAsia="宋体" w:cs="宋体"/>
                <w:bCs/>
                <w:color w:val="auto"/>
                <w:spacing w:val="-2"/>
                <w:kern w:val="0"/>
                <w:sz w:val="24"/>
                <w:szCs w:val="24"/>
                <w:highlight w:val="none"/>
              </w:rPr>
              <w:t>到</w:t>
            </w:r>
            <w:r>
              <w:rPr>
                <w:rFonts w:hint="default" w:ascii="Times New Roman" w:hAnsi="Times New Roman" w:eastAsia="宋体" w:cs="Times New Roman"/>
                <w:bCs/>
                <w:color w:val="auto"/>
                <w:spacing w:val="-2"/>
                <w:kern w:val="0"/>
                <w:sz w:val="24"/>
                <w:szCs w:val="24"/>
                <w:highlight w:val="none"/>
              </w:rPr>
              <w:t>2025年，全市PM</w:t>
            </w:r>
            <w:r>
              <w:rPr>
                <w:rFonts w:hint="default" w:ascii="Times New Roman" w:hAnsi="Times New Roman" w:eastAsia="宋体" w:cs="Times New Roman"/>
                <w:bCs/>
                <w:color w:val="auto"/>
                <w:spacing w:val="-2"/>
                <w:kern w:val="0"/>
                <w:sz w:val="24"/>
                <w:szCs w:val="24"/>
                <w:highlight w:val="none"/>
                <w:vertAlign w:val="subscript"/>
              </w:rPr>
              <w:t>2.5</w:t>
            </w:r>
            <w:r>
              <w:rPr>
                <w:rFonts w:hint="default" w:ascii="Times New Roman" w:hAnsi="Times New Roman" w:eastAsia="宋体" w:cs="Times New Roman"/>
                <w:bCs/>
                <w:color w:val="auto"/>
                <w:spacing w:val="-2"/>
                <w:kern w:val="0"/>
                <w:sz w:val="24"/>
                <w:szCs w:val="24"/>
                <w:highlight w:val="none"/>
              </w:rPr>
              <w:t>浓度稳定在30</w:t>
            </w:r>
            <w:r>
              <w:rPr>
                <w:rFonts w:hint="default" w:ascii="Times New Roman" w:hAnsi="Times New Roman" w:eastAsia="宋体" w:cs="Times New Roman"/>
                <w:bCs/>
                <w:color w:val="auto"/>
                <w:spacing w:val="-2"/>
                <w:kern w:val="0"/>
                <w:sz w:val="24"/>
                <w:szCs w:val="24"/>
                <w:highlight w:val="none"/>
                <w:lang w:eastAsia="zh-CN"/>
              </w:rPr>
              <w:t>μg/m</w:t>
            </w:r>
            <w:r>
              <w:rPr>
                <w:rFonts w:hint="default" w:ascii="Times New Roman" w:hAnsi="Times New Roman" w:eastAsia="宋体" w:cs="Times New Roman"/>
                <w:bCs/>
                <w:color w:val="auto"/>
                <w:spacing w:val="-2"/>
                <w:kern w:val="0"/>
                <w:sz w:val="24"/>
                <w:szCs w:val="24"/>
                <w:highlight w:val="none"/>
                <w:vertAlign w:val="superscript"/>
                <w:lang w:eastAsia="zh-CN"/>
              </w:rPr>
              <w:t>3</w:t>
            </w:r>
            <w:r>
              <w:rPr>
                <w:rFonts w:hint="default" w:ascii="Times New Roman" w:hAnsi="Times New Roman" w:eastAsia="宋体" w:cs="Times New Roman"/>
                <w:bCs/>
                <w:color w:val="auto"/>
                <w:spacing w:val="-2"/>
                <w:kern w:val="0"/>
                <w:sz w:val="24"/>
                <w:szCs w:val="24"/>
                <w:highlight w:val="none"/>
              </w:rPr>
              <w:t>以下，重度及以上污染天数控制在1天以内；氮氧化物和VOCs排放总量比2020年分别下降10%以上，完成省下达的减排目标</w:t>
            </w:r>
            <w:r>
              <w:rPr>
                <w:rFonts w:hint="eastAsia" w:ascii="宋体" w:hAnsi="宋体" w:eastAsia="宋体" w:cs="宋体"/>
                <w:bCs/>
                <w:color w:val="auto"/>
                <w:spacing w:val="-2"/>
                <w:kern w:val="0"/>
                <w:sz w:val="24"/>
                <w:szCs w:val="24"/>
                <w:highlight w:val="none"/>
              </w:rPr>
              <w:t>。</w:t>
            </w:r>
            <w:r>
              <w:rPr>
                <w:rFonts w:hint="eastAsia" w:ascii="宋体" w:hAnsi="宋体" w:cs="宋体"/>
                <w:bCs/>
                <w:color w:val="auto"/>
                <w:spacing w:val="-2"/>
                <w:kern w:val="0"/>
                <w:sz w:val="24"/>
                <w:szCs w:val="24"/>
                <w:highlight w:val="none"/>
                <w:lang w:eastAsia="zh-CN"/>
              </w:rPr>
              <w:t>”</w:t>
            </w:r>
            <w:r>
              <w:rPr>
                <w:rFonts w:hint="eastAsia" w:ascii="宋体" w:hAnsi="宋体" w:eastAsia="宋体" w:cs="宋体"/>
                <w:bCs/>
                <w:color w:val="auto"/>
                <w:spacing w:val="-2"/>
                <w:kern w:val="0"/>
                <w:sz w:val="24"/>
                <w:szCs w:val="24"/>
                <w:highlight w:val="none"/>
              </w:rPr>
              <w:t>为</w:t>
            </w:r>
            <w:r>
              <w:rPr>
                <w:rFonts w:hint="default" w:ascii="Times New Roman" w:hAnsi="Times New Roman" w:eastAsia="宋体" w:cs="Times New Roman"/>
                <w:bCs/>
                <w:color w:val="auto"/>
                <w:spacing w:val="-2"/>
                <w:kern w:val="0"/>
                <w:sz w:val="24"/>
                <w:szCs w:val="24"/>
                <w:highlight w:val="none"/>
              </w:rPr>
              <w:t>主要目标。通过采取如下措施：1）优化产业结构，促进产业绿色低碳升级（坚决遏制高耗能、高排放、低水平项目盲目上马；加快退出重点行业落后产能；推进园区、产业集群绿色低碳化改造与综合整治；优化含VOCs原辅材料和产品结构）；2）优化能源结构，加快能源清洁低碳高效发展（大力发展新能源和清洁能源；严格合理控制煤炭消费总量；持续降低重点领域能耗强度；推进燃煤锅炉关停整合和工业炉窑清洁能源替代）；3）优化交通结构，大力发展绿色运输体系（持续优化调整货物运输结构；加快提升机动车清洁化水平；强化非道路移动源综合治理）；4）强化面源污染治理，提升精细化管理水平（加强扬尘精细化管控；加强秸秆综合利用和焚烧；加强烟花爆竹禁放管理）；5）强化多污染物减排，切实降低排放强度（强化VOCs全流程、全环节综合治理；推进重点行业超低排放与提标改造；开展餐饮油烟、恶臭异味专项治理；稳步推进大气氨污染防控）；6）加强机制建设，完善大气环境管理体系（实施区域联防联控和城市空气质量达标管理；完善重污染天气应对机制）；7）加强能力建设，严格执法监督（加强监测和执法监管能力建设；加强决策科技支撑）；8）健全标准规范体系，完善环境经济政策（强化标准引领；积极发挥财政金融引导作用）；9）落实各方责任，开展全民行动（加强组织领导；严格监督考核；实施全民行动）等。采取以上措施后，大气环境质量状况可以得到持续改善。</w:t>
            </w:r>
          </w:p>
          <w:p w14:paraId="72F1C890">
            <w:pPr>
              <w:keepNext w:val="0"/>
              <w:keepLines w:val="0"/>
              <w:pageBreakBefore w:val="0"/>
              <w:suppressLineNumbers w:val="0"/>
              <w:kinsoku/>
              <w:wordWrap/>
              <w:overflowPunct/>
              <w:topLinePunct w:val="0"/>
              <w:bidi w:val="0"/>
              <w:spacing w:before="0" w:beforeAutospacing="0" w:afterAutospacing="0" w:line="360" w:lineRule="auto"/>
              <w:ind w:left="0" w:right="0" w:firstLine="474" w:firstLineChars="200"/>
              <w:rPr>
                <w:rFonts w:hint="default" w:ascii="Times New Roman" w:hAnsi="Times New Roman" w:eastAsia="宋体" w:cs="Times New Roman"/>
                <w:color w:val="auto"/>
                <w:spacing w:val="-2"/>
                <w:kern w:val="0"/>
                <w:sz w:val="24"/>
                <w:highlight w:val="none"/>
              </w:rPr>
            </w:pPr>
            <w:r>
              <w:rPr>
                <w:rFonts w:hint="default" w:ascii="Times New Roman" w:hAnsi="Times New Roman" w:eastAsia="宋体" w:cs="Times New Roman"/>
                <w:b/>
                <w:color w:val="auto"/>
                <w:spacing w:val="-2"/>
                <w:kern w:val="0"/>
                <w:sz w:val="24"/>
                <w:szCs w:val="24"/>
                <w:highlight w:val="none"/>
              </w:rPr>
              <w:t>水质现状：</w:t>
            </w:r>
            <w:r>
              <w:rPr>
                <w:rFonts w:hint="default" w:ascii="Times New Roman" w:hAnsi="Times New Roman" w:eastAsia="宋体" w:cs="Times New Roman"/>
                <w:color w:val="auto"/>
                <w:spacing w:val="-2"/>
                <w:kern w:val="0"/>
                <w:sz w:val="24"/>
                <w:szCs w:val="24"/>
                <w:highlight w:val="none"/>
              </w:rPr>
              <w:t>根据《2025年度苏州市生态环境状况公报》，2025年，全市地表水环境质量稳中向好，国、省考断面水质优Ⅲ比例达到</w:t>
            </w:r>
            <w:r>
              <w:rPr>
                <w:rFonts w:hint="eastAsia" w:cs="Times New Roman"/>
                <w:color w:val="auto"/>
                <w:spacing w:val="-2"/>
                <w:kern w:val="0"/>
                <w:sz w:val="24"/>
                <w:szCs w:val="24"/>
                <w:highlight w:val="none"/>
                <w:lang w:eastAsia="zh-CN"/>
              </w:rPr>
              <w:t>“</w:t>
            </w:r>
            <w:r>
              <w:rPr>
                <w:rFonts w:hint="default" w:ascii="Times New Roman" w:hAnsi="Times New Roman" w:eastAsia="宋体" w:cs="Times New Roman"/>
                <w:color w:val="auto"/>
                <w:spacing w:val="-2"/>
                <w:kern w:val="0"/>
                <w:sz w:val="24"/>
                <w:szCs w:val="24"/>
                <w:highlight w:val="none"/>
              </w:rPr>
              <w:t>水十条</w:t>
            </w:r>
            <w:r>
              <w:rPr>
                <w:rFonts w:hint="eastAsia" w:cs="Times New Roman"/>
                <w:color w:val="auto"/>
                <w:spacing w:val="-2"/>
                <w:kern w:val="0"/>
                <w:sz w:val="24"/>
                <w:szCs w:val="24"/>
                <w:highlight w:val="none"/>
                <w:lang w:eastAsia="zh-CN"/>
              </w:rPr>
              <w:t>”</w:t>
            </w:r>
            <w:r>
              <w:rPr>
                <w:rFonts w:hint="default" w:ascii="Times New Roman" w:hAnsi="Times New Roman" w:eastAsia="宋体" w:cs="Times New Roman"/>
                <w:color w:val="auto"/>
                <w:spacing w:val="-2"/>
                <w:kern w:val="0"/>
                <w:sz w:val="24"/>
                <w:szCs w:val="24"/>
                <w:highlight w:val="none"/>
              </w:rPr>
              <w:t>考核以来最好成绩，太湖（苏州辖区）连续18年高水平实现安全度夏。饮用水水源地：根据《江苏省2024年水生态环境保护工作计划》（苏污防攻坚指办〔2024〕35号），全市共13个县级及以上城市集中式饮用水水源地，均为集中式供水。2025年取水总量约为15.24亿吨，主要取水水源长江和太湖取水量分别约占取水总量的31.9%和54.5%。依据《地表水环境质量标准》（GB 3838-2002）评价，水质均达到或优于</w:t>
            </w:r>
            <w:r>
              <w:rPr>
                <w:rFonts w:hint="default" w:ascii="Times New Roman" w:hAnsi="Times New Roman" w:eastAsia="微软雅黑" w:cs="Times New Roman"/>
                <w:color w:val="auto"/>
                <w:spacing w:val="-2"/>
                <w:kern w:val="0"/>
                <w:sz w:val="24"/>
                <w:szCs w:val="24"/>
                <w:highlight w:val="none"/>
              </w:rPr>
              <w:t>Ⅱ</w:t>
            </w:r>
            <w:r>
              <w:rPr>
                <w:rFonts w:hint="default" w:ascii="Times New Roman" w:hAnsi="Times New Roman" w:eastAsia="宋体" w:cs="Times New Roman"/>
                <w:color w:val="auto"/>
                <w:spacing w:val="-2"/>
                <w:kern w:val="0"/>
                <w:sz w:val="24"/>
                <w:szCs w:val="24"/>
                <w:highlight w:val="none"/>
              </w:rPr>
              <w:t>类标准，全部达到考核目标要求。国考断面：2025年，纳入</w:t>
            </w:r>
            <w:r>
              <w:rPr>
                <w:rFonts w:hint="eastAsia" w:cs="Times New Roman"/>
                <w:color w:val="auto"/>
                <w:spacing w:val="-2"/>
                <w:kern w:val="0"/>
                <w:sz w:val="24"/>
                <w:szCs w:val="24"/>
                <w:highlight w:val="none"/>
                <w:lang w:eastAsia="zh-CN"/>
              </w:rPr>
              <w:t>“</w:t>
            </w:r>
            <w:r>
              <w:rPr>
                <w:rFonts w:hint="default" w:ascii="Times New Roman" w:hAnsi="Times New Roman" w:eastAsia="宋体" w:cs="Times New Roman"/>
                <w:color w:val="auto"/>
                <w:spacing w:val="-2"/>
                <w:kern w:val="0"/>
                <w:sz w:val="24"/>
                <w:szCs w:val="24"/>
                <w:highlight w:val="none"/>
              </w:rPr>
              <w:t>十四五</w:t>
            </w:r>
            <w:r>
              <w:rPr>
                <w:rFonts w:hint="eastAsia" w:cs="Times New Roman"/>
                <w:color w:val="auto"/>
                <w:spacing w:val="-2"/>
                <w:kern w:val="0"/>
                <w:sz w:val="24"/>
                <w:szCs w:val="24"/>
                <w:highlight w:val="none"/>
                <w:lang w:eastAsia="zh-CN"/>
              </w:rPr>
              <w:t>”</w:t>
            </w:r>
            <w:r>
              <w:rPr>
                <w:rFonts w:hint="default" w:ascii="Times New Roman" w:hAnsi="Times New Roman" w:eastAsia="宋体" w:cs="Times New Roman"/>
                <w:color w:val="auto"/>
                <w:spacing w:val="-2"/>
                <w:kern w:val="0"/>
                <w:sz w:val="24"/>
                <w:szCs w:val="24"/>
                <w:highlight w:val="none"/>
              </w:rPr>
              <w:t>国家地表水环境质量考核的30个断面中，年均水质达到或优于《地表水环境质量标准》（GB 3838-2002）Ⅲ类标准的断面比例为96.7%，同比上升3.4个百分点，仅有1个湖泊断面为Ⅳ类。年均水质达到</w:t>
            </w:r>
            <w:r>
              <w:rPr>
                <w:rFonts w:hint="default" w:ascii="Times New Roman" w:hAnsi="Times New Roman" w:eastAsia="微软雅黑" w:cs="Times New Roman"/>
                <w:color w:val="auto"/>
                <w:spacing w:val="-2"/>
                <w:kern w:val="0"/>
                <w:sz w:val="24"/>
                <w:szCs w:val="24"/>
                <w:highlight w:val="none"/>
              </w:rPr>
              <w:t>Ⅱ</w:t>
            </w:r>
            <w:r>
              <w:rPr>
                <w:rFonts w:hint="default" w:ascii="Times New Roman" w:hAnsi="Times New Roman" w:eastAsia="宋体" w:cs="Times New Roman"/>
                <w:color w:val="auto"/>
                <w:spacing w:val="-2"/>
                <w:kern w:val="0"/>
                <w:sz w:val="24"/>
                <w:szCs w:val="24"/>
                <w:highlight w:val="none"/>
              </w:rPr>
              <w:t>类标准的断面比例为70%，同比上升6.7个百分点。省考断面：2025年，纳入江苏省</w:t>
            </w:r>
            <w:r>
              <w:rPr>
                <w:rFonts w:hint="eastAsia" w:cs="Times New Roman"/>
                <w:color w:val="auto"/>
                <w:spacing w:val="-2"/>
                <w:kern w:val="0"/>
                <w:sz w:val="24"/>
                <w:szCs w:val="24"/>
                <w:highlight w:val="none"/>
                <w:lang w:eastAsia="zh-CN"/>
              </w:rPr>
              <w:t>“</w:t>
            </w:r>
            <w:r>
              <w:rPr>
                <w:rFonts w:hint="default" w:ascii="Times New Roman" w:hAnsi="Times New Roman" w:eastAsia="宋体" w:cs="Times New Roman"/>
                <w:color w:val="auto"/>
                <w:spacing w:val="-2"/>
                <w:kern w:val="0"/>
                <w:sz w:val="24"/>
                <w:szCs w:val="24"/>
                <w:highlight w:val="none"/>
              </w:rPr>
              <w:t>十四五</w:t>
            </w:r>
            <w:r>
              <w:rPr>
                <w:rFonts w:hint="eastAsia" w:cs="Times New Roman"/>
                <w:color w:val="auto"/>
                <w:spacing w:val="-2"/>
                <w:kern w:val="0"/>
                <w:sz w:val="24"/>
                <w:szCs w:val="24"/>
                <w:highlight w:val="none"/>
                <w:lang w:eastAsia="zh-CN"/>
              </w:rPr>
              <w:t>”</w:t>
            </w:r>
            <w:r>
              <w:rPr>
                <w:rFonts w:hint="default" w:ascii="Times New Roman" w:hAnsi="Times New Roman" w:eastAsia="宋体" w:cs="Times New Roman"/>
                <w:color w:val="auto"/>
                <w:spacing w:val="-2"/>
                <w:kern w:val="0"/>
                <w:sz w:val="24"/>
                <w:szCs w:val="24"/>
                <w:highlight w:val="none"/>
              </w:rPr>
              <w:t>水环境质量考核的80个地表水断面（含国考断面）中，年均水质达到或优于《地表水环境质量标准》（GB 3838-2002）Ⅲ类标准的断面比例为98.8%，同比上升1.3个百分点，仅有1个湖泊断面为Ⅳ类。年均水质达到</w:t>
            </w:r>
            <w:r>
              <w:rPr>
                <w:rFonts w:hint="default" w:ascii="Times New Roman" w:hAnsi="Times New Roman" w:eastAsia="微软雅黑" w:cs="Times New Roman"/>
                <w:color w:val="auto"/>
                <w:spacing w:val="-2"/>
                <w:kern w:val="0"/>
                <w:sz w:val="24"/>
                <w:szCs w:val="24"/>
                <w:highlight w:val="none"/>
              </w:rPr>
              <w:t>Ⅱ</w:t>
            </w:r>
            <w:r>
              <w:rPr>
                <w:rFonts w:hint="default" w:ascii="Times New Roman" w:hAnsi="Times New Roman" w:eastAsia="宋体" w:cs="Times New Roman"/>
                <w:color w:val="auto"/>
                <w:spacing w:val="-2"/>
                <w:kern w:val="0"/>
                <w:sz w:val="24"/>
                <w:szCs w:val="24"/>
                <w:highlight w:val="none"/>
              </w:rPr>
              <w:t>类标准的断面比例为73.8%，同比上升5.0个百分点。长江干流（苏州段）及主要通江河流：2025年，长江干流（苏州段）各断面水质均达</w:t>
            </w:r>
            <w:r>
              <w:rPr>
                <w:rFonts w:hint="default" w:ascii="Times New Roman" w:hAnsi="Times New Roman" w:eastAsia="微软雅黑" w:cs="Times New Roman"/>
                <w:color w:val="auto"/>
                <w:spacing w:val="-2"/>
                <w:kern w:val="0"/>
                <w:sz w:val="24"/>
                <w:szCs w:val="24"/>
                <w:highlight w:val="none"/>
              </w:rPr>
              <w:t>Ⅱ</w:t>
            </w:r>
            <w:r>
              <w:rPr>
                <w:rFonts w:hint="default" w:ascii="Times New Roman" w:hAnsi="Times New Roman" w:eastAsia="宋体" w:cs="Times New Roman"/>
                <w:color w:val="auto"/>
                <w:spacing w:val="-2"/>
                <w:kern w:val="0"/>
                <w:sz w:val="24"/>
                <w:szCs w:val="24"/>
                <w:highlight w:val="none"/>
              </w:rPr>
              <w:t>类，同比持平。主要通江河道水质均达到或优于Ⅲ类，同比持平，</w:t>
            </w:r>
            <w:r>
              <w:rPr>
                <w:rFonts w:hint="default" w:ascii="Times New Roman" w:hAnsi="Times New Roman" w:eastAsia="微软雅黑" w:cs="Times New Roman"/>
                <w:color w:val="auto"/>
                <w:spacing w:val="-2"/>
                <w:kern w:val="0"/>
                <w:sz w:val="24"/>
                <w:szCs w:val="24"/>
                <w:highlight w:val="none"/>
              </w:rPr>
              <w:t>Ⅱ</w:t>
            </w:r>
            <w:r>
              <w:rPr>
                <w:rFonts w:hint="default" w:ascii="Times New Roman" w:hAnsi="Times New Roman" w:eastAsia="宋体" w:cs="Times New Roman"/>
                <w:color w:val="auto"/>
                <w:spacing w:val="-2"/>
                <w:kern w:val="0"/>
                <w:sz w:val="24"/>
                <w:szCs w:val="24"/>
                <w:highlight w:val="none"/>
              </w:rPr>
              <w:t>类水体断面26个，同比增加3个。太湖（苏州辖区）：2025年，太湖（苏州辖区）总体水质为</w:t>
            </w:r>
            <w:r>
              <w:rPr>
                <w:rFonts w:hint="default" w:ascii="Times New Roman" w:hAnsi="Times New Roman" w:eastAsia="微软雅黑" w:cs="Times New Roman"/>
                <w:color w:val="auto"/>
                <w:spacing w:val="-2"/>
                <w:kern w:val="0"/>
                <w:sz w:val="24"/>
                <w:szCs w:val="24"/>
                <w:highlight w:val="none"/>
              </w:rPr>
              <w:t>Ⅱ</w:t>
            </w:r>
            <w:r>
              <w:rPr>
                <w:rFonts w:hint="default" w:ascii="Times New Roman" w:hAnsi="Times New Roman" w:eastAsia="宋体" w:cs="Times New Roman"/>
                <w:color w:val="auto"/>
                <w:spacing w:val="-2"/>
                <w:kern w:val="0"/>
                <w:sz w:val="24"/>
                <w:szCs w:val="24"/>
                <w:highlight w:val="none"/>
              </w:rPr>
              <w:t>类。湖体高锰酸盐指数和氨氮平均浓度分别为2.54毫克/升和0.035毫克/升，保持在</w:t>
            </w:r>
            <w:r>
              <w:rPr>
                <w:rFonts w:hint="default" w:ascii="Times New Roman" w:hAnsi="Times New Roman" w:eastAsia="微软雅黑" w:cs="Times New Roman"/>
                <w:color w:val="auto"/>
                <w:spacing w:val="-2"/>
                <w:kern w:val="0"/>
                <w:sz w:val="24"/>
                <w:szCs w:val="24"/>
                <w:highlight w:val="none"/>
              </w:rPr>
              <w:t>Ⅱ</w:t>
            </w:r>
            <w:r>
              <w:rPr>
                <w:rFonts w:hint="default" w:ascii="Times New Roman" w:hAnsi="Times New Roman" w:eastAsia="宋体" w:cs="Times New Roman"/>
                <w:color w:val="auto"/>
                <w:spacing w:val="-2"/>
                <w:kern w:val="0"/>
                <w:sz w:val="24"/>
                <w:szCs w:val="24"/>
                <w:highlight w:val="none"/>
              </w:rPr>
              <w:t>类和I类；总磷平均浓度为0.036毫克/升，同比改善14.3%；总氮平均浓度为0.84毫克/升，同比改善31.1%；水质连续三年稳定达到</w:t>
            </w:r>
            <w:r>
              <w:rPr>
                <w:rFonts w:hint="default" w:ascii="Times New Roman" w:hAnsi="Times New Roman" w:eastAsia="微软雅黑" w:cs="Times New Roman"/>
                <w:color w:val="auto"/>
                <w:spacing w:val="-2"/>
                <w:kern w:val="0"/>
                <w:sz w:val="24"/>
                <w:szCs w:val="24"/>
                <w:highlight w:val="none"/>
              </w:rPr>
              <w:t>Ⅱ</w:t>
            </w:r>
            <w:r>
              <w:rPr>
                <w:rFonts w:hint="default" w:ascii="Times New Roman" w:hAnsi="Times New Roman" w:eastAsia="宋体" w:cs="Times New Roman"/>
                <w:color w:val="auto"/>
                <w:spacing w:val="-2"/>
                <w:kern w:val="0"/>
                <w:sz w:val="24"/>
                <w:szCs w:val="24"/>
                <w:highlight w:val="none"/>
              </w:rPr>
              <w:t>类，为监测以来最优水平；综合营养状态指数为48.3，处于中营养状态。主要入湖河流望虞河水质稳定达到</w:t>
            </w:r>
            <w:r>
              <w:rPr>
                <w:rFonts w:hint="default" w:ascii="Times New Roman" w:hAnsi="Times New Roman" w:eastAsia="微软雅黑" w:cs="Times New Roman"/>
                <w:color w:val="auto"/>
                <w:spacing w:val="-2"/>
                <w:kern w:val="0"/>
                <w:sz w:val="24"/>
                <w:szCs w:val="24"/>
                <w:highlight w:val="none"/>
              </w:rPr>
              <w:t>Ⅱ</w:t>
            </w:r>
            <w:r>
              <w:rPr>
                <w:rFonts w:hint="default" w:ascii="Times New Roman" w:hAnsi="Times New Roman" w:eastAsia="宋体" w:cs="Times New Roman"/>
                <w:color w:val="auto"/>
                <w:spacing w:val="-2"/>
                <w:kern w:val="0"/>
                <w:sz w:val="24"/>
                <w:szCs w:val="24"/>
                <w:highlight w:val="none"/>
              </w:rPr>
              <w:t>类。2025年3月至10月安全度夏期间，通过卫星遥感监测发现太湖（苏州辖区）共计出现蓝藻水华54次，同比增加14次，平均面积28平方千米，与2024年相比，平均发生面积上升28.4%。阳澄湖：2025年，国考断面阳澄湖心水质保持Ⅲ类。高锰酸盐指数和氨氮平均浓度为3.6毫克/升和0.02毫克/升，保持在</w:t>
            </w:r>
            <w:r>
              <w:rPr>
                <w:rFonts w:hint="default" w:ascii="Times New Roman" w:hAnsi="Times New Roman" w:eastAsia="微软雅黑" w:cs="Times New Roman"/>
                <w:color w:val="auto"/>
                <w:spacing w:val="-2"/>
                <w:kern w:val="0"/>
                <w:sz w:val="24"/>
                <w:szCs w:val="24"/>
                <w:highlight w:val="none"/>
              </w:rPr>
              <w:t>Ⅱ</w:t>
            </w:r>
            <w:r>
              <w:rPr>
                <w:rFonts w:hint="default" w:ascii="Times New Roman" w:hAnsi="Times New Roman" w:eastAsia="宋体" w:cs="Times New Roman"/>
                <w:color w:val="auto"/>
                <w:spacing w:val="-2"/>
                <w:kern w:val="0"/>
                <w:sz w:val="24"/>
                <w:szCs w:val="24"/>
                <w:highlight w:val="none"/>
              </w:rPr>
              <w:t>类和I类；总磷平均浓度为0.048毫克/升，保持在Ⅲ类；总氮平均浓度为1.62毫克/升；综合营养状态指数为54.1，处于轻度富营养状态。京杭大运河（苏州段）：2025年，京杭大运河(苏州段)沿线5个省考及以上监测断面水质均达到Ⅲ类，同比持平。</w:t>
            </w:r>
          </w:p>
          <w:p w14:paraId="170E336A">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74" w:firstLineChars="200"/>
              <w:jc w:val="both"/>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b/>
                <w:color w:val="auto"/>
                <w:spacing w:val="-2"/>
                <w:kern w:val="0"/>
                <w:sz w:val="24"/>
                <w:szCs w:val="24"/>
                <w:highlight w:val="none"/>
              </w:rPr>
              <w:t>声环境现状：</w:t>
            </w:r>
            <w:r>
              <w:rPr>
                <w:rFonts w:hint="default" w:ascii="Times New Roman" w:hAnsi="Times New Roman" w:eastAsia="宋体" w:cs="Times New Roman"/>
                <w:bCs/>
                <w:color w:val="auto"/>
                <w:spacing w:val="-2"/>
                <w:kern w:val="0"/>
                <w:sz w:val="24"/>
                <w:szCs w:val="24"/>
                <w:highlight w:val="none"/>
              </w:rPr>
              <w:t>根据</w:t>
            </w:r>
            <w:r>
              <w:rPr>
                <w:rFonts w:hint="default" w:ascii="Times New Roman" w:hAnsi="Times New Roman" w:eastAsia="宋体" w:cs="Times New Roman"/>
                <w:color w:val="auto"/>
                <w:spacing w:val="-2"/>
                <w:kern w:val="0"/>
                <w:sz w:val="24"/>
                <w:szCs w:val="24"/>
                <w:highlight w:val="none"/>
              </w:rPr>
              <w:t>《2025年度苏州市生态环境状况公报》</w:t>
            </w:r>
            <w:r>
              <w:rPr>
                <w:rFonts w:hint="default" w:ascii="Times New Roman" w:hAnsi="Times New Roman" w:eastAsia="宋体" w:cs="Times New Roman"/>
                <w:bCs/>
                <w:color w:val="auto"/>
                <w:spacing w:val="-2"/>
                <w:kern w:val="0"/>
                <w:sz w:val="24"/>
                <w:szCs w:val="24"/>
                <w:highlight w:val="none"/>
              </w:rPr>
              <w:t>，2025年，全市声环境质量总体保持稳定。全市昼间区域声环境质量和道路交通声环境质量略有下降。区域声环境：2025年，全市昼间区域噪声平均等效声级为54.8dB(A)，同比上升0.1dB(A)，处于区域环境噪声二级（较好）水平，评价同比持平。各地昼间噪声平均等效声级介于54.0~56.0dB(A)。影响全市昼间城市区域声环境质量的主要声源是社会生活噪声，所占比例达61.4%；其余依次为交通噪声、工业噪声和施工噪声，所占比例分别为25.8%、10.7%和2.1%。功能区声环境：依据《声环境质量标准》（GB 3096-2008）评价，2025年，苏州市区功能区声环境昼间、夜间平均达标率分别为94.3%和84.9%。4个县级市功能区声环境昼间、夜间达标率分别为98.0%和94.1%。苏州市区1~4a类功能区声环境昼间达标率分别为85.0%、93.6%、96.5%和99.3%，夜间达标率分别为43.1%、86.0%、93.3%和94.1%。4个县级市1~4a类功能区声环境昼间达标率分别为87.5%、100%、100%和100%，夜间达标率分别为79.2%、94.1%、100%和100%。道路交通声环境：2025年，全市昼间道路交通噪声平均等效声级为66.5dB(A)，同比上升0.2dB(A)，交通噪声强度为一级，昼间道路交通声环境质量为好。监测路段中共有150.0千米的路段平均等效声级超出道路交通噪声强度昼间二级限值70.0dB(A)，占监测总路长的14.6%，同比下降0.8个百分点</w:t>
            </w:r>
            <w:r>
              <w:rPr>
                <w:rFonts w:hint="eastAsia" w:ascii="Times New Roman" w:hAnsi="Times New Roman" w:cs="Times New Roman"/>
                <w:color w:val="auto"/>
                <w:sz w:val="24"/>
                <w:szCs w:val="24"/>
                <w:highlight w:val="none"/>
                <w:lang w:eastAsia="zh-CN"/>
              </w:rPr>
              <w:t>。</w:t>
            </w:r>
          </w:p>
          <w:p w14:paraId="6B58A634">
            <w:pPr>
              <w:autoSpaceDE w:val="0"/>
              <w:autoSpaceDN w:val="0"/>
              <w:adjustRightInd w:val="0"/>
              <w:snapToGrid w:val="0"/>
              <w:spacing w:line="360" w:lineRule="auto"/>
              <w:ind w:firstLine="482"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本项目</w:t>
            </w:r>
            <w:r>
              <w:rPr>
                <w:rFonts w:hint="eastAsia" w:cs="Times New Roman"/>
                <w:b w:val="0"/>
                <w:bCs w:val="0"/>
                <w:color w:val="auto"/>
                <w:sz w:val="24"/>
                <w:szCs w:val="24"/>
                <w:highlight w:val="none"/>
                <w:lang w:val="en-US" w:eastAsia="zh-CN"/>
              </w:rPr>
              <w:t>机加工废气经油雾净化装置处理后在车间无组织排放</w:t>
            </w:r>
            <w:r>
              <w:rPr>
                <w:rFonts w:hint="default" w:ascii="Times New Roman" w:hAnsi="Times New Roman" w:eastAsia="宋体" w:cs="Times New Roman"/>
                <w:color w:val="auto"/>
                <w:sz w:val="24"/>
                <w:szCs w:val="24"/>
                <w:highlight w:val="none"/>
              </w:rPr>
              <w:t>；项目</w:t>
            </w:r>
            <w:r>
              <w:rPr>
                <w:rFonts w:hint="eastAsia" w:ascii="Times New Roman" w:hAnsi="Times New Roman" w:eastAsia="宋体" w:cs="Times New Roman"/>
                <w:color w:val="auto"/>
                <w:sz w:val="24"/>
                <w:szCs w:val="24"/>
                <w:highlight w:val="none"/>
                <w:lang w:val="en-US" w:eastAsia="zh-CN"/>
              </w:rPr>
              <w:t>生活污水</w:t>
            </w:r>
            <w:r>
              <w:rPr>
                <w:rFonts w:hint="eastAsia" w:cs="Times New Roman"/>
                <w:color w:val="auto"/>
                <w:sz w:val="24"/>
                <w:szCs w:val="24"/>
                <w:highlight w:val="none"/>
                <w:lang w:val="en-US" w:eastAsia="zh-CN"/>
              </w:rPr>
              <w:t>经</w:t>
            </w:r>
            <w:r>
              <w:rPr>
                <w:rFonts w:hint="eastAsia" w:ascii="Times New Roman" w:hAnsi="Times New Roman" w:eastAsia="宋体" w:cs="Times New Roman"/>
                <w:color w:val="auto"/>
                <w:sz w:val="24"/>
                <w:szCs w:val="24"/>
                <w:highlight w:val="none"/>
                <w:lang w:val="en-US" w:eastAsia="zh-CN"/>
              </w:rPr>
              <w:t>市政污水管网接入</w:t>
            </w:r>
            <w:r>
              <w:rPr>
                <w:rFonts w:hint="eastAsia" w:cs="Times New Roman"/>
                <w:color w:val="auto"/>
                <w:sz w:val="24"/>
                <w:szCs w:val="24"/>
                <w:highlight w:val="none"/>
                <w:lang w:val="en-US" w:eastAsia="zh-CN"/>
              </w:rPr>
              <w:t>苏州市相润排水管理有限公司（漕湖污水处理厂）</w:t>
            </w:r>
            <w:r>
              <w:rPr>
                <w:rFonts w:hint="eastAsia" w:ascii="Times New Roman" w:hAnsi="Times New Roman" w:eastAsia="宋体" w:cs="Times New Roman"/>
                <w:color w:val="auto"/>
                <w:sz w:val="24"/>
                <w:szCs w:val="24"/>
                <w:highlight w:val="none"/>
                <w:lang w:val="en-US" w:eastAsia="zh-CN"/>
              </w:rPr>
              <w:t>集中处理</w:t>
            </w:r>
            <w:r>
              <w:rPr>
                <w:rFonts w:hint="default" w:ascii="Times New Roman" w:hAnsi="Times New Roman" w:eastAsia="宋体" w:cs="Times New Roman"/>
                <w:color w:val="auto"/>
                <w:sz w:val="24"/>
                <w:szCs w:val="24"/>
                <w:highlight w:val="none"/>
              </w:rPr>
              <w:t>；厂区噪声均可达标排放；固废均得到合理处置；对周围环境的影响可接受，不会改变项目所在地的环境质量现状，满足环境质量底线要求。</w:t>
            </w:r>
          </w:p>
          <w:p w14:paraId="3D212BCD">
            <w:pPr>
              <w:autoSpaceDE w:val="0"/>
              <w:autoSpaceDN w:val="0"/>
              <w:adjustRightInd w:val="0"/>
              <w:snapToGrid w:val="0"/>
              <w:spacing w:line="360" w:lineRule="auto"/>
              <w:jc w:val="left"/>
              <w:rPr>
                <w:rFonts w:hint="default" w:ascii="Times New Roman" w:hAnsi="Times New Roman" w:eastAsia="宋体" w:cs="Times New Roman"/>
                <w:b/>
                <w:color w:val="auto"/>
                <w:kern w:val="0"/>
                <w:sz w:val="24"/>
                <w:szCs w:val="24"/>
                <w:highlight w:val="none"/>
              </w:rPr>
            </w:pPr>
            <w:r>
              <w:rPr>
                <w:rFonts w:hint="eastAsia" w:cs="Times New Roman"/>
                <w:b/>
                <w:color w:val="auto"/>
                <w:kern w:val="0"/>
                <w:sz w:val="24"/>
                <w:szCs w:val="24"/>
                <w:highlight w:val="none"/>
                <w:lang w:val="en-US" w:eastAsia="zh-CN"/>
              </w:rPr>
              <w:t>5</w:t>
            </w:r>
            <w:r>
              <w:rPr>
                <w:rFonts w:hint="default" w:ascii="Times New Roman" w:hAnsi="Times New Roman" w:eastAsia="宋体" w:cs="Times New Roman"/>
                <w:b/>
                <w:color w:val="auto"/>
                <w:kern w:val="0"/>
                <w:sz w:val="24"/>
                <w:szCs w:val="24"/>
                <w:highlight w:val="none"/>
              </w:rPr>
              <w:t xml:space="preserve">.3 </w:t>
            </w:r>
            <w:r>
              <w:rPr>
                <w:rFonts w:hint="eastAsia" w:ascii="宋体" w:hAnsi="宋体" w:eastAsia="宋体" w:cs="宋体"/>
                <w:b/>
                <w:color w:val="auto"/>
                <w:kern w:val="0"/>
                <w:sz w:val="24"/>
                <w:szCs w:val="24"/>
                <w:highlight w:val="none"/>
              </w:rPr>
              <w:t xml:space="preserve"> </w:t>
            </w:r>
            <w:r>
              <w:rPr>
                <w:rFonts w:hint="eastAsia" w:ascii="宋体" w:hAnsi="宋体" w:cs="宋体"/>
                <w:b/>
                <w:color w:val="auto"/>
                <w:kern w:val="0"/>
                <w:sz w:val="24"/>
                <w:szCs w:val="24"/>
                <w:highlight w:val="none"/>
                <w:lang w:eastAsia="zh-CN"/>
              </w:rPr>
              <w:t>“</w:t>
            </w:r>
            <w:r>
              <w:rPr>
                <w:rFonts w:hint="eastAsia" w:ascii="宋体" w:hAnsi="宋体" w:eastAsia="宋体" w:cs="宋体"/>
                <w:b/>
                <w:color w:val="auto"/>
                <w:kern w:val="0"/>
                <w:sz w:val="24"/>
                <w:szCs w:val="24"/>
                <w:highlight w:val="none"/>
              </w:rPr>
              <w:t>资源利用上线</w:t>
            </w:r>
            <w:r>
              <w:rPr>
                <w:rFonts w:hint="eastAsia" w:ascii="宋体" w:hAnsi="宋体" w:cs="宋体"/>
                <w:b/>
                <w:color w:val="auto"/>
                <w:kern w:val="0"/>
                <w:sz w:val="24"/>
                <w:szCs w:val="24"/>
                <w:highlight w:val="none"/>
                <w:lang w:eastAsia="zh-CN"/>
              </w:rPr>
              <w:t>”</w:t>
            </w:r>
            <w:r>
              <w:rPr>
                <w:rFonts w:hint="default" w:ascii="Times New Roman" w:hAnsi="Times New Roman" w:eastAsia="宋体" w:cs="Times New Roman"/>
                <w:b/>
                <w:color w:val="auto"/>
                <w:kern w:val="0"/>
                <w:sz w:val="24"/>
                <w:szCs w:val="24"/>
                <w:highlight w:val="none"/>
              </w:rPr>
              <w:t>符合性分析</w:t>
            </w:r>
          </w:p>
          <w:p w14:paraId="6EBA45BD">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本项目运营过程中将消耗一定量的电源、水资源，项目资源消耗量相对区域资源利用总量较少，符合资源利用上线要求。</w:t>
            </w:r>
          </w:p>
          <w:p w14:paraId="32BE93B6">
            <w:pPr>
              <w:autoSpaceDE w:val="0"/>
              <w:autoSpaceDN w:val="0"/>
              <w:adjustRightInd w:val="0"/>
              <w:snapToGrid w:val="0"/>
              <w:spacing w:line="360" w:lineRule="auto"/>
              <w:jc w:val="left"/>
              <w:rPr>
                <w:b/>
                <w:color w:val="auto"/>
                <w:kern w:val="0"/>
                <w:sz w:val="24"/>
                <w:szCs w:val="24"/>
                <w:highlight w:val="none"/>
              </w:rPr>
            </w:pPr>
            <w:r>
              <w:rPr>
                <w:rFonts w:hint="eastAsia"/>
                <w:b/>
                <w:color w:val="auto"/>
                <w:kern w:val="0"/>
                <w:sz w:val="24"/>
                <w:szCs w:val="24"/>
                <w:highlight w:val="none"/>
                <w:lang w:val="en-US" w:eastAsia="zh-CN"/>
              </w:rPr>
              <w:t>5</w:t>
            </w:r>
            <w:r>
              <w:rPr>
                <w:b/>
                <w:color w:val="auto"/>
                <w:kern w:val="0"/>
                <w:sz w:val="24"/>
                <w:szCs w:val="24"/>
                <w:highlight w:val="none"/>
              </w:rPr>
              <w:t xml:space="preserve">.4  </w:t>
            </w:r>
            <w:r>
              <w:rPr>
                <w:rFonts w:hint="eastAsia" w:ascii="宋体" w:hAnsi="宋体" w:cs="宋体"/>
                <w:b/>
                <w:color w:val="auto"/>
                <w:kern w:val="0"/>
                <w:sz w:val="24"/>
                <w:szCs w:val="24"/>
                <w:highlight w:val="none"/>
                <w:lang w:eastAsia="zh-CN"/>
              </w:rPr>
              <w:t>“</w:t>
            </w:r>
            <w:r>
              <w:rPr>
                <w:rFonts w:hint="eastAsia" w:ascii="宋体" w:hAnsi="宋体" w:eastAsia="宋体" w:cs="宋体"/>
                <w:b/>
                <w:color w:val="auto"/>
                <w:kern w:val="0"/>
                <w:sz w:val="24"/>
                <w:szCs w:val="24"/>
                <w:highlight w:val="none"/>
              </w:rPr>
              <w:t>负面清单</w:t>
            </w:r>
            <w:r>
              <w:rPr>
                <w:rFonts w:hint="eastAsia" w:ascii="宋体" w:hAnsi="宋体" w:cs="宋体"/>
                <w:b/>
                <w:color w:val="auto"/>
                <w:kern w:val="0"/>
                <w:sz w:val="24"/>
                <w:szCs w:val="24"/>
                <w:highlight w:val="none"/>
                <w:lang w:eastAsia="zh-CN"/>
              </w:rPr>
              <w:t>”</w:t>
            </w:r>
            <w:r>
              <w:rPr>
                <w:rFonts w:hint="eastAsia" w:ascii="宋体" w:hAnsi="宋体" w:eastAsia="宋体" w:cs="宋体"/>
                <w:b/>
                <w:color w:val="auto"/>
                <w:kern w:val="0"/>
                <w:sz w:val="24"/>
                <w:szCs w:val="24"/>
                <w:highlight w:val="none"/>
              </w:rPr>
              <w:t>符</w:t>
            </w:r>
            <w:r>
              <w:rPr>
                <w:b/>
                <w:color w:val="auto"/>
                <w:kern w:val="0"/>
                <w:sz w:val="24"/>
                <w:szCs w:val="24"/>
                <w:highlight w:val="none"/>
              </w:rPr>
              <w:t>合性分析</w:t>
            </w:r>
          </w:p>
          <w:p w14:paraId="2862C126">
            <w:pPr>
              <w:spacing w:line="360" w:lineRule="auto"/>
              <w:ind w:firstLine="482" w:firstLineChars="200"/>
              <w:rPr>
                <w:b/>
                <w:color w:val="auto"/>
                <w:sz w:val="24"/>
                <w:szCs w:val="24"/>
                <w:highlight w:val="none"/>
              </w:rPr>
            </w:pPr>
            <w:r>
              <w:rPr>
                <w:rFonts w:hint="eastAsia"/>
                <w:b/>
                <w:color w:val="auto"/>
                <w:sz w:val="24"/>
                <w:szCs w:val="24"/>
                <w:highlight w:val="none"/>
              </w:rPr>
              <w:t>（</w:t>
            </w:r>
            <w:r>
              <w:rPr>
                <w:rFonts w:hint="eastAsia"/>
                <w:b/>
                <w:color w:val="auto"/>
                <w:sz w:val="24"/>
                <w:szCs w:val="24"/>
                <w:highlight w:val="none"/>
                <w:lang w:val="en-US" w:eastAsia="zh-CN"/>
              </w:rPr>
              <w:t>1</w:t>
            </w:r>
            <w:r>
              <w:rPr>
                <w:rFonts w:hint="eastAsia"/>
                <w:b/>
                <w:color w:val="auto"/>
                <w:sz w:val="24"/>
                <w:szCs w:val="24"/>
                <w:highlight w:val="none"/>
              </w:rPr>
              <w:t>）与《市场准入负面清单（20</w:t>
            </w:r>
            <w:r>
              <w:rPr>
                <w:b/>
                <w:color w:val="auto"/>
                <w:sz w:val="24"/>
                <w:szCs w:val="24"/>
                <w:highlight w:val="none"/>
              </w:rPr>
              <w:t>2</w:t>
            </w:r>
            <w:r>
              <w:rPr>
                <w:rFonts w:hint="eastAsia"/>
                <w:b/>
                <w:color w:val="auto"/>
                <w:sz w:val="24"/>
                <w:szCs w:val="24"/>
                <w:highlight w:val="none"/>
                <w:lang w:val="en-US" w:eastAsia="zh-CN"/>
              </w:rPr>
              <w:t>5</w:t>
            </w:r>
            <w:r>
              <w:rPr>
                <w:rFonts w:hint="eastAsia"/>
                <w:b/>
                <w:color w:val="auto"/>
                <w:sz w:val="24"/>
                <w:szCs w:val="24"/>
                <w:highlight w:val="none"/>
              </w:rPr>
              <w:t>年版）》相符性分析</w:t>
            </w:r>
          </w:p>
          <w:p w14:paraId="4A0974FE">
            <w:pPr>
              <w:spacing w:line="360" w:lineRule="auto"/>
              <w:ind w:firstLine="480" w:firstLineChars="200"/>
              <w:rPr>
                <w:rFonts w:hint="eastAsia"/>
                <w:color w:val="auto"/>
                <w:sz w:val="24"/>
                <w:szCs w:val="24"/>
                <w:highlight w:val="none"/>
              </w:rPr>
            </w:pPr>
            <w:r>
              <w:rPr>
                <w:rFonts w:hint="eastAsia"/>
                <w:color w:val="auto"/>
                <w:sz w:val="24"/>
                <w:szCs w:val="24"/>
                <w:highlight w:val="none"/>
              </w:rPr>
              <w:t>本项目为</w:t>
            </w:r>
            <w:r>
              <w:rPr>
                <w:rFonts w:hint="eastAsia"/>
                <w:color w:val="auto"/>
                <w:sz w:val="24"/>
                <w:szCs w:val="24"/>
                <w:highlight w:val="none"/>
                <w:lang w:val="en-US" w:eastAsia="zh-CN"/>
              </w:rPr>
              <w:t>C3311金属结构制造和C3741飞机制造</w:t>
            </w:r>
            <w:r>
              <w:rPr>
                <w:rFonts w:hint="eastAsia"/>
                <w:color w:val="auto"/>
                <w:sz w:val="24"/>
                <w:szCs w:val="24"/>
                <w:highlight w:val="none"/>
              </w:rPr>
              <w:t>，对照《市场准入负面清单（20</w:t>
            </w:r>
            <w:r>
              <w:rPr>
                <w:color w:val="auto"/>
                <w:sz w:val="24"/>
                <w:szCs w:val="24"/>
                <w:highlight w:val="none"/>
              </w:rPr>
              <w:t>2</w:t>
            </w:r>
            <w:r>
              <w:rPr>
                <w:rFonts w:hint="eastAsia"/>
                <w:color w:val="auto"/>
                <w:sz w:val="24"/>
                <w:szCs w:val="24"/>
                <w:highlight w:val="none"/>
                <w:lang w:val="en-US" w:eastAsia="zh-CN"/>
              </w:rPr>
              <w:t>5</w:t>
            </w:r>
            <w:r>
              <w:rPr>
                <w:rFonts w:hint="eastAsia"/>
                <w:color w:val="auto"/>
                <w:sz w:val="24"/>
                <w:szCs w:val="24"/>
                <w:highlight w:val="none"/>
              </w:rPr>
              <w:t>年版）》，不属于禁止准入、许可准入事项，符合《市场准入负面清单（20</w:t>
            </w:r>
            <w:r>
              <w:rPr>
                <w:color w:val="auto"/>
                <w:sz w:val="24"/>
                <w:szCs w:val="24"/>
                <w:highlight w:val="none"/>
              </w:rPr>
              <w:t>2</w:t>
            </w:r>
            <w:r>
              <w:rPr>
                <w:rFonts w:hint="eastAsia"/>
                <w:color w:val="auto"/>
                <w:sz w:val="24"/>
                <w:szCs w:val="24"/>
                <w:highlight w:val="none"/>
                <w:lang w:val="en-US" w:eastAsia="zh-CN"/>
              </w:rPr>
              <w:t>5</w:t>
            </w:r>
            <w:r>
              <w:rPr>
                <w:rFonts w:hint="eastAsia"/>
                <w:color w:val="auto"/>
                <w:sz w:val="24"/>
                <w:szCs w:val="24"/>
                <w:highlight w:val="none"/>
              </w:rPr>
              <w:t>年版）》相关要求。</w:t>
            </w:r>
          </w:p>
          <w:p w14:paraId="2C9021EB">
            <w:pPr>
              <w:spacing w:line="360" w:lineRule="auto"/>
              <w:ind w:firstLine="482" w:firstLineChars="200"/>
              <w:rPr>
                <w:b/>
                <w:color w:val="auto"/>
                <w:sz w:val="24"/>
                <w:szCs w:val="24"/>
                <w:highlight w:val="none"/>
              </w:rPr>
            </w:pPr>
            <w:r>
              <w:rPr>
                <w:rFonts w:hint="eastAsia"/>
                <w:b/>
                <w:color w:val="auto"/>
                <w:sz w:val="24"/>
                <w:szCs w:val="24"/>
                <w:highlight w:val="none"/>
              </w:rPr>
              <w:t>（</w:t>
            </w:r>
            <w:r>
              <w:rPr>
                <w:rFonts w:hint="eastAsia"/>
                <w:b/>
                <w:color w:val="auto"/>
                <w:sz w:val="24"/>
                <w:szCs w:val="24"/>
                <w:highlight w:val="none"/>
                <w:lang w:val="en-US" w:eastAsia="zh-CN"/>
              </w:rPr>
              <w:t>2</w:t>
            </w:r>
            <w:r>
              <w:rPr>
                <w:rFonts w:hint="eastAsia"/>
                <w:b/>
                <w:color w:val="auto"/>
                <w:sz w:val="24"/>
                <w:szCs w:val="24"/>
                <w:highlight w:val="none"/>
              </w:rPr>
              <w:t>）与《＜长江经济带发展负面清单指南</w:t>
            </w:r>
            <w:r>
              <w:rPr>
                <w:rFonts w:hint="eastAsia"/>
                <w:b/>
                <w:color w:val="auto"/>
                <w:sz w:val="24"/>
                <w:szCs w:val="24"/>
                <w:highlight w:val="none"/>
                <w:lang w:eastAsia="zh-CN"/>
              </w:rPr>
              <w:t>（</w:t>
            </w:r>
            <w:r>
              <w:rPr>
                <w:rFonts w:hint="eastAsia"/>
                <w:b/>
                <w:color w:val="auto"/>
                <w:sz w:val="24"/>
                <w:szCs w:val="24"/>
                <w:highlight w:val="none"/>
              </w:rPr>
              <w:t>试行，2022年版</w:t>
            </w:r>
            <w:r>
              <w:rPr>
                <w:rFonts w:hint="eastAsia"/>
                <w:b/>
                <w:color w:val="auto"/>
                <w:sz w:val="24"/>
                <w:szCs w:val="24"/>
                <w:highlight w:val="none"/>
                <w:lang w:eastAsia="zh-CN"/>
              </w:rPr>
              <w:t>）</w:t>
            </w:r>
            <w:r>
              <w:rPr>
                <w:rFonts w:hint="eastAsia"/>
                <w:b/>
                <w:color w:val="auto"/>
                <w:sz w:val="24"/>
                <w:szCs w:val="24"/>
                <w:highlight w:val="none"/>
              </w:rPr>
              <w:t>＞江苏省实施细则》（苏长江办发</w:t>
            </w:r>
            <w:r>
              <w:rPr>
                <w:rFonts w:hint="eastAsia"/>
                <w:b/>
                <w:color w:val="auto"/>
                <w:sz w:val="24"/>
                <w:szCs w:val="24"/>
                <w:highlight w:val="none"/>
                <w:lang w:eastAsia="zh-CN"/>
              </w:rPr>
              <w:t>〔2022〕55号</w:t>
            </w:r>
            <w:r>
              <w:rPr>
                <w:rFonts w:hint="eastAsia"/>
                <w:b/>
                <w:color w:val="auto"/>
                <w:sz w:val="24"/>
                <w:szCs w:val="24"/>
                <w:highlight w:val="none"/>
              </w:rPr>
              <w:t>）相符性分析</w:t>
            </w:r>
          </w:p>
          <w:p w14:paraId="21A00E8A">
            <w:pPr>
              <w:widowControl/>
              <w:numPr>
                <w:ilvl w:val="0"/>
                <w:numId w:val="3"/>
              </w:numPr>
              <w:ind w:left="210" w:leftChars="0" w:firstLine="0" w:firstLineChars="0"/>
              <w:jc w:val="center"/>
              <w:rPr>
                <w:rFonts w:hint="eastAsia" w:ascii="Times New Roman" w:hAnsi="Times New Roman" w:eastAsia="宋体" w:cs="Times New Roman"/>
                <w:b/>
                <w:color w:val="auto"/>
                <w:kern w:val="0"/>
                <w:sz w:val="24"/>
                <w:szCs w:val="24"/>
                <w:highlight w:val="none"/>
              </w:rPr>
            </w:pPr>
            <w:r>
              <w:rPr>
                <w:rFonts w:hint="eastAsia" w:ascii="Times New Roman" w:hAnsi="Times New Roman" w:eastAsia="宋体" w:cs="Times New Roman"/>
                <w:b/>
                <w:color w:val="auto"/>
                <w:kern w:val="0"/>
                <w:sz w:val="24"/>
                <w:szCs w:val="24"/>
                <w:highlight w:val="none"/>
              </w:rPr>
              <w:t>项目与《＜长江经济带发展负面清单指南</w:t>
            </w:r>
            <w:r>
              <w:rPr>
                <w:rFonts w:hint="eastAsia" w:ascii="Times New Roman" w:hAnsi="Times New Roman" w:eastAsia="宋体" w:cs="Times New Roman"/>
                <w:b/>
                <w:color w:val="auto"/>
                <w:kern w:val="0"/>
                <w:sz w:val="24"/>
                <w:szCs w:val="24"/>
                <w:highlight w:val="none"/>
                <w:lang w:eastAsia="zh-CN"/>
              </w:rPr>
              <w:t>（</w:t>
            </w:r>
            <w:r>
              <w:rPr>
                <w:rFonts w:hint="eastAsia" w:ascii="Times New Roman" w:hAnsi="Times New Roman" w:eastAsia="宋体" w:cs="Times New Roman"/>
                <w:b/>
                <w:color w:val="auto"/>
                <w:kern w:val="0"/>
                <w:sz w:val="24"/>
                <w:szCs w:val="24"/>
                <w:highlight w:val="none"/>
              </w:rPr>
              <w:t>试行，2022年版</w:t>
            </w:r>
            <w:r>
              <w:rPr>
                <w:rFonts w:hint="eastAsia" w:ascii="Times New Roman" w:hAnsi="Times New Roman" w:eastAsia="宋体" w:cs="Times New Roman"/>
                <w:b/>
                <w:color w:val="auto"/>
                <w:kern w:val="0"/>
                <w:sz w:val="24"/>
                <w:szCs w:val="24"/>
                <w:highlight w:val="none"/>
                <w:lang w:eastAsia="zh-CN"/>
              </w:rPr>
              <w:t>）</w:t>
            </w:r>
            <w:r>
              <w:rPr>
                <w:rFonts w:hint="eastAsia" w:ascii="Times New Roman" w:hAnsi="Times New Roman" w:eastAsia="宋体" w:cs="Times New Roman"/>
                <w:b/>
                <w:color w:val="auto"/>
                <w:kern w:val="0"/>
                <w:sz w:val="24"/>
                <w:szCs w:val="24"/>
                <w:highlight w:val="none"/>
              </w:rPr>
              <w:t>＞江苏省实施细则》（苏长江办发</w:t>
            </w:r>
            <w:r>
              <w:rPr>
                <w:rFonts w:hint="eastAsia" w:ascii="Times New Roman" w:hAnsi="Times New Roman" w:eastAsia="宋体" w:cs="Times New Roman"/>
                <w:b/>
                <w:color w:val="auto"/>
                <w:kern w:val="0"/>
                <w:sz w:val="24"/>
                <w:szCs w:val="24"/>
                <w:highlight w:val="none"/>
                <w:lang w:eastAsia="zh-CN"/>
              </w:rPr>
              <w:t>〔2022〕55号</w:t>
            </w:r>
            <w:r>
              <w:rPr>
                <w:rFonts w:hint="eastAsia" w:ascii="Times New Roman" w:hAnsi="Times New Roman" w:eastAsia="宋体" w:cs="Times New Roman"/>
                <w:b/>
                <w:color w:val="auto"/>
                <w:kern w:val="0"/>
                <w:sz w:val="24"/>
                <w:szCs w:val="24"/>
                <w:highlight w:val="none"/>
              </w:rPr>
              <w:t>）相符性分析</w:t>
            </w:r>
          </w:p>
          <w:tbl>
            <w:tblPr>
              <w:tblStyle w:val="22"/>
              <w:tblW w:w="902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40"/>
              <w:gridCol w:w="5545"/>
              <w:gridCol w:w="2104"/>
              <w:gridCol w:w="935"/>
            </w:tblGrid>
            <w:tr w14:paraId="291E8C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tblHeader/>
                <w:jc w:val="center"/>
              </w:trPr>
              <w:tc>
                <w:tcPr>
                  <w:tcW w:w="5985" w:type="dxa"/>
                  <w:gridSpan w:val="2"/>
                  <w:tcBorders>
                    <w:tl2br w:val="nil"/>
                    <w:tr2bl w:val="nil"/>
                  </w:tcBorders>
                  <w:vAlign w:val="center"/>
                </w:tcPr>
                <w:p w14:paraId="561BCA5B">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相关内容</w:t>
                  </w:r>
                </w:p>
              </w:tc>
              <w:tc>
                <w:tcPr>
                  <w:tcW w:w="2104" w:type="dxa"/>
                  <w:tcBorders>
                    <w:tl2br w:val="nil"/>
                    <w:tr2bl w:val="nil"/>
                  </w:tcBorders>
                  <w:vAlign w:val="center"/>
                </w:tcPr>
                <w:p w14:paraId="4BD64E86">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本项目情况</w:t>
                  </w:r>
                </w:p>
              </w:tc>
              <w:tc>
                <w:tcPr>
                  <w:tcW w:w="935" w:type="dxa"/>
                  <w:tcBorders>
                    <w:tl2br w:val="nil"/>
                    <w:tr2bl w:val="nil"/>
                  </w:tcBorders>
                  <w:vAlign w:val="center"/>
                </w:tcPr>
                <w:p w14:paraId="2FF8181A">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相符性</w:t>
                  </w:r>
                </w:p>
              </w:tc>
            </w:tr>
            <w:tr w14:paraId="1058E8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restart"/>
                  <w:tcBorders>
                    <w:tl2br w:val="nil"/>
                    <w:tr2bl w:val="nil"/>
                  </w:tcBorders>
                  <w:vAlign w:val="center"/>
                </w:tcPr>
                <w:p w14:paraId="5D20880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河段利用与岸线开发</w:t>
                  </w:r>
                </w:p>
              </w:tc>
              <w:tc>
                <w:tcPr>
                  <w:tcW w:w="5545" w:type="dxa"/>
                  <w:tcBorders>
                    <w:tl2br w:val="nil"/>
                    <w:tr2bl w:val="nil"/>
                  </w:tcBorders>
                  <w:vAlign w:val="center"/>
                </w:tcPr>
                <w:p w14:paraId="20A00A0B">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建设不符合国家港口布局规划和《江苏省沿江沿海港口布局规划（2015-2030年）》《江苏省内河港口布局规划（2017-2035年）》以及我省有关港口总体规划的码头项目，禁止建设未纳入《长江干线过江通道布局规划》的过长江通道项目</w:t>
                  </w:r>
                </w:p>
              </w:tc>
              <w:tc>
                <w:tcPr>
                  <w:tcW w:w="2104" w:type="dxa"/>
                  <w:tcBorders>
                    <w:tl2br w:val="nil"/>
                    <w:tr2bl w:val="nil"/>
                  </w:tcBorders>
                  <w:vAlign w:val="center"/>
                </w:tcPr>
                <w:p w14:paraId="35E4969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本项目不属于港口、码头项目及过长江通道项目</w:t>
                  </w:r>
                </w:p>
              </w:tc>
              <w:tc>
                <w:tcPr>
                  <w:tcW w:w="935" w:type="dxa"/>
                  <w:tcBorders>
                    <w:tl2br w:val="nil"/>
                    <w:tr2bl w:val="nil"/>
                  </w:tcBorders>
                  <w:vAlign w:val="center"/>
                </w:tcPr>
                <w:p w14:paraId="26AC66D9">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45C70C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4DABEFB7">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58F7768A">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严格执行《中华人民共和国自然保护区条例》，禁止在自然保护区核心区、缓冲区的岸线和河段范围内投资建设旅游和生产经营项目。严格执行《风景名胜区条例》《江苏省风景名胜区管理条例》，禁止在国家级和省级风景名胜区核心景区的岸线和河段范围内投资建设与风景名胜资源保护无关的项目。自然保护区、风景名胜区由省林业局会同有关方面界定并落实管控责任</w:t>
                  </w:r>
                </w:p>
              </w:tc>
              <w:tc>
                <w:tcPr>
                  <w:tcW w:w="2104" w:type="dxa"/>
                  <w:tcBorders>
                    <w:tl2br w:val="nil"/>
                    <w:tr2bl w:val="nil"/>
                  </w:tcBorders>
                  <w:vAlign w:val="center"/>
                </w:tcPr>
                <w:p w14:paraId="36EDE2E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本项目所在地无自然保护区和风景名胜区</w:t>
                  </w:r>
                </w:p>
              </w:tc>
              <w:tc>
                <w:tcPr>
                  <w:tcW w:w="935" w:type="dxa"/>
                  <w:tcBorders>
                    <w:tl2br w:val="nil"/>
                    <w:tr2bl w:val="nil"/>
                  </w:tcBorders>
                  <w:vAlign w:val="center"/>
                </w:tcPr>
                <w:p w14:paraId="5CCFFA3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694C9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7899F6EF">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61EB3051">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严格执行《中华人民共和国水污染防治法》《江苏省人民代表大会常务委员会关于加强饮用水源地保护的决定》《江苏省水污染防治条例》，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禁止在饮用水水源准保护区的岸线和河段范围内新建、扩建对水体污染严重的投资建设项目，改建项目应当消减排污量。饮用水水源一级保护区、二级保护区、准保护区由省生态环境厅会同水利等有关方面界定并落实管控责任</w:t>
                  </w:r>
                </w:p>
              </w:tc>
              <w:tc>
                <w:tcPr>
                  <w:tcW w:w="2104" w:type="dxa"/>
                  <w:tcBorders>
                    <w:tl2br w:val="nil"/>
                    <w:tr2bl w:val="nil"/>
                  </w:tcBorders>
                  <w:vAlign w:val="center"/>
                </w:tcPr>
                <w:p w14:paraId="0D9AEC79">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本项目所在地不属于饮用水水源一级保护区、二级保护区和准保护区</w:t>
                  </w:r>
                </w:p>
              </w:tc>
              <w:tc>
                <w:tcPr>
                  <w:tcW w:w="935" w:type="dxa"/>
                  <w:tcBorders>
                    <w:tl2br w:val="nil"/>
                    <w:tr2bl w:val="nil"/>
                  </w:tcBorders>
                  <w:vAlign w:val="center"/>
                </w:tcPr>
                <w:p w14:paraId="58993A58">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2F3F12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13E867A6">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55D3EE01">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严格执行《水产种质资源保护区管理暂行办法》，禁止在国家级和省级水产种质资源保护区的岸线和河段范围内新建围湖造田、围海造地或围填海等投资建设项目。严格执行《中华人民共和国湿地保护法》《江苏省湿地保护条例》，禁止在国家湿地公园的岸线和河段范围内挖沙、采矿，以及任何不符合主体功能定位的投资建设项目。水产种质资源保护区、国家湿地公园分别由省农业农村厅、省林业局会同有关方面界定并落实管控责任</w:t>
                  </w:r>
                </w:p>
              </w:tc>
              <w:tc>
                <w:tcPr>
                  <w:tcW w:w="2104" w:type="dxa"/>
                  <w:tcBorders>
                    <w:tl2br w:val="nil"/>
                    <w:tr2bl w:val="nil"/>
                  </w:tcBorders>
                  <w:vAlign w:val="center"/>
                </w:tcPr>
                <w:p w14:paraId="5EE9C3F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本项目所在地不在水产种质资源保护区的岸线和河段范围内，不在国家湿地公园的岸线和河段范围内</w:t>
                  </w:r>
                </w:p>
              </w:tc>
              <w:tc>
                <w:tcPr>
                  <w:tcW w:w="935" w:type="dxa"/>
                  <w:tcBorders>
                    <w:tl2br w:val="nil"/>
                    <w:tr2bl w:val="nil"/>
                  </w:tcBorders>
                  <w:vAlign w:val="center"/>
                </w:tcPr>
                <w:p w14:paraId="05F7B7BE">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4FD0F3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36E8BC71">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22DD35DA">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禁止违法利用、占用长江流域河湖岸线。禁止在《长江岸线保护和开发利用总体规划》划定的岸线保护区和保留区内投资建设除事关公共安全及公众利益的防洪护岸、河道治理</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供水、生态环境保护、航道整治、国家重要基础设施以外的项目。长江干支流基础设施项目应按照《长江岸线保护和开发利用总体规划》和生态环境保护、岸线保护等要求，按规定开展项目前期论证并办理相关手续。禁止在《全国重要江河湖泊水功能区划》划定的河段及湖泊保护区、保留区内投资建设不利于水资源及自然生态保护的项目</w:t>
                  </w:r>
                </w:p>
              </w:tc>
              <w:tc>
                <w:tcPr>
                  <w:tcW w:w="2104" w:type="dxa"/>
                  <w:tcBorders>
                    <w:tl2br w:val="nil"/>
                    <w:tr2bl w:val="nil"/>
                  </w:tcBorders>
                  <w:vAlign w:val="center"/>
                </w:tcPr>
                <w:p w14:paraId="646BF828">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本项目所在地不属于划定的岸线保护区和保留区，不属于划定的河段保护区、保留区</w:t>
                  </w:r>
                </w:p>
              </w:tc>
              <w:tc>
                <w:tcPr>
                  <w:tcW w:w="935" w:type="dxa"/>
                  <w:tcBorders>
                    <w:tl2br w:val="nil"/>
                    <w:tr2bl w:val="nil"/>
                  </w:tcBorders>
                  <w:vAlign w:val="center"/>
                </w:tcPr>
                <w:p w14:paraId="6B63DA2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64A90D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595ADCE6">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3B06DBA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禁止未经许可在长江干支流及湖泊新设、改设或扩大排污口</w:t>
                  </w:r>
                </w:p>
              </w:tc>
              <w:tc>
                <w:tcPr>
                  <w:tcW w:w="2104" w:type="dxa"/>
                  <w:tcBorders>
                    <w:tl2br w:val="nil"/>
                    <w:tr2bl w:val="nil"/>
                  </w:tcBorders>
                  <w:vAlign w:val="center"/>
                </w:tcPr>
                <w:p w14:paraId="185C1824">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本项目</w:t>
                  </w:r>
                  <w:r>
                    <w:rPr>
                      <w:rFonts w:hint="default" w:ascii="Times New Roman" w:hAnsi="Times New Roman" w:eastAsia="仿宋" w:cs="Times New Roman"/>
                      <w:color w:val="auto"/>
                      <w:sz w:val="21"/>
                      <w:szCs w:val="21"/>
                      <w:highlight w:val="none"/>
                      <w:lang w:val="en-US" w:eastAsia="zh-CN"/>
                    </w:rPr>
                    <w:t>生活污水纳</w:t>
                  </w:r>
                  <w:r>
                    <w:rPr>
                      <w:rFonts w:hint="eastAsia" w:ascii="Times New Roman" w:hAnsi="Times New Roman" w:eastAsia="仿宋" w:cs="Times New Roman"/>
                      <w:color w:val="auto"/>
                      <w:sz w:val="21"/>
                      <w:szCs w:val="21"/>
                      <w:highlight w:val="none"/>
                      <w:lang w:val="en-US" w:eastAsia="zh-CN"/>
                    </w:rPr>
                    <w:t>管</w:t>
                  </w:r>
                  <w:r>
                    <w:rPr>
                      <w:rFonts w:hint="default" w:ascii="Times New Roman" w:hAnsi="Times New Roman" w:eastAsia="仿宋" w:cs="Times New Roman"/>
                      <w:color w:val="auto"/>
                      <w:sz w:val="21"/>
                      <w:szCs w:val="21"/>
                      <w:highlight w:val="none"/>
                      <w:lang w:val="en-US" w:eastAsia="zh-CN"/>
                    </w:rPr>
                    <w:t>接入</w:t>
                  </w:r>
                  <w:r>
                    <w:rPr>
                      <w:rFonts w:hint="eastAsia" w:ascii="Times New Roman" w:hAnsi="Times New Roman" w:eastAsia="仿宋" w:cs="Times New Roman"/>
                      <w:color w:val="auto"/>
                      <w:sz w:val="21"/>
                      <w:szCs w:val="21"/>
                      <w:highlight w:val="none"/>
                      <w:lang w:eastAsia="zh-CN"/>
                    </w:rPr>
                    <w:t>苏州市相润排水管理有限公司（漕湖污水处理厂）</w:t>
                  </w:r>
                  <w:r>
                    <w:rPr>
                      <w:rFonts w:hint="default" w:ascii="Times New Roman" w:hAnsi="Times New Roman" w:eastAsia="仿宋" w:cs="Times New Roman"/>
                      <w:color w:val="auto"/>
                      <w:sz w:val="21"/>
                      <w:szCs w:val="21"/>
                      <w:highlight w:val="none"/>
                      <w:lang w:val="en-US" w:eastAsia="zh-CN"/>
                    </w:rPr>
                    <w:t>集中处理</w:t>
                  </w:r>
                </w:p>
              </w:tc>
              <w:tc>
                <w:tcPr>
                  <w:tcW w:w="935" w:type="dxa"/>
                  <w:tcBorders>
                    <w:tl2br w:val="nil"/>
                    <w:tr2bl w:val="nil"/>
                  </w:tcBorders>
                  <w:vAlign w:val="center"/>
                </w:tcPr>
                <w:p w14:paraId="65F7E448">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719923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restart"/>
                  <w:tcBorders>
                    <w:tl2br w:val="nil"/>
                    <w:tr2bl w:val="nil"/>
                  </w:tcBorders>
                  <w:vAlign w:val="center"/>
                </w:tcPr>
                <w:p w14:paraId="7284B1B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区域活动</w:t>
                  </w:r>
                </w:p>
              </w:tc>
              <w:tc>
                <w:tcPr>
                  <w:tcW w:w="5545" w:type="dxa"/>
                  <w:tcBorders>
                    <w:tl2br w:val="nil"/>
                    <w:tr2bl w:val="nil"/>
                  </w:tcBorders>
                  <w:vAlign w:val="center"/>
                </w:tcPr>
                <w:p w14:paraId="19F328E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禁止长江干流、长江口、34个列入《率先全面禁捕的长江流域水生生物保护区名录》的水生生物保护区以及省规定的</w:t>
                  </w:r>
                  <w:r>
                    <w:rPr>
                      <w:rFonts w:hint="default" w:ascii="Times New Roman" w:hAnsi="Times New Roman" w:eastAsia="仿宋" w:cs="Times New Roman"/>
                      <w:color w:val="auto"/>
                      <w:sz w:val="21"/>
                      <w:szCs w:val="21"/>
                      <w:highlight w:val="none"/>
                      <w:lang w:eastAsia="zh-CN"/>
                    </w:rPr>
                    <w:t>其他</w:t>
                  </w:r>
                  <w:r>
                    <w:rPr>
                      <w:rFonts w:hint="default" w:ascii="Times New Roman" w:hAnsi="Times New Roman" w:eastAsia="仿宋" w:cs="Times New Roman"/>
                      <w:color w:val="auto"/>
                      <w:sz w:val="21"/>
                      <w:szCs w:val="21"/>
                      <w:highlight w:val="none"/>
                    </w:rPr>
                    <w:t>禁渔水域开展生产性捕捞</w:t>
                  </w:r>
                </w:p>
              </w:tc>
              <w:tc>
                <w:tcPr>
                  <w:tcW w:w="2104" w:type="dxa"/>
                  <w:tcBorders>
                    <w:tl2br w:val="nil"/>
                    <w:tr2bl w:val="nil"/>
                  </w:tcBorders>
                  <w:vAlign w:val="center"/>
                </w:tcPr>
                <w:p w14:paraId="6A4A924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本项目属于工业生产项目，不涉及捕捞性生产活动</w:t>
                  </w:r>
                </w:p>
              </w:tc>
              <w:tc>
                <w:tcPr>
                  <w:tcW w:w="935" w:type="dxa"/>
                  <w:tcBorders>
                    <w:tl2br w:val="nil"/>
                    <w:tr2bl w:val="nil"/>
                  </w:tcBorders>
                  <w:vAlign w:val="center"/>
                </w:tcPr>
                <w:p w14:paraId="27E5AA9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325C5E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7018AB34">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50FD3278">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禁止在距离长江干支流岸线一公里范围内新建、扩建化工园区和化工项目。长江干支流一公里按照长江干支流岸线边界（即水利部门河道管理范围边界）向陆域纵深一公里执行</w:t>
                  </w:r>
                </w:p>
              </w:tc>
              <w:tc>
                <w:tcPr>
                  <w:tcW w:w="2104" w:type="dxa"/>
                  <w:tcBorders>
                    <w:tl2br w:val="nil"/>
                    <w:tr2bl w:val="nil"/>
                  </w:tcBorders>
                  <w:vAlign w:val="center"/>
                </w:tcPr>
                <w:p w14:paraId="2CEFEDA4">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本项目主要从事航空航天精密零部件和其他精密零部件</w:t>
                  </w:r>
                  <w:r>
                    <w:rPr>
                      <w:rFonts w:hint="eastAsia" w:eastAsia="仿宋" w:cs="Times New Roman"/>
                      <w:color w:val="auto"/>
                      <w:sz w:val="21"/>
                      <w:szCs w:val="21"/>
                      <w:highlight w:val="none"/>
                      <w:lang w:val="en-US" w:eastAsia="zh-CN"/>
                    </w:rPr>
                    <w:t>的</w:t>
                  </w:r>
                  <w:r>
                    <w:rPr>
                      <w:rFonts w:hint="default" w:ascii="Times New Roman" w:hAnsi="Times New Roman" w:eastAsia="仿宋" w:cs="Times New Roman"/>
                      <w:color w:val="auto"/>
                      <w:sz w:val="21"/>
                      <w:szCs w:val="21"/>
                      <w:highlight w:val="none"/>
                      <w:lang w:val="en-US" w:eastAsia="zh-CN"/>
                    </w:rPr>
                    <w:t>生产</w:t>
                  </w:r>
                  <w:r>
                    <w:rPr>
                      <w:rFonts w:hint="eastAsia" w:eastAsia="仿宋" w:cs="Times New Roman"/>
                      <w:color w:val="auto"/>
                      <w:sz w:val="21"/>
                      <w:szCs w:val="21"/>
                      <w:highlight w:val="none"/>
                      <w:lang w:val="en-US" w:eastAsia="zh-CN"/>
                    </w:rPr>
                    <w:t>活动</w:t>
                  </w:r>
                  <w:r>
                    <w:rPr>
                      <w:rFonts w:hint="default" w:ascii="Times New Roman" w:hAnsi="Times New Roman" w:eastAsia="仿宋" w:cs="Times New Roman"/>
                      <w:color w:val="auto"/>
                      <w:sz w:val="21"/>
                      <w:szCs w:val="21"/>
                      <w:highlight w:val="none"/>
                      <w:lang w:val="en-US" w:eastAsia="zh-CN"/>
                    </w:rPr>
                    <w:t>，不属于化工项目，且本项目不在</w:t>
                  </w:r>
                  <w:r>
                    <w:rPr>
                      <w:rFonts w:hint="default" w:ascii="Times New Roman" w:hAnsi="Times New Roman" w:eastAsia="仿宋" w:cs="Times New Roman"/>
                      <w:color w:val="auto"/>
                      <w:sz w:val="21"/>
                      <w:szCs w:val="21"/>
                      <w:highlight w:val="none"/>
                    </w:rPr>
                    <w:t>长江干支流岸线一公里范围</w:t>
                  </w:r>
                </w:p>
              </w:tc>
              <w:tc>
                <w:tcPr>
                  <w:tcW w:w="935" w:type="dxa"/>
                  <w:tcBorders>
                    <w:tl2br w:val="nil"/>
                    <w:tr2bl w:val="nil"/>
                  </w:tcBorders>
                  <w:vAlign w:val="center"/>
                </w:tcPr>
                <w:p w14:paraId="62E0330E">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53E43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569CC0E1">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7F63D0C3">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禁止在长江干流岸线三公里范围内新建、改建、扩建尾矿库、冶炼渣库和磷石膏库，以提升安全、生态环境保护水平为目的的改建除外</w:t>
                  </w:r>
                </w:p>
              </w:tc>
              <w:tc>
                <w:tcPr>
                  <w:tcW w:w="2104" w:type="dxa"/>
                  <w:tcBorders>
                    <w:tl2br w:val="nil"/>
                    <w:tr2bl w:val="nil"/>
                  </w:tcBorders>
                  <w:vAlign w:val="center"/>
                </w:tcPr>
                <w:p w14:paraId="50194519">
                  <w:pPr>
                    <w:pStyle w:val="29"/>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本项目主要从事航空航天精密零部件和其他精密零部件</w:t>
                  </w:r>
                  <w:r>
                    <w:rPr>
                      <w:rFonts w:hint="eastAsia" w:eastAsia="仿宋" w:cs="Times New Roman"/>
                      <w:color w:val="auto"/>
                      <w:sz w:val="21"/>
                      <w:szCs w:val="21"/>
                      <w:highlight w:val="none"/>
                      <w:lang w:val="en-US" w:eastAsia="zh-CN"/>
                    </w:rPr>
                    <w:t>的</w:t>
                  </w:r>
                  <w:r>
                    <w:rPr>
                      <w:rFonts w:hint="default" w:ascii="Times New Roman" w:hAnsi="Times New Roman" w:eastAsia="仿宋" w:cs="Times New Roman"/>
                      <w:color w:val="auto"/>
                      <w:sz w:val="21"/>
                      <w:szCs w:val="21"/>
                      <w:highlight w:val="none"/>
                      <w:lang w:val="en-US" w:eastAsia="zh-CN"/>
                    </w:rPr>
                    <w:t>生产</w:t>
                  </w:r>
                  <w:r>
                    <w:rPr>
                      <w:rFonts w:hint="eastAsia" w:eastAsia="仿宋" w:cs="Times New Roman"/>
                      <w:color w:val="auto"/>
                      <w:sz w:val="21"/>
                      <w:szCs w:val="21"/>
                      <w:highlight w:val="none"/>
                      <w:lang w:val="en-US" w:eastAsia="zh-CN"/>
                    </w:rPr>
                    <w:t>活动</w:t>
                  </w:r>
                  <w:r>
                    <w:rPr>
                      <w:rFonts w:hint="default"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rPr>
                    <w:t>不属于尾矿库、冶炼渣库和磷石膏库等禁止类项目</w:t>
                  </w:r>
                </w:p>
              </w:tc>
              <w:tc>
                <w:tcPr>
                  <w:tcW w:w="935" w:type="dxa"/>
                  <w:tcBorders>
                    <w:tl2br w:val="nil"/>
                    <w:tr2bl w:val="nil"/>
                  </w:tcBorders>
                  <w:vAlign w:val="center"/>
                </w:tcPr>
                <w:p w14:paraId="44AC797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681F6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35BE1C9D">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00357DAB">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禁止在太湖流域一、二、三级保护区内开展《江苏省太湖水污染防治条例》禁止的投资建设活动</w:t>
                  </w:r>
                </w:p>
              </w:tc>
              <w:tc>
                <w:tcPr>
                  <w:tcW w:w="2104" w:type="dxa"/>
                  <w:tcBorders>
                    <w:tl2br w:val="nil"/>
                    <w:tr2bl w:val="nil"/>
                  </w:tcBorders>
                  <w:vAlign w:val="center"/>
                </w:tcPr>
                <w:p w14:paraId="79875A4B">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本项目不属于《江苏省太湖水污染防治条例》禁止建设的项目</w:t>
                  </w:r>
                </w:p>
              </w:tc>
              <w:tc>
                <w:tcPr>
                  <w:tcW w:w="935" w:type="dxa"/>
                  <w:tcBorders>
                    <w:tl2br w:val="nil"/>
                    <w:tr2bl w:val="nil"/>
                  </w:tcBorders>
                  <w:vAlign w:val="center"/>
                </w:tcPr>
                <w:p w14:paraId="2235503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15242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50F1E9D6">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7DC09C1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禁止在沿江地区新建、扩建未纳入国家和省布局规划的燃煤发电项目</w:t>
                  </w:r>
                </w:p>
              </w:tc>
              <w:tc>
                <w:tcPr>
                  <w:tcW w:w="2104" w:type="dxa"/>
                  <w:tcBorders>
                    <w:tl2br w:val="nil"/>
                    <w:tr2bl w:val="nil"/>
                  </w:tcBorders>
                  <w:vAlign w:val="center"/>
                </w:tcPr>
                <w:p w14:paraId="2790ADC9">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本项目不属于燃煤发电项目</w:t>
                  </w:r>
                </w:p>
              </w:tc>
              <w:tc>
                <w:tcPr>
                  <w:tcW w:w="935" w:type="dxa"/>
                  <w:tcBorders>
                    <w:tl2br w:val="nil"/>
                    <w:tr2bl w:val="nil"/>
                  </w:tcBorders>
                  <w:vAlign w:val="center"/>
                </w:tcPr>
                <w:p w14:paraId="5A250CE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53FD29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0D18B8FE">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035AD9B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禁止在合规园区外新建、扩建钢铁、石化、化工、焦化、建材、有色、制浆造纸等高污染项目。合规园区名录按照《〈长江经济带发展负面清单指南（试行，2022年版）〉江苏省实施细则合规园区名录》执行</w:t>
                  </w:r>
                </w:p>
              </w:tc>
              <w:tc>
                <w:tcPr>
                  <w:tcW w:w="2104" w:type="dxa"/>
                  <w:tcBorders>
                    <w:tl2br w:val="nil"/>
                    <w:tr2bl w:val="nil"/>
                  </w:tcBorders>
                  <w:vAlign w:val="center"/>
                </w:tcPr>
                <w:p w14:paraId="0818ADC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本项目不属于钢铁、石化、化工、焦化、建材、有色、制浆造纸等高污染项目</w:t>
                  </w:r>
                </w:p>
              </w:tc>
              <w:tc>
                <w:tcPr>
                  <w:tcW w:w="935" w:type="dxa"/>
                  <w:tcBorders>
                    <w:tl2br w:val="nil"/>
                    <w:tr2bl w:val="nil"/>
                  </w:tcBorders>
                  <w:vAlign w:val="center"/>
                </w:tcPr>
                <w:p w14:paraId="78D6AD21">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280534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1DEF16E6">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577FEFFD">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禁止在取消化工定位的园区（集中区）内新建化工项目</w:t>
                  </w:r>
                </w:p>
              </w:tc>
              <w:tc>
                <w:tcPr>
                  <w:tcW w:w="2104" w:type="dxa"/>
                  <w:tcBorders>
                    <w:tl2br w:val="nil"/>
                    <w:tr2bl w:val="nil"/>
                  </w:tcBorders>
                  <w:vAlign w:val="center"/>
                </w:tcPr>
                <w:p w14:paraId="25EF522E">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本项目不属于化工项目</w:t>
                  </w:r>
                </w:p>
              </w:tc>
              <w:tc>
                <w:tcPr>
                  <w:tcW w:w="935" w:type="dxa"/>
                  <w:tcBorders>
                    <w:tl2br w:val="nil"/>
                    <w:tr2bl w:val="nil"/>
                  </w:tcBorders>
                  <w:vAlign w:val="center"/>
                </w:tcPr>
                <w:p w14:paraId="7EA10DA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05B4B2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70CA70CF">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50040E8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禁止在化工企业周边建设不符合安全距离规定的劳动密集型的非化工项目和其他人员密集的公共设施项目</w:t>
                  </w:r>
                </w:p>
              </w:tc>
              <w:tc>
                <w:tcPr>
                  <w:tcW w:w="2104" w:type="dxa"/>
                  <w:tcBorders>
                    <w:tl2br w:val="nil"/>
                    <w:tr2bl w:val="nil"/>
                  </w:tcBorders>
                  <w:vAlign w:val="center"/>
                </w:tcPr>
                <w:p w14:paraId="16A6A82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本项目周围无化工企业</w:t>
                  </w:r>
                </w:p>
              </w:tc>
              <w:tc>
                <w:tcPr>
                  <w:tcW w:w="935" w:type="dxa"/>
                  <w:tcBorders>
                    <w:tl2br w:val="nil"/>
                    <w:tr2bl w:val="nil"/>
                  </w:tcBorders>
                  <w:vAlign w:val="center"/>
                </w:tcPr>
                <w:p w14:paraId="2BFAA3A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093852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restart"/>
                  <w:tcBorders>
                    <w:tl2br w:val="nil"/>
                    <w:tr2bl w:val="nil"/>
                  </w:tcBorders>
                  <w:vAlign w:val="center"/>
                </w:tcPr>
                <w:p w14:paraId="734E55F9">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产业发展</w:t>
                  </w:r>
                </w:p>
              </w:tc>
              <w:tc>
                <w:tcPr>
                  <w:tcW w:w="5545" w:type="dxa"/>
                  <w:tcBorders>
                    <w:tl2br w:val="nil"/>
                    <w:tr2bl w:val="nil"/>
                  </w:tcBorders>
                  <w:vAlign w:val="center"/>
                </w:tcPr>
                <w:p w14:paraId="74092BE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禁止新建、扩建不符合国家和省产业政策的尿素、磷铵、电石、烧碱、聚氯乙烯、纯碱等行业新增产能项目</w:t>
                  </w:r>
                </w:p>
              </w:tc>
              <w:tc>
                <w:tcPr>
                  <w:tcW w:w="2104" w:type="dxa"/>
                  <w:tcBorders>
                    <w:tl2br w:val="nil"/>
                    <w:tr2bl w:val="nil"/>
                  </w:tcBorders>
                  <w:vAlign w:val="center"/>
                </w:tcPr>
                <w:p w14:paraId="3DFE9FF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本项目不属于尿素、磷铵、电石、烧碱、聚氯乙烯、纯碱等建设项目</w:t>
                  </w:r>
                </w:p>
              </w:tc>
              <w:tc>
                <w:tcPr>
                  <w:tcW w:w="935" w:type="dxa"/>
                  <w:tcBorders>
                    <w:tl2br w:val="nil"/>
                    <w:tr2bl w:val="nil"/>
                  </w:tcBorders>
                  <w:vAlign w:val="center"/>
                </w:tcPr>
                <w:p w14:paraId="2FD1CFF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3DBEB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79023EDF">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01A6402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禁止新建、改建、扩建高毒、高残留以及对环境影响大的农药原药</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化学合成类</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项目，禁止新建、扩建不符合国家和省产业政策的农药、医药和染料中间体化工项目</w:t>
                  </w:r>
                </w:p>
              </w:tc>
              <w:tc>
                <w:tcPr>
                  <w:tcW w:w="2104" w:type="dxa"/>
                  <w:tcBorders>
                    <w:tl2br w:val="nil"/>
                    <w:tr2bl w:val="nil"/>
                  </w:tcBorders>
                  <w:vAlign w:val="center"/>
                </w:tcPr>
                <w:p w14:paraId="6D2F8D0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本项目不属于农药、医药和染料中间体化工项目</w:t>
                  </w:r>
                </w:p>
              </w:tc>
              <w:tc>
                <w:tcPr>
                  <w:tcW w:w="935" w:type="dxa"/>
                  <w:tcBorders>
                    <w:tl2br w:val="nil"/>
                    <w:tr2bl w:val="nil"/>
                  </w:tcBorders>
                  <w:vAlign w:val="center"/>
                </w:tcPr>
                <w:p w14:paraId="45C17AB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36EDF4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1500C5F7">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76752E33">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禁止新建、扩建不符合国家石化、现代煤化工等产业布局规划的项目，禁止新建独立焦化项目</w:t>
                  </w:r>
                </w:p>
              </w:tc>
              <w:tc>
                <w:tcPr>
                  <w:tcW w:w="2104" w:type="dxa"/>
                  <w:tcBorders>
                    <w:tl2br w:val="nil"/>
                    <w:tr2bl w:val="nil"/>
                  </w:tcBorders>
                  <w:vAlign w:val="center"/>
                </w:tcPr>
                <w:p w14:paraId="42260FC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本项目不属于石化、现代煤化工、独立焦化项目</w:t>
                  </w:r>
                </w:p>
              </w:tc>
              <w:tc>
                <w:tcPr>
                  <w:tcW w:w="935" w:type="dxa"/>
                  <w:tcBorders>
                    <w:tl2br w:val="nil"/>
                    <w:tr2bl w:val="nil"/>
                  </w:tcBorders>
                  <w:vAlign w:val="center"/>
                </w:tcPr>
                <w:p w14:paraId="7CDB431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25A67D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40AEE421">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7510EAC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禁止新建</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扩建国家《产业结构调整指导目录》《江苏省产业结构调整限制、淘汰和禁止目录》明确的限制类﹑淘汰类、禁止类项目，法律法规和相关政策明令禁止的落后产能项目，以及明令淘汰的安全生产落后工艺及装备项目</w:t>
                  </w:r>
                </w:p>
              </w:tc>
              <w:tc>
                <w:tcPr>
                  <w:tcW w:w="2104" w:type="dxa"/>
                  <w:tcBorders>
                    <w:tl2br w:val="nil"/>
                    <w:tr2bl w:val="nil"/>
                  </w:tcBorders>
                  <w:vAlign w:val="center"/>
                </w:tcPr>
                <w:p w14:paraId="10083509">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本项目不属于现行法律</w:t>
                  </w:r>
                  <w:r>
                    <w:rPr>
                      <w:rFonts w:hint="default" w:ascii="Times New Roman" w:hAnsi="Times New Roman" w:eastAsia="仿宋" w:cs="Times New Roman"/>
                      <w:color w:val="auto"/>
                      <w:sz w:val="21"/>
                      <w:szCs w:val="21"/>
                      <w:highlight w:val="none"/>
                      <w:lang w:val="en-US" w:eastAsia="zh-CN"/>
                    </w:rPr>
                    <w:t>法规和相关政策</w:t>
                  </w:r>
                  <w:r>
                    <w:rPr>
                      <w:rFonts w:hint="default" w:ascii="Times New Roman" w:hAnsi="Times New Roman" w:eastAsia="仿宋" w:cs="Times New Roman"/>
                      <w:color w:val="auto"/>
                      <w:sz w:val="21"/>
                      <w:szCs w:val="21"/>
                      <w:highlight w:val="none"/>
                    </w:rPr>
                    <w:t>规定的限制类﹑淘汰类、禁止类项目</w:t>
                  </w:r>
                </w:p>
              </w:tc>
              <w:tc>
                <w:tcPr>
                  <w:tcW w:w="935" w:type="dxa"/>
                  <w:tcBorders>
                    <w:tl2br w:val="nil"/>
                    <w:tr2bl w:val="nil"/>
                  </w:tcBorders>
                  <w:vAlign w:val="center"/>
                </w:tcPr>
                <w:p w14:paraId="375D935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31E85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0EF136D4">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3F2BA6DA">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禁止新建、扩建不符合国家产能置换要求的严重过剩产能行业的项目。禁止新建、扩建不符合要求的高耗能高排放项目</w:t>
                  </w:r>
                </w:p>
              </w:tc>
              <w:tc>
                <w:tcPr>
                  <w:tcW w:w="2104" w:type="dxa"/>
                  <w:tcBorders>
                    <w:tl2br w:val="nil"/>
                    <w:tr2bl w:val="nil"/>
                  </w:tcBorders>
                  <w:vAlign w:val="center"/>
                </w:tcPr>
                <w:p w14:paraId="096D488E">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本项目不属于国家产能置换要求的严重过剩产能行业的项目，亦不属于高耗能高排放项目</w:t>
                  </w:r>
                </w:p>
              </w:tc>
              <w:tc>
                <w:tcPr>
                  <w:tcW w:w="935" w:type="dxa"/>
                  <w:tcBorders>
                    <w:tl2br w:val="nil"/>
                    <w:tr2bl w:val="nil"/>
                  </w:tcBorders>
                  <w:vAlign w:val="center"/>
                </w:tcPr>
                <w:p w14:paraId="0479114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23263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40" w:type="dxa"/>
                  <w:vMerge w:val="continue"/>
                  <w:tcBorders>
                    <w:tl2br w:val="nil"/>
                    <w:tr2bl w:val="nil"/>
                  </w:tcBorders>
                  <w:vAlign w:val="center"/>
                </w:tcPr>
                <w:p w14:paraId="10519B86">
                  <w:pPr>
                    <w:pStyle w:val="29"/>
                    <w:rPr>
                      <w:rFonts w:hint="default" w:ascii="Times New Roman" w:hAnsi="Times New Roman" w:eastAsia="仿宋" w:cs="Times New Roman"/>
                      <w:color w:val="auto"/>
                      <w:sz w:val="21"/>
                      <w:szCs w:val="21"/>
                      <w:highlight w:val="none"/>
                    </w:rPr>
                  </w:pPr>
                </w:p>
              </w:tc>
              <w:tc>
                <w:tcPr>
                  <w:tcW w:w="5545" w:type="dxa"/>
                  <w:tcBorders>
                    <w:tl2br w:val="nil"/>
                    <w:tr2bl w:val="nil"/>
                  </w:tcBorders>
                  <w:vAlign w:val="center"/>
                </w:tcPr>
                <w:p w14:paraId="433AD23E">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法律法规及相关政策文件有更加严格规定的从其规定</w:t>
                  </w:r>
                </w:p>
              </w:tc>
              <w:tc>
                <w:tcPr>
                  <w:tcW w:w="2104" w:type="dxa"/>
                  <w:tcBorders>
                    <w:tl2br w:val="nil"/>
                    <w:tr2bl w:val="nil"/>
                  </w:tcBorders>
                  <w:vAlign w:val="center"/>
                </w:tcPr>
                <w:p w14:paraId="1763B596">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本项目遵守相应法律法规及相关政策文件中的要求</w:t>
                  </w:r>
                </w:p>
              </w:tc>
              <w:tc>
                <w:tcPr>
                  <w:tcW w:w="935" w:type="dxa"/>
                  <w:tcBorders>
                    <w:tl2br w:val="nil"/>
                    <w:tr2bl w:val="nil"/>
                  </w:tcBorders>
                  <w:vAlign w:val="center"/>
                </w:tcPr>
                <w:p w14:paraId="3499189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bl>
          <w:p w14:paraId="7D0FF5DC">
            <w:pPr>
              <w:keepNext w:val="0"/>
              <w:keepLines w:val="0"/>
              <w:suppressLineNumbers w:val="0"/>
              <w:spacing w:before="0" w:beforeAutospacing="0" w:after="0" w:afterAutospacing="0" w:line="360" w:lineRule="auto"/>
              <w:ind w:left="0" w:right="0" w:firstLine="482" w:firstLineChars="200"/>
              <w:rPr>
                <w:rFonts w:hint="default"/>
                <w:b/>
                <w:bCs/>
                <w:color w:val="auto"/>
                <w:sz w:val="24"/>
                <w:szCs w:val="24"/>
                <w:highlight w:val="none"/>
                <w:shd w:val="clear" w:color="auto" w:fill="FFFFFF"/>
              </w:rPr>
            </w:pPr>
            <w:r>
              <w:rPr>
                <w:rFonts w:hint="eastAsia"/>
                <w:b/>
                <w:bCs/>
                <w:color w:val="auto"/>
                <w:sz w:val="24"/>
                <w:szCs w:val="24"/>
                <w:highlight w:val="none"/>
                <w:shd w:val="clear" w:color="auto" w:fill="FFFFFF"/>
                <w:lang w:eastAsia="zh-CN"/>
              </w:rPr>
              <w:t>（</w:t>
            </w:r>
            <w:r>
              <w:rPr>
                <w:rFonts w:hint="eastAsia"/>
                <w:b/>
                <w:bCs/>
                <w:color w:val="auto"/>
                <w:sz w:val="24"/>
                <w:szCs w:val="24"/>
                <w:highlight w:val="none"/>
                <w:shd w:val="clear" w:color="auto" w:fill="FFFFFF"/>
                <w:lang w:val="en-US" w:eastAsia="zh-CN"/>
              </w:rPr>
              <w:t>3</w:t>
            </w:r>
            <w:r>
              <w:rPr>
                <w:rFonts w:hint="eastAsia"/>
                <w:b/>
                <w:bCs/>
                <w:color w:val="auto"/>
                <w:sz w:val="24"/>
                <w:szCs w:val="24"/>
                <w:highlight w:val="none"/>
                <w:shd w:val="clear" w:color="auto" w:fill="FFFFFF"/>
                <w:lang w:eastAsia="zh-CN"/>
              </w:rPr>
              <w:t>）</w:t>
            </w:r>
            <w:r>
              <w:rPr>
                <w:rFonts w:hint="default"/>
                <w:b/>
                <w:bCs/>
                <w:color w:val="auto"/>
                <w:sz w:val="24"/>
                <w:szCs w:val="24"/>
                <w:highlight w:val="none"/>
                <w:shd w:val="clear" w:color="auto" w:fill="FFFFFF"/>
              </w:rPr>
              <w:t>与</w:t>
            </w:r>
            <w:r>
              <w:rPr>
                <w:rFonts w:hint="default"/>
                <w:b/>
                <w:bCs/>
                <w:color w:val="auto"/>
                <w:sz w:val="24"/>
                <w:szCs w:val="24"/>
                <w:highlight w:val="none"/>
                <w:shd w:val="clear" w:color="auto" w:fill="FFFFFF"/>
                <w:lang w:eastAsia="zh-CN"/>
              </w:rPr>
              <w:t>《</w:t>
            </w:r>
            <w:r>
              <w:rPr>
                <w:rFonts w:hint="default"/>
                <w:b/>
                <w:bCs/>
                <w:color w:val="auto"/>
                <w:sz w:val="24"/>
                <w:szCs w:val="24"/>
                <w:highlight w:val="none"/>
                <w:shd w:val="clear" w:color="auto" w:fill="FFFFFF"/>
                <w:lang w:val="en-US" w:eastAsia="zh-CN"/>
              </w:rPr>
              <w:t>江苏省2023年度生态环境分区管控动态更新成果公告</w:t>
            </w:r>
            <w:r>
              <w:rPr>
                <w:rFonts w:hint="default"/>
                <w:b/>
                <w:bCs/>
                <w:color w:val="auto"/>
                <w:sz w:val="24"/>
                <w:szCs w:val="24"/>
                <w:highlight w:val="none"/>
                <w:shd w:val="clear" w:color="auto" w:fill="FFFFFF"/>
                <w:lang w:eastAsia="zh-CN"/>
              </w:rPr>
              <w:t>》</w:t>
            </w:r>
            <w:r>
              <w:rPr>
                <w:rFonts w:hint="default"/>
                <w:b/>
                <w:bCs/>
                <w:color w:val="auto"/>
                <w:sz w:val="24"/>
                <w:szCs w:val="24"/>
                <w:highlight w:val="none"/>
                <w:shd w:val="clear" w:color="auto" w:fill="FFFFFF"/>
              </w:rPr>
              <w:t>相符性分析</w:t>
            </w:r>
          </w:p>
          <w:p w14:paraId="64E73449">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eastAsia"/>
                <w:color w:val="auto"/>
                <w:kern w:val="0"/>
                <w:sz w:val="24"/>
                <w:szCs w:val="24"/>
                <w:highlight w:val="none"/>
              </w:rPr>
            </w:pPr>
            <w:r>
              <w:rPr>
                <w:rFonts w:hint="eastAsia"/>
                <w:color w:val="auto"/>
                <w:kern w:val="0"/>
                <w:sz w:val="24"/>
                <w:szCs w:val="24"/>
                <w:highlight w:val="none"/>
              </w:rPr>
              <w:t>本项目位于</w:t>
            </w:r>
            <w:r>
              <w:rPr>
                <w:rFonts w:hint="eastAsia"/>
                <w:color w:val="auto"/>
                <w:sz w:val="24"/>
                <w:szCs w:val="24"/>
                <w:highlight w:val="none"/>
              </w:rPr>
              <w:t>苏州市漕湖街道永昌路28号A栋11单元</w:t>
            </w:r>
            <w:r>
              <w:rPr>
                <w:rFonts w:hint="eastAsia"/>
                <w:color w:val="auto"/>
                <w:kern w:val="0"/>
                <w:sz w:val="24"/>
                <w:szCs w:val="24"/>
                <w:highlight w:val="none"/>
              </w:rPr>
              <w:t>，属于太湖流域与长江流域，为重点区域（流域），对照</w:t>
            </w:r>
            <w:r>
              <w:rPr>
                <w:rFonts w:hint="eastAsia"/>
                <w:color w:val="auto"/>
                <w:kern w:val="0"/>
                <w:sz w:val="24"/>
                <w:szCs w:val="24"/>
                <w:highlight w:val="none"/>
                <w:lang w:eastAsia="zh-CN"/>
              </w:rPr>
              <w:t>《</w:t>
            </w:r>
            <w:r>
              <w:rPr>
                <w:rFonts w:hint="eastAsia"/>
                <w:color w:val="auto"/>
                <w:kern w:val="0"/>
                <w:sz w:val="24"/>
                <w:szCs w:val="24"/>
                <w:highlight w:val="none"/>
                <w:lang w:val="en-US" w:eastAsia="zh-CN"/>
              </w:rPr>
              <w:t>江苏省2023年度生态环境分区管控动态更新成果公告</w:t>
            </w:r>
            <w:r>
              <w:rPr>
                <w:rFonts w:hint="eastAsia"/>
                <w:color w:val="auto"/>
                <w:kern w:val="0"/>
                <w:sz w:val="24"/>
                <w:szCs w:val="24"/>
                <w:highlight w:val="none"/>
                <w:lang w:eastAsia="zh-CN"/>
              </w:rPr>
              <w:t>》、</w:t>
            </w:r>
            <w:r>
              <w:rPr>
                <w:rFonts w:hint="eastAsia"/>
                <w:color w:val="auto"/>
                <w:kern w:val="0"/>
                <w:sz w:val="24"/>
                <w:szCs w:val="24"/>
                <w:highlight w:val="none"/>
              </w:rPr>
              <w:t>江苏省重点区域（流域）生态环境分区管控要求，具体分析如下表。</w:t>
            </w:r>
          </w:p>
          <w:p w14:paraId="25E0DCE6">
            <w:pPr>
              <w:widowControl/>
              <w:numPr>
                <w:ilvl w:val="0"/>
                <w:numId w:val="3"/>
              </w:numPr>
              <w:ind w:left="210" w:leftChars="0" w:firstLine="0" w:firstLineChars="0"/>
              <w:jc w:val="center"/>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项目与《江苏省重点区域</w:t>
            </w:r>
            <w:r>
              <w:rPr>
                <w:rFonts w:hint="eastAsia" w:ascii="Times New Roman" w:hAnsi="Times New Roman" w:eastAsia="宋体" w:cs="Times New Roman"/>
                <w:b/>
                <w:color w:val="auto"/>
                <w:kern w:val="0"/>
                <w:sz w:val="24"/>
                <w:szCs w:val="24"/>
                <w:highlight w:val="none"/>
                <w:lang w:eastAsia="zh-CN"/>
              </w:rPr>
              <w:t>（</w:t>
            </w:r>
            <w:r>
              <w:rPr>
                <w:rFonts w:hint="default" w:ascii="Times New Roman" w:hAnsi="Times New Roman" w:eastAsia="宋体" w:cs="Times New Roman"/>
                <w:b/>
                <w:color w:val="auto"/>
                <w:kern w:val="0"/>
                <w:sz w:val="24"/>
                <w:szCs w:val="24"/>
                <w:highlight w:val="none"/>
              </w:rPr>
              <w:t>流域</w:t>
            </w:r>
            <w:r>
              <w:rPr>
                <w:rFonts w:hint="eastAsia" w:ascii="Times New Roman" w:hAnsi="Times New Roman" w:eastAsia="宋体" w:cs="Times New Roman"/>
                <w:b/>
                <w:color w:val="auto"/>
                <w:kern w:val="0"/>
                <w:sz w:val="24"/>
                <w:szCs w:val="24"/>
                <w:highlight w:val="none"/>
                <w:lang w:eastAsia="zh-CN"/>
              </w:rPr>
              <w:t>）</w:t>
            </w:r>
            <w:r>
              <w:rPr>
                <w:rFonts w:hint="default" w:ascii="Times New Roman" w:hAnsi="Times New Roman" w:eastAsia="宋体" w:cs="Times New Roman"/>
                <w:b/>
                <w:color w:val="auto"/>
                <w:kern w:val="0"/>
                <w:sz w:val="24"/>
                <w:szCs w:val="24"/>
                <w:highlight w:val="none"/>
              </w:rPr>
              <w:t>生态环境分区管控要求》相符性分析</w:t>
            </w:r>
          </w:p>
          <w:tbl>
            <w:tblPr>
              <w:tblStyle w:val="23"/>
              <w:tblW w:w="9096" w:type="dxa"/>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autofit"/>
              <w:tblCellMar>
                <w:top w:w="0" w:type="dxa"/>
                <w:left w:w="108" w:type="dxa"/>
                <w:bottom w:w="0" w:type="dxa"/>
                <w:right w:w="108" w:type="dxa"/>
              </w:tblCellMar>
            </w:tblPr>
            <w:tblGrid>
              <w:gridCol w:w="687"/>
              <w:gridCol w:w="5118"/>
              <w:gridCol w:w="2589"/>
              <w:gridCol w:w="702"/>
            </w:tblGrid>
            <w:tr w14:paraId="0EDCE7B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87" w:type="dxa"/>
                  <w:tcBorders>
                    <w:tl2br w:val="nil"/>
                    <w:tr2bl w:val="nil"/>
                  </w:tcBorders>
                  <w:vAlign w:val="center"/>
                </w:tcPr>
                <w:p w14:paraId="2391DA27">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管控类别</w:t>
                  </w:r>
                </w:p>
              </w:tc>
              <w:tc>
                <w:tcPr>
                  <w:tcW w:w="5118" w:type="dxa"/>
                  <w:tcBorders>
                    <w:tl2br w:val="nil"/>
                    <w:tr2bl w:val="nil"/>
                  </w:tcBorders>
                  <w:vAlign w:val="center"/>
                </w:tcPr>
                <w:p w14:paraId="15996AA2">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重点管控要求</w:t>
                  </w:r>
                </w:p>
              </w:tc>
              <w:tc>
                <w:tcPr>
                  <w:tcW w:w="2589" w:type="dxa"/>
                  <w:tcBorders>
                    <w:tl2br w:val="nil"/>
                    <w:tr2bl w:val="nil"/>
                  </w:tcBorders>
                  <w:vAlign w:val="center"/>
                </w:tcPr>
                <w:p w14:paraId="700818AF">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b/>
                      <w:color w:val="auto"/>
                      <w:sz w:val="21"/>
                      <w:szCs w:val="21"/>
                      <w:highlight w:val="none"/>
                      <w:lang w:eastAsia="zh-CN"/>
                    </w:rPr>
                  </w:pPr>
                  <w:r>
                    <w:rPr>
                      <w:rFonts w:hint="default" w:ascii="Times New Roman" w:hAnsi="Times New Roman" w:eastAsia="仿宋" w:cs="Times New Roman"/>
                      <w:b/>
                      <w:color w:val="auto"/>
                      <w:sz w:val="21"/>
                      <w:szCs w:val="21"/>
                      <w:highlight w:val="none"/>
                      <w:lang w:val="en-US" w:eastAsia="zh-CN"/>
                    </w:rPr>
                    <w:t>本项目情况</w:t>
                  </w:r>
                </w:p>
              </w:tc>
              <w:tc>
                <w:tcPr>
                  <w:tcW w:w="702" w:type="dxa"/>
                  <w:tcBorders>
                    <w:tl2br w:val="nil"/>
                    <w:tr2bl w:val="nil"/>
                  </w:tcBorders>
                  <w:vAlign w:val="center"/>
                </w:tcPr>
                <w:p w14:paraId="09A41D83">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b/>
                      <w:color w:val="auto"/>
                      <w:sz w:val="21"/>
                      <w:szCs w:val="21"/>
                      <w:highlight w:val="none"/>
                      <w:lang w:val="en-US" w:eastAsia="zh-CN"/>
                    </w:rPr>
                  </w:pPr>
                  <w:r>
                    <w:rPr>
                      <w:rFonts w:hint="default" w:ascii="Times New Roman" w:hAnsi="Times New Roman" w:eastAsia="仿宋" w:cs="Times New Roman"/>
                      <w:b/>
                      <w:color w:val="auto"/>
                      <w:sz w:val="21"/>
                      <w:szCs w:val="21"/>
                      <w:highlight w:val="none"/>
                      <w:lang w:val="en-US" w:eastAsia="zh-CN"/>
                    </w:rPr>
                    <w:t>相符性</w:t>
                  </w:r>
                </w:p>
              </w:tc>
            </w:tr>
            <w:tr w14:paraId="2BC9303F">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9096" w:type="dxa"/>
                  <w:gridSpan w:val="4"/>
                  <w:tcBorders>
                    <w:tl2br w:val="nil"/>
                    <w:tr2bl w:val="nil"/>
                  </w:tcBorders>
                  <w:vAlign w:val="center"/>
                </w:tcPr>
                <w:p w14:paraId="00D6897E">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一、长江流域</w:t>
                  </w:r>
                </w:p>
              </w:tc>
            </w:tr>
            <w:tr w14:paraId="2756E622">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7" w:type="dxa"/>
                  <w:tcBorders>
                    <w:tl2br w:val="nil"/>
                    <w:tr2bl w:val="nil"/>
                  </w:tcBorders>
                  <w:vAlign w:val="center"/>
                </w:tcPr>
                <w:p w14:paraId="5D748BF0">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空间布局约束</w:t>
                  </w:r>
                </w:p>
              </w:tc>
              <w:tc>
                <w:tcPr>
                  <w:tcW w:w="5118" w:type="dxa"/>
                  <w:tcBorders>
                    <w:tl2br w:val="nil"/>
                    <w:tr2bl w:val="nil"/>
                  </w:tcBorders>
                  <w:vAlign w:val="center"/>
                </w:tcPr>
                <w:p w14:paraId="3A7280B5">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1.</w:t>
                  </w:r>
                  <w:r>
                    <w:rPr>
                      <w:rFonts w:hint="default" w:ascii="Times New Roman" w:hAnsi="Times New Roman" w:eastAsia="仿宋" w:cs="Times New Roman"/>
                      <w:color w:val="auto"/>
                      <w:sz w:val="21"/>
                      <w:szCs w:val="21"/>
                      <w:highlight w:val="none"/>
                    </w:rPr>
                    <w:t>始终把长江生态修复放在首位，坚持共抓大保护、不搞大开发，引导长江流域产业转型升级和布局优化调整，实现科学发展、有序发展、高质量发展。</w:t>
                  </w:r>
                </w:p>
                <w:p w14:paraId="45F94996">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2.</w:t>
                  </w:r>
                  <w:r>
                    <w:rPr>
                      <w:rFonts w:hint="default" w:ascii="Times New Roman" w:hAnsi="Times New Roman" w:eastAsia="仿宋" w:cs="Times New Roman"/>
                      <w:color w:val="auto"/>
                      <w:sz w:val="21"/>
                      <w:szCs w:val="21"/>
                      <w:highlight w:val="none"/>
                    </w:rPr>
                    <w:t>加强生态空间保护，禁止在国家确定的生态保护红线和永久基本农田范围内，投资建设除国家重大战略资源勘查项目、生态保护修复和地质灾害治理项目、重大基础设施项目、军事国防项目以及农民基本生产生活等必要的民生项目以外的项目。</w:t>
                  </w:r>
                </w:p>
                <w:p w14:paraId="1D9C15EF">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3.</w:t>
                  </w:r>
                  <w:r>
                    <w:rPr>
                      <w:rFonts w:hint="default" w:ascii="Times New Roman" w:hAnsi="Times New Roman" w:eastAsia="仿宋" w:cs="Times New Roman"/>
                      <w:color w:val="auto"/>
                      <w:sz w:val="21"/>
                      <w:szCs w:val="21"/>
                      <w:highlight w:val="none"/>
                    </w:rPr>
                    <w:t>禁止在沿江地区新建或扩建化学工业园区，禁止新建或扩建以大宗进口油气资源为原料的石油加工、石油化工、基础有机无机化工、煤化工项目；禁止在长江干流和主要支流岸线1公里范围内新建危化品码头。</w:t>
                  </w:r>
                </w:p>
                <w:p w14:paraId="7BC70C0C">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4.</w:t>
                  </w:r>
                  <w:r>
                    <w:rPr>
                      <w:rFonts w:hint="default" w:ascii="Times New Roman" w:hAnsi="Times New Roman" w:eastAsia="仿宋" w:cs="Times New Roman"/>
                      <w:color w:val="auto"/>
                      <w:sz w:val="21"/>
                      <w:szCs w:val="21"/>
                      <w:highlight w:val="none"/>
                    </w:rPr>
                    <w:t>强化港口布局优化，禁止建设不符合国家港口布局规划和《江苏省沿江沿海港口布局规划（2015-2030年）》《江苏省内河港口布局规划（2017-2035年）》的码头项目，禁止建设未纳入《长江干线过江通道布局规划》的过江干线通道项目。</w:t>
                  </w:r>
                </w:p>
                <w:p w14:paraId="75616853">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5.</w:t>
                  </w:r>
                  <w:r>
                    <w:rPr>
                      <w:rFonts w:hint="default" w:ascii="Times New Roman" w:hAnsi="Times New Roman" w:eastAsia="仿宋" w:cs="Times New Roman"/>
                      <w:color w:val="auto"/>
                      <w:sz w:val="21"/>
                      <w:szCs w:val="21"/>
                      <w:highlight w:val="none"/>
                    </w:rPr>
                    <w:t>禁止新建独立焦化项目。</w:t>
                  </w:r>
                </w:p>
              </w:tc>
              <w:tc>
                <w:tcPr>
                  <w:tcW w:w="2589" w:type="dxa"/>
                  <w:tcBorders>
                    <w:tl2br w:val="nil"/>
                    <w:tr2bl w:val="nil"/>
                  </w:tcBorders>
                  <w:vAlign w:val="center"/>
                </w:tcPr>
                <w:p w14:paraId="04AE207A">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位于苏州市漕湖街道永昌路28号A栋11单元，不属于生态保护红线和永久基本农田范围内，不属于化学工业园区，大宗进口油气资源为原料的石油加工、石油化工、基础有机无机化工、煤化工项目、危化品码头、港口项目、过江干线通道项目、独立焦化项目</w:t>
                  </w:r>
                  <w:r>
                    <w:rPr>
                      <w:rFonts w:hint="default" w:ascii="Times New Roman" w:hAnsi="Times New Roman" w:eastAsia="仿宋" w:cs="Times New Roman"/>
                      <w:color w:val="auto"/>
                      <w:sz w:val="21"/>
                      <w:szCs w:val="21"/>
                      <w:highlight w:val="none"/>
                      <w:lang w:eastAsia="zh-CN"/>
                    </w:rPr>
                    <w:t>。</w:t>
                  </w:r>
                </w:p>
              </w:tc>
              <w:tc>
                <w:tcPr>
                  <w:tcW w:w="702" w:type="dxa"/>
                  <w:tcBorders>
                    <w:tl2br w:val="nil"/>
                    <w:tr2bl w:val="nil"/>
                  </w:tcBorders>
                  <w:vAlign w:val="center"/>
                </w:tcPr>
                <w:p w14:paraId="2EC41FAE">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382C0BA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114B843F">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污染物排放管控</w:t>
                  </w:r>
                </w:p>
              </w:tc>
              <w:tc>
                <w:tcPr>
                  <w:tcW w:w="5118" w:type="dxa"/>
                  <w:tcBorders>
                    <w:tl2br w:val="nil"/>
                    <w:tr2bl w:val="nil"/>
                  </w:tcBorders>
                  <w:vAlign w:val="center"/>
                </w:tcPr>
                <w:p w14:paraId="1667322F">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1.</w:t>
                  </w:r>
                  <w:r>
                    <w:rPr>
                      <w:rFonts w:hint="default" w:ascii="Times New Roman" w:hAnsi="Times New Roman" w:eastAsia="仿宋" w:cs="Times New Roman"/>
                      <w:color w:val="auto"/>
                      <w:sz w:val="21"/>
                      <w:szCs w:val="21"/>
                      <w:highlight w:val="none"/>
                    </w:rPr>
                    <w:t>根据《江苏省长江水污染防治条例》实施污染物总量控制制度。</w:t>
                  </w:r>
                </w:p>
                <w:p w14:paraId="0A60E995">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2.</w:t>
                  </w:r>
                  <w:r>
                    <w:rPr>
                      <w:rFonts w:hint="default" w:ascii="Times New Roman" w:hAnsi="Times New Roman" w:eastAsia="仿宋" w:cs="Times New Roman"/>
                      <w:color w:val="auto"/>
                      <w:sz w:val="21"/>
                      <w:szCs w:val="21"/>
                      <w:highlight w:val="none"/>
                    </w:rPr>
                    <w:t>全面加强和规范长江入河排污口管理，有效管控入河污染物排放，形成权责清晰、监控到位、管理规范的长江入河排污口监管体系，加快改善长江水环境质量。</w:t>
                  </w:r>
                </w:p>
              </w:tc>
              <w:tc>
                <w:tcPr>
                  <w:tcW w:w="2589" w:type="dxa"/>
                  <w:tcBorders>
                    <w:tl2br w:val="nil"/>
                    <w:tr2bl w:val="nil"/>
                  </w:tcBorders>
                  <w:vAlign w:val="center"/>
                </w:tcPr>
                <w:p w14:paraId="255C8072">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本项目实施污染物总量控制制度，不突破环境容量及生态环境承载力</w:t>
                  </w:r>
                  <w:r>
                    <w:rPr>
                      <w:rFonts w:hint="default" w:ascii="Times New Roman" w:hAnsi="Times New Roman" w:eastAsia="仿宋" w:cs="Times New Roman"/>
                      <w:color w:val="auto"/>
                      <w:sz w:val="21"/>
                      <w:szCs w:val="21"/>
                      <w:highlight w:val="none"/>
                      <w:lang w:val="en-US" w:eastAsia="zh-CN"/>
                    </w:rPr>
                    <w:t>。</w:t>
                  </w:r>
                </w:p>
              </w:tc>
              <w:tc>
                <w:tcPr>
                  <w:tcW w:w="702" w:type="dxa"/>
                  <w:tcBorders>
                    <w:tl2br w:val="nil"/>
                    <w:tr2bl w:val="nil"/>
                  </w:tcBorders>
                  <w:vAlign w:val="center"/>
                </w:tcPr>
                <w:p w14:paraId="68848F2A">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相符</w:t>
                  </w:r>
                </w:p>
              </w:tc>
            </w:tr>
            <w:tr w14:paraId="73C209F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3887E52B">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环境风险防控</w:t>
                  </w:r>
                </w:p>
              </w:tc>
              <w:tc>
                <w:tcPr>
                  <w:tcW w:w="5118" w:type="dxa"/>
                  <w:tcBorders>
                    <w:tl2br w:val="nil"/>
                    <w:tr2bl w:val="nil"/>
                  </w:tcBorders>
                  <w:vAlign w:val="center"/>
                </w:tcPr>
                <w:p w14:paraId="7D1F8CC5">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1.</w:t>
                  </w:r>
                  <w:r>
                    <w:rPr>
                      <w:rFonts w:hint="default" w:ascii="Times New Roman" w:hAnsi="Times New Roman" w:eastAsia="仿宋" w:cs="Times New Roman"/>
                      <w:color w:val="auto"/>
                      <w:sz w:val="21"/>
                      <w:szCs w:val="21"/>
                      <w:highlight w:val="none"/>
                    </w:rPr>
                    <w:t>防范沿江环境风险。深化沿江石化、化工、医药、纺织、印染、化纤、危化品和石油类仓储、涉重金属和危险废物处置等重点企业环境风险防控。</w:t>
                  </w:r>
                </w:p>
                <w:p w14:paraId="2C7866D0">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2.</w:t>
                  </w:r>
                  <w:r>
                    <w:rPr>
                      <w:rFonts w:hint="default" w:ascii="Times New Roman" w:hAnsi="Times New Roman" w:eastAsia="仿宋" w:cs="Times New Roman"/>
                      <w:color w:val="auto"/>
                      <w:sz w:val="21"/>
                      <w:szCs w:val="21"/>
                      <w:highlight w:val="none"/>
                    </w:rPr>
                    <w:t>加强饮用水水源保护。优化水源保护区划定，推动饮用水水源地规范化建设。</w:t>
                  </w:r>
                </w:p>
              </w:tc>
              <w:tc>
                <w:tcPr>
                  <w:tcW w:w="2589" w:type="dxa"/>
                  <w:tcBorders>
                    <w:tl2br w:val="nil"/>
                    <w:tr2bl w:val="nil"/>
                  </w:tcBorders>
                  <w:vAlign w:val="center"/>
                </w:tcPr>
                <w:p w14:paraId="0373D7F5">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项目不属于沿江石化、化工、医药、纺织、印染、化纤、危化品和石油类仓储、涉重金属和危险废物处置等重点企业</w:t>
                  </w:r>
                  <w:r>
                    <w:rPr>
                      <w:rFonts w:hint="default" w:ascii="Times New Roman" w:hAnsi="Times New Roman" w:eastAsia="仿宋" w:cs="Times New Roman"/>
                      <w:color w:val="auto"/>
                      <w:sz w:val="21"/>
                      <w:szCs w:val="21"/>
                      <w:highlight w:val="none"/>
                      <w:lang w:eastAsia="zh-CN"/>
                    </w:rPr>
                    <w:t>。</w:t>
                  </w:r>
                </w:p>
              </w:tc>
              <w:tc>
                <w:tcPr>
                  <w:tcW w:w="702" w:type="dxa"/>
                  <w:tcBorders>
                    <w:tl2br w:val="nil"/>
                    <w:tr2bl w:val="nil"/>
                  </w:tcBorders>
                  <w:vAlign w:val="center"/>
                </w:tcPr>
                <w:p w14:paraId="7BB9E5D0">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相符</w:t>
                  </w:r>
                </w:p>
              </w:tc>
            </w:tr>
            <w:tr w14:paraId="27B4925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0ED03F3D">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资源利用效率要求</w:t>
                  </w:r>
                </w:p>
              </w:tc>
              <w:tc>
                <w:tcPr>
                  <w:tcW w:w="5118" w:type="dxa"/>
                  <w:tcBorders>
                    <w:tl2br w:val="nil"/>
                    <w:tr2bl w:val="nil"/>
                  </w:tcBorders>
                  <w:vAlign w:val="center"/>
                </w:tcPr>
                <w:p w14:paraId="225061A0">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禁止在长江干支流岸线管控范围内新建、扩建化工园区和化工项目。禁止在长江干流岸线和重要支流岸线管控范围内新建、改建、扩建尾矿库，但是以提升安全、生态环境保护水平为目的的改建除外。</w:t>
                  </w:r>
                </w:p>
              </w:tc>
              <w:tc>
                <w:tcPr>
                  <w:tcW w:w="2589" w:type="dxa"/>
                  <w:tcBorders>
                    <w:tl2br w:val="nil"/>
                    <w:tr2bl w:val="nil"/>
                  </w:tcBorders>
                  <w:vAlign w:val="center"/>
                </w:tcPr>
                <w:p w14:paraId="0195CBFC">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本项目位于苏州市漕湖街道永昌路28号A栋11单元，不在长江干流岸线和重要支流岸线管控范围内</w:t>
                  </w:r>
                  <w:r>
                    <w:rPr>
                      <w:rFonts w:hint="default" w:ascii="Times New Roman" w:hAnsi="Times New Roman" w:eastAsia="仿宋" w:cs="Times New Roman"/>
                      <w:color w:val="auto"/>
                      <w:sz w:val="21"/>
                      <w:szCs w:val="21"/>
                      <w:highlight w:val="none"/>
                      <w:lang w:eastAsia="zh-CN"/>
                    </w:rPr>
                    <w:t>。</w:t>
                  </w:r>
                </w:p>
              </w:tc>
              <w:tc>
                <w:tcPr>
                  <w:tcW w:w="702" w:type="dxa"/>
                  <w:tcBorders>
                    <w:tl2br w:val="nil"/>
                    <w:tr2bl w:val="nil"/>
                  </w:tcBorders>
                  <w:vAlign w:val="center"/>
                </w:tcPr>
                <w:p w14:paraId="4A3BBCF6">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相符</w:t>
                  </w:r>
                </w:p>
              </w:tc>
            </w:tr>
            <w:tr w14:paraId="520CC21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9096" w:type="dxa"/>
                  <w:gridSpan w:val="4"/>
                  <w:tcBorders>
                    <w:tl2br w:val="nil"/>
                    <w:tr2bl w:val="nil"/>
                  </w:tcBorders>
                  <w:vAlign w:val="center"/>
                </w:tcPr>
                <w:p w14:paraId="710E0068">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二、太湖流域</w:t>
                  </w:r>
                </w:p>
              </w:tc>
            </w:tr>
            <w:tr w14:paraId="183E4BF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67FEE5C2">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空间布局约束</w:t>
                  </w:r>
                </w:p>
              </w:tc>
              <w:tc>
                <w:tcPr>
                  <w:tcW w:w="5118" w:type="dxa"/>
                  <w:tcBorders>
                    <w:tl2br w:val="nil"/>
                    <w:tr2bl w:val="nil"/>
                  </w:tcBorders>
                  <w:vAlign w:val="center"/>
                </w:tcPr>
                <w:p w14:paraId="5E90EB38">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1.</w:t>
                  </w:r>
                  <w:r>
                    <w:rPr>
                      <w:rFonts w:hint="default" w:ascii="Times New Roman" w:hAnsi="Times New Roman" w:eastAsia="仿宋" w:cs="Times New Roman"/>
                      <w:color w:val="auto"/>
                      <w:sz w:val="21"/>
                      <w:szCs w:val="21"/>
                      <w:highlight w:val="none"/>
                    </w:rPr>
                    <w:t>在太湖流域一、二、三级保护区，禁止新建、改建、扩建化学制浆造纸、制革、酿造、染料、印染、电镀以及其他排放含磷、氮等污染物的企业和项目，城镇污水集中处理等环境基础设施项目和《江苏省太湖水污染防治条例》第四十六条规定的情形除外。</w:t>
                  </w:r>
                </w:p>
                <w:p w14:paraId="3FAEC197">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2.</w:t>
                  </w:r>
                  <w:r>
                    <w:rPr>
                      <w:rFonts w:hint="default" w:ascii="Times New Roman" w:hAnsi="Times New Roman" w:eastAsia="仿宋" w:cs="Times New Roman"/>
                      <w:color w:val="auto"/>
                      <w:sz w:val="21"/>
                      <w:szCs w:val="21"/>
                      <w:highlight w:val="none"/>
                    </w:rPr>
                    <w:t>在太湖流域一级保护区，禁止新建、扩建向水体排放污染物的建设项目，禁止新建、扩建畜禽养殖场，禁止新建、扩建高尔夫球场、水上游乐等开发项目以及设置水上餐饮经营设施。</w:t>
                  </w:r>
                </w:p>
                <w:p w14:paraId="1CCC8F61">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3.</w:t>
                  </w:r>
                  <w:r>
                    <w:rPr>
                      <w:rFonts w:hint="default" w:ascii="Times New Roman" w:hAnsi="Times New Roman" w:eastAsia="仿宋" w:cs="Times New Roman"/>
                      <w:color w:val="auto"/>
                      <w:sz w:val="21"/>
                      <w:szCs w:val="21"/>
                      <w:highlight w:val="none"/>
                    </w:rPr>
                    <w:t>在太湖流域二级保护区，禁止新建、扩建化工、医药生产项目，禁止新建、扩建污水集中处理设施排污口以外的排污口。</w:t>
                  </w:r>
                </w:p>
              </w:tc>
              <w:tc>
                <w:tcPr>
                  <w:tcW w:w="2589" w:type="dxa"/>
                  <w:tcBorders>
                    <w:tl2br w:val="nil"/>
                    <w:tr2bl w:val="nil"/>
                  </w:tcBorders>
                  <w:vAlign w:val="center"/>
                </w:tcPr>
                <w:p w14:paraId="3B61F985">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w:t>
                  </w:r>
                  <w:r>
                    <w:rPr>
                      <w:rFonts w:hint="eastAsia" w:eastAsia="仿宋" w:cs="Times New Roman"/>
                      <w:color w:val="auto"/>
                      <w:sz w:val="21"/>
                      <w:szCs w:val="21"/>
                      <w:highlight w:val="none"/>
                      <w:lang w:val="en-US" w:eastAsia="zh-CN"/>
                    </w:rPr>
                    <w:t>为C3311金属结构制造</w:t>
                  </w:r>
                  <w:r>
                    <w:rPr>
                      <w:rFonts w:hint="default" w:ascii="Times New Roman" w:hAnsi="Times New Roman" w:eastAsia="仿宋" w:cs="Times New Roman"/>
                      <w:color w:val="auto"/>
                      <w:sz w:val="21"/>
                      <w:szCs w:val="21"/>
                      <w:highlight w:val="none"/>
                    </w:rPr>
                    <w:t>，与太湖湖体最近距离约1</w:t>
                  </w:r>
                  <w:r>
                    <w:rPr>
                      <w:rFonts w:hint="eastAsia" w:eastAsia="仿宋" w:cs="Times New Roman"/>
                      <w:color w:val="auto"/>
                      <w:sz w:val="21"/>
                      <w:szCs w:val="21"/>
                      <w:highlight w:val="none"/>
                      <w:lang w:val="en-US" w:eastAsia="zh-CN"/>
                    </w:rPr>
                    <w:t>7.5</w:t>
                  </w:r>
                  <w:r>
                    <w:rPr>
                      <w:rFonts w:hint="default" w:ascii="Times New Roman" w:hAnsi="Times New Roman" w:eastAsia="仿宋" w:cs="Times New Roman"/>
                      <w:color w:val="auto"/>
                      <w:sz w:val="21"/>
                      <w:szCs w:val="21"/>
                      <w:highlight w:val="none"/>
                    </w:rPr>
                    <w:t>km，属于太湖流域三级保护区，不属于太湖流域禁止的行业项目；本项目无含氮磷生产废水排放。</w:t>
                  </w:r>
                </w:p>
              </w:tc>
              <w:tc>
                <w:tcPr>
                  <w:tcW w:w="702" w:type="dxa"/>
                  <w:tcBorders>
                    <w:tl2br w:val="nil"/>
                    <w:tr2bl w:val="nil"/>
                  </w:tcBorders>
                  <w:vAlign w:val="center"/>
                </w:tcPr>
                <w:p w14:paraId="6C3BD9FB">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相符</w:t>
                  </w:r>
                </w:p>
              </w:tc>
            </w:tr>
            <w:tr w14:paraId="38D632A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6FDA271C">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污染物排放管控</w:t>
                  </w:r>
                </w:p>
              </w:tc>
              <w:tc>
                <w:tcPr>
                  <w:tcW w:w="5118" w:type="dxa"/>
                  <w:tcBorders>
                    <w:tl2br w:val="nil"/>
                    <w:tr2bl w:val="nil"/>
                  </w:tcBorders>
                  <w:vAlign w:val="center"/>
                </w:tcPr>
                <w:p w14:paraId="18AD4030">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城镇污水处理厂、纺织工业、化学工业、造纸工业、钢铁工业、电镀工业和食品工业的污水处理设施执行《太湖地区城镇污水处理厂及重点工业行业主要水污染物排放限值》。</w:t>
                  </w:r>
                </w:p>
              </w:tc>
              <w:tc>
                <w:tcPr>
                  <w:tcW w:w="2589" w:type="dxa"/>
                  <w:tcBorders>
                    <w:tl2br w:val="nil"/>
                    <w:tr2bl w:val="nil"/>
                  </w:tcBorders>
                  <w:vAlign w:val="center"/>
                </w:tcPr>
                <w:p w14:paraId="6834C5E0">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本项目C3311金属结构制造</w:t>
                  </w:r>
                  <w:r>
                    <w:rPr>
                      <w:rFonts w:hint="eastAsia" w:eastAsia="仿宋" w:cs="Times New Roman"/>
                      <w:color w:val="auto"/>
                      <w:sz w:val="21"/>
                      <w:szCs w:val="21"/>
                      <w:highlight w:val="none"/>
                      <w:lang w:val="en-US" w:eastAsia="zh-CN"/>
                    </w:rPr>
                    <w:t>和</w:t>
                  </w:r>
                  <w:r>
                    <w:rPr>
                      <w:rFonts w:hint="default" w:ascii="Times New Roman" w:hAnsi="Times New Roman" w:eastAsia="仿宋" w:cs="Times New Roman"/>
                      <w:color w:val="auto"/>
                      <w:sz w:val="21"/>
                      <w:szCs w:val="21"/>
                      <w:highlight w:val="none"/>
                      <w:lang w:val="en-US" w:eastAsia="zh-CN"/>
                    </w:rPr>
                    <w:t>C3741飞机制造，本项目</w:t>
                  </w:r>
                  <w:r>
                    <w:rPr>
                      <w:rFonts w:hint="default" w:ascii="Times New Roman" w:hAnsi="Times New Roman" w:eastAsia="仿宋" w:cs="Times New Roman"/>
                      <w:color w:val="auto"/>
                      <w:sz w:val="21"/>
                      <w:szCs w:val="21"/>
                      <w:highlight w:val="none"/>
                    </w:rPr>
                    <w:t>不属于所列行业</w:t>
                  </w:r>
                  <w:r>
                    <w:rPr>
                      <w:rFonts w:hint="default" w:ascii="Times New Roman" w:hAnsi="Times New Roman" w:eastAsia="仿宋" w:cs="Times New Roman"/>
                      <w:color w:val="auto"/>
                      <w:sz w:val="21"/>
                      <w:szCs w:val="21"/>
                      <w:highlight w:val="none"/>
                      <w:lang w:eastAsia="zh-CN"/>
                    </w:rPr>
                    <w:t>。</w:t>
                  </w:r>
                </w:p>
              </w:tc>
              <w:tc>
                <w:tcPr>
                  <w:tcW w:w="702" w:type="dxa"/>
                  <w:tcBorders>
                    <w:tl2br w:val="nil"/>
                    <w:tr2bl w:val="nil"/>
                  </w:tcBorders>
                  <w:vAlign w:val="center"/>
                </w:tcPr>
                <w:p w14:paraId="58DD9B88">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相符</w:t>
                  </w:r>
                </w:p>
              </w:tc>
            </w:tr>
            <w:tr w14:paraId="74425AC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0F3033B2">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环境风险防控</w:t>
                  </w:r>
                </w:p>
              </w:tc>
              <w:tc>
                <w:tcPr>
                  <w:tcW w:w="5118" w:type="dxa"/>
                  <w:tcBorders>
                    <w:tl2br w:val="nil"/>
                    <w:tr2bl w:val="nil"/>
                  </w:tcBorders>
                  <w:vAlign w:val="center"/>
                </w:tcPr>
                <w:p w14:paraId="74C8C0BF">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1.</w:t>
                  </w:r>
                  <w:r>
                    <w:rPr>
                      <w:rFonts w:hint="default" w:ascii="Times New Roman" w:hAnsi="Times New Roman" w:eastAsia="仿宋" w:cs="Times New Roman"/>
                      <w:color w:val="auto"/>
                      <w:sz w:val="21"/>
                      <w:szCs w:val="21"/>
                      <w:highlight w:val="none"/>
                    </w:rPr>
                    <w:t>运输剧毒物质、危险化学品的船舶不得进入太湖。</w:t>
                  </w:r>
                </w:p>
                <w:p w14:paraId="77BA9B2B">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2.</w:t>
                  </w:r>
                  <w:r>
                    <w:rPr>
                      <w:rFonts w:hint="default" w:ascii="Times New Roman" w:hAnsi="Times New Roman" w:eastAsia="仿宋" w:cs="Times New Roman"/>
                      <w:color w:val="auto"/>
                      <w:sz w:val="21"/>
                      <w:szCs w:val="21"/>
                      <w:highlight w:val="none"/>
                    </w:rPr>
                    <w:t>禁止向太湖流域水体排放或者倾倒油类、酸液、碱液、剧毒废渣废液、含放射性废渣废液、含病原体</w:t>
                  </w:r>
                  <w:r>
                    <w:rPr>
                      <w:rFonts w:hint="default" w:ascii="Times New Roman" w:hAnsi="Times New Roman" w:eastAsia="仿宋" w:cs="Times New Roman"/>
                      <w:color w:val="auto"/>
                      <w:sz w:val="21"/>
                      <w:szCs w:val="21"/>
                      <w:highlight w:val="none"/>
                      <w:lang w:eastAsia="zh-CN"/>
                    </w:rPr>
                    <w:t>污水</w:t>
                  </w:r>
                  <w:r>
                    <w:rPr>
                      <w:rFonts w:hint="default" w:ascii="Times New Roman" w:hAnsi="Times New Roman" w:eastAsia="仿宋" w:cs="Times New Roman"/>
                      <w:color w:val="auto"/>
                      <w:sz w:val="21"/>
                      <w:szCs w:val="21"/>
                      <w:highlight w:val="none"/>
                    </w:rPr>
                    <w:t>、工业废渣以及其他废弃物。</w:t>
                  </w:r>
                </w:p>
                <w:p w14:paraId="25A50858">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3.</w:t>
                  </w:r>
                  <w:r>
                    <w:rPr>
                      <w:rFonts w:hint="default" w:ascii="Times New Roman" w:hAnsi="Times New Roman" w:eastAsia="仿宋" w:cs="Times New Roman"/>
                      <w:color w:val="auto"/>
                      <w:sz w:val="21"/>
                      <w:szCs w:val="21"/>
                      <w:highlight w:val="none"/>
                    </w:rPr>
                    <w:t>加强太湖流域生态环境风险应急管控，着力提高防控太湖蓝藻水华风险预警和应急处置能力。</w:t>
                  </w:r>
                </w:p>
              </w:tc>
              <w:tc>
                <w:tcPr>
                  <w:tcW w:w="2589" w:type="dxa"/>
                  <w:tcBorders>
                    <w:tl2br w:val="nil"/>
                    <w:tr2bl w:val="nil"/>
                  </w:tcBorders>
                  <w:vAlign w:val="center"/>
                </w:tcPr>
                <w:p w14:paraId="77B45A62">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本项目不涉及太湖内船舶运输；本项目无氮磷生产废水排放，本项目生活污水经</w:t>
                  </w:r>
                  <w:r>
                    <w:rPr>
                      <w:rFonts w:hint="eastAsia" w:eastAsia="仿宋" w:cs="Times New Roman"/>
                      <w:color w:val="auto"/>
                      <w:sz w:val="21"/>
                      <w:szCs w:val="21"/>
                      <w:highlight w:val="none"/>
                      <w:lang w:val="en-US" w:eastAsia="zh-CN"/>
                    </w:rPr>
                    <w:t>市政管网排至苏州市相润排水管理有限公司（漕湖污水处理厂）</w:t>
                  </w:r>
                  <w:r>
                    <w:rPr>
                      <w:rFonts w:hint="default" w:ascii="Times New Roman" w:hAnsi="Times New Roman" w:eastAsia="仿宋" w:cs="Times New Roman"/>
                      <w:color w:val="auto"/>
                      <w:sz w:val="21"/>
                      <w:szCs w:val="21"/>
                      <w:highlight w:val="none"/>
                    </w:rPr>
                    <w:t>，处理达标后尾水排至胜岸港，不向太湖排放污染物，不属于禁止的行为。</w:t>
                  </w:r>
                </w:p>
              </w:tc>
              <w:tc>
                <w:tcPr>
                  <w:tcW w:w="702" w:type="dxa"/>
                  <w:tcBorders>
                    <w:tl2br w:val="nil"/>
                    <w:tr2bl w:val="nil"/>
                  </w:tcBorders>
                  <w:vAlign w:val="center"/>
                </w:tcPr>
                <w:p w14:paraId="6C7ACB24">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相符</w:t>
                  </w:r>
                </w:p>
              </w:tc>
            </w:tr>
            <w:tr w14:paraId="60446AF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687" w:type="dxa"/>
                  <w:tcBorders>
                    <w:tl2br w:val="nil"/>
                    <w:tr2bl w:val="nil"/>
                  </w:tcBorders>
                  <w:vAlign w:val="center"/>
                </w:tcPr>
                <w:p w14:paraId="421AEBFA">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资源利用效率要求</w:t>
                  </w:r>
                </w:p>
              </w:tc>
              <w:tc>
                <w:tcPr>
                  <w:tcW w:w="5118" w:type="dxa"/>
                  <w:tcBorders>
                    <w:tl2br w:val="nil"/>
                    <w:tr2bl w:val="nil"/>
                  </w:tcBorders>
                  <w:vAlign w:val="center"/>
                </w:tcPr>
                <w:p w14:paraId="5B9F46F5">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1.</w:t>
                  </w:r>
                  <w:r>
                    <w:rPr>
                      <w:rFonts w:hint="default" w:ascii="Times New Roman" w:hAnsi="Times New Roman" w:eastAsia="仿宋" w:cs="Times New Roman"/>
                      <w:color w:val="auto"/>
                      <w:sz w:val="21"/>
                      <w:szCs w:val="21"/>
                      <w:highlight w:val="none"/>
                    </w:rPr>
                    <w:t>严格用水定额管理制度，推进取用水规范化管理，科学制定用水定额并动态调整，对超过用水定额标准的企业分类分步先期实施节水改造，鼓励重点用水企业、园区建立智慧用水管理系统。</w:t>
                  </w:r>
                </w:p>
                <w:p w14:paraId="4675C1D4">
                  <w:pPr>
                    <w:keepNext w:val="0"/>
                    <w:keepLines w:val="0"/>
                    <w:widowControl w:val="0"/>
                    <w:suppressLineNumbers w:val="0"/>
                    <w:spacing w:before="0" w:beforeAutospacing="0" w:after="0" w:afterAutospacing="0" w:line="240" w:lineRule="auto"/>
                    <w:ind w:left="0" w:right="0"/>
                    <w:jc w:val="left"/>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2.</w:t>
                  </w:r>
                  <w:r>
                    <w:rPr>
                      <w:rFonts w:hint="default" w:ascii="Times New Roman" w:hAnsi="Times New Roman" w:eastAsia="仿宋" w:cs="Times New Roman"/>
                      <w:color w:val="auto"/>
                      <w:sz w:val="21"/>
                      <w:szCs w:val="21"/>
                      <w:highlight w:val="none"/>
                    </w:rPr>
                    <w:t>推进新孟河、新沟河、望虞河、走马塘等河道联合调度，科学调控太湖水位。</w:t>
                  </w:r>
                </w:p>
              </w:tc>
              <w:tc>
                <w:tcPr>
                  <w:tcW w:w="2589" w:type="dxa"/>
                  <w:tcBorders>
                    <w:tl2br w:val="nil"/>
                    <w:tr2bl w:val="nil"/>
                  </w:tcBorders>
                  <w:vAlign w:val="center"/>
                </w:tcPr>
                <w:p w14:paraId="12163AB2">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本项目运营过程中将消耗一定量的水资源，水资源消耗量相对区域资源利用总量较少，不会影响居民生活用水。</w:t>
                  </w:r>
                </w:p>
              </w:tc>
              <w:tc>
                <w:tcPr>
                  <w:tcW w:w="702" w:type="dxa"/>
                  <w:tcBorders>
                    <w:tl2br w:val="nil"/>
                    <w:tr2bl w:val="nil"/>
                  </w:tcBorders>
                  <w:vAlign w:val="center"/>
                </w:tcPr>
                <w:p w14:paraId="361686F7">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相符</w:t>
                  </w:r>
                </w:p>
              </w:tc>
            </w:tr>
          </w:tbl>
          <w:p w14:paraId="4EB48F33">
            <w:pPr>
              <w:keepNext w:val="0"/>
              <w:keepLines w:val="0"/>
              <w:suppressLineNumbers w:val="0"/>
              <w:spacing w:before="0" w:beforeAutospacing="0" w:after="0" w:afterAutospacing="0" w:line="360" w:lineRule="auto"/>
              <w:ind w:left="0" w:right="0" w:firstLine="482" w:firstLineChars="200"/>
              <w:rPr>
                <w:rFonts w:hint="eastAsia"/>
                <w:b/>
                <w:bCs/>
                <w:color w:val="auto"/>
                <w:sz w:val="24"/>
                <w:szCs w:val="24"/>
                <w:highlight w:val="none"/>
                <w:shd w:val="clear" w:color="auto" w:fill="FFFFFF"/>
                <w:lang w:eastAsia="zh-CN"/>
              </w:rPr>
            </w:pPr>
            <w:r>
              <w:rPr>
                <w:rFonts w:hint="eastAsia"/>
                <w:b/>
                <w:bCs/>
                <w:color w:val="auto"/>
                <w:sz w:val="24"/>
                <w:szCs w:val="24"/>
                <w:highlight w:val="none"/>
                <w:shd w:val="clear" w:color="auto" w:fill="FFFFFF"/>
              </w:rPr>
              <w:t>（</w:t>
            </w:r>
            <w:r>
              <w:rPr>
                <w:rFonts w:hint="eastAsia"/>
                <w:b/>
                <w:bCs/>
                <w:color w:val="auto"/>
                <w:sz w:val="24"/>
                <w:szCs w:val="24"/>
                <w:highlight w:val="none"/>
                <w:shd w:val="clear" w:color="auto" w:fill="FFFFFF"/>
                <w:lang w:val="en-US" w:eastAsia="zh-CN"/>
              </w:rPr>
              <w:t>4</w:t>
            </w:r>
            <w:r>
              <w:rPr>
                <w:rFonts w:hint="eastAsia"/>
                <w:b/>
                <w:bCs/>
                <w:color w:val="auto"/>
                <w:sz w:val="24"/>
                <w:szCs w:val="24"/>
                <w:highlight w:val="none"/>
                <w:shd w:val="clear" w:color="auto" w:fill="FFFFFF"/>
              </w:rPr>
              <w:t>）</w:t>
            </w:r>
            <w:r>
              <w:rPr>
                <w:rFonts w:hint="default"/>
                <w:b/>
                <w:bCs/>
                <w:color w:val="auto"/>
                <w:sz w:val="24"/>
                <w:szCs w:val="24"/>
                <w:highlight w:val="none"/>
                <w:shd w:val="clear" w:color="auto" w:fill="FFFFFF"/>
              </w:rPr>
              <w:t>与《苏州市</w:t>
            </w:r>
            <w:r>
              <w:rPr>
                <w:rFonts w:hint="eastAsia" w:ascii="宋体" w:hAnsi="宋体" w:cs="宋体"/>
                <w:b/>
                <w:bCs/>
                <w:color w:val="auto"/>
                <w:sz w:val="24"/>
                <w:szCs w:val="24"/>
                <w:highlight w:val="none"/>
                <w:shd w:val="clear" w:color="auto" w:fill="FFFFFF"/>
                <w:lang w:eastAsia="zh-CN"/>
              </w:rPr>
              <w:t>“</w:t>
            </w:r>
            <w:r>
              <w:rPr>
                <w:rFonts w:hint="eastAsia" w:ascii="宋体" w:hAnsi="宋体" w:eastAsia="宋体" w:cs="宋体"/>
                <w:b/>
                <w:bCs/>
                <w:color w:val="auto"/>
                <w:sz w:val="24"/>
                <w:szCs w:val="24"/>
                <w:highlight w:val="none"/>
                <w:shd w:val="clear" w:color="auto" w:fill="FFFFFF"/>
              </w:rPr>
              <w:t>三线一单</w:t>
            </w:r>
            <w:r>
              <w:rPr>
                <w:rFonts w:hint="eastAsia" w:ascii="宋体" w:hAnsi="宋体" w:cs="宋体"/>
                <w:b/>
                <w:bCs/>
                <w:color w:val="auto"/>
                <w:sz w:val="24"/>
                <w:szCs w:val="24"/>
                <w:highlight w:val="none"/>
                <w:shd w:val="clear" w:color="auto" w:fill="FFFFFF"/>
                <w:lang w:eastAsia="zh-CN"/>
              </w:rPr>
              <w:t>”</w:t>
            </w:r>
            <w:r>
              <w:rPr>
                <w:rFonts w:hint="default"/>
                <w:b/>
                <w:bCs/>
                <w:color w:val="auto"/>
                <w:sz w:val="24"/>
                <w:szCs w:val="24"/>
                <w:highlight w:val="none"/>
                <w:shd w:val="clear" w:color="auto" w:fill="FFFFFF"/>
              </w:rPr>
              <w:t>生态环境分区管控实施方案》（苏环办字〔2020〕313号）</w:t>
            </w:r>
            <w:r>
              <w:rPr>
                <w:rFonts w:hint="eastAsia"/>
                <w:b/>
                <w:bCs/>
                <w:color w:val="auto"/>
                <w:sz w:val="24"/>
                <w:szCs w:val="24"/>
                <w:highlight w:val="none"/>
                <w:shd w:val="clear" w:color="auto" w:fill="FFFFFF"/>
                <w:lang w:eastAsia="zh-CN"/>
              </w:rPr>
              <w:t>、《苏州市2023年度生态环境分区管控动态更新成果》相符性分析</w:t>
            </w:r>
          </w:p>
          <w:p w14:paraId="145E277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eastAsia="宋体"/>
                <w:color w:val="auto"/>
                <w:sz w:val="24"/>
                <w:szCs w:val="24"/>
                <w:highlight w:val="none"/>
                <w:lang w:val="en-US" w:eastAsia="zh-CN"/>
              </w:rPr>
            </w:pPr>
            <w:r>
              <w:rPr>
                <w:rFonts w:hint="default"/>
                <w:color w:val="auto"/>
                <w:sz w:val="24"/>
                <w:szCs w:val="24"/>
                <w:highlight w:val="none"/>
              </w:rPr>
              <w:t>本项目</w:t>
            </w:r>
            <w:r>
              <w:rPr>
                <w:rFonts w:hint="eastAsia"/>
                <w:color w:val="auto"/>
                <w:sz w:val="24"/>
                <w:szCs w:val="24"/>
                <w:highlight w:val="none"/>
              </w:rPr>
              <w:t>生产地址为苏州市漕湖街道永昌路28号A栋11单元</w:t>
            </w:r>
            <w:r>
              <w:rPr>
                <w:rFonts w:hint="default"/>
                <w:color w:val="auto"/>
                <w:sz w:val="24"/>
                <w:szCs w:val="24"/>
                <w:highlight w:val="none"/>
              </w:rPr>
              <w:t>，</w:t>
            </w:r>
            <w:r>
              <w:rPr>
                <w:rFonts w:hint="eastAsia"/>
                <w:color w:val="auto"/>
                <w:sz w:val="24"/>
                <w:szCs w:val="24"/>
                <w:highlight w:val="none"/>
                <w:lang w:val="en-US" w:eastAsia="zh-CN"/>
              </w:rPr>
              <w:t>位于相城经济技术开发区（相城经济技术开发区二期（不包括漕湖））（1609.13m</w:t>
            </w:r>
            <w:r>
              <w:rPr>
                <w:rFonts w:hint="eastAsia"/>
                <w:color w:val="auto"/>
                <w:sz w:val="24"/>
                <w:szCs w:val="24"/>
                <w:highlight w:val="none"/>
                <w:vertAlign w:val="superscript"/>
                <w:lang w:val="en-US" w:eastAsia="zh-CN"/>
              </w:rPr>
              <w:t>2</w:t>
            </w:r>
            <w:r>
              <w:rPr>
                <w:rFonts w:hint="eastAsia"/>
                <w:color w:val="auto"/>
                <w:sz w:val="24"/>
                <w:szCs w:val="24"/>
                <w:highlight w:val="none"/>
                <w:lang w:val="en-US" w:eastAsia="zh-CN"/>
              </w:rPr>
              <w:t>）</w:t>
            </w:r>
            <w:r>
              <w:rPr>
                <w:rFonts w:hint="eastAsia"/>
                <w:color w:val="auto"/>
                <w:sz w:val="24"/>
                <w:szCs w:val="24"/>
                <w:highlight w:val="none"/>
                <w:lang w:eastAsia="zh-CN"/>
              </w:rPr>
              <w:t>，</w:t>
            </w:r>
            <w:r>
              <w:rPr>
                <w:rFonts w:hint="eastAsia"/>
                <w:color w:val="auto"/>
                <w:sz w:val="24"/>
                <w:szCs w:val="24"/>
                <w:highlight w:val="none"/>
              </w:rPr>
              <w:t>对照《苏州市</w:t>
            </w:r>
            <w:r>
              <w:rPr>
                <w:rFonts w:hint="eastAsia"/>
                <w:color w:val="auto"/>
                <w:sz w:val="24"/>
                <w:szCs w:val="24"/>
                <w:highlight w:val="none"/>
                <w:lang w:eastAsia="zh-CN"/>
              </w:rPr>
              <w:t>“</w:t>
            </w:r>
            <w:r>
              <w:rPr>
                <w:rFonts w:hint="eastAsia"/>
                <w:color w:val="auto"/>
                <w:sz w:val="24"/>
                <w:szCs w:val="24"/>
                <w:highlight w:val="none"/>
              </w:rPr>
              <w:t>三线一单</w:t>
            </w:r>
            <w:r>
              <w:rPr>
                <w:rFonts w:hint="eastAsia"/>
                <w:color w:val="auto"/>
                <w:sz w:val="24"/>
                <w:szCs w:val="24"/>
                <w:highlight w:val="none"/>
                <w:lang w:eastAsia="zh-CN"/>
              </w:rPr>
              <w:t>”</w:t>
            </w:r>
            <w:r>
              <w:rPr>
                <w:rFonts w:hint="eastAsia"/>
                <w:color w:val="auto"/>
                <w:sz w:val="24"/>
                <w:szCs w:val="24"/>
                <w:highlight w:val="none"/>
              </w:rPr>
              <w:t>生态环境分区管控实施方案》（苏环办字〔2020〕313号）中</w:t>
            </w:r>
            <w:r>
              <w:rPr>
                <w:rFonts w:hint="eastAsia"/>
                <w:color w:val="auto"/>
                <w:sz w:val="24"/>
                <w:szCs w:val="24"/>
                <w:highlight w:val="none"/>
                <w:lang w:eastAsia="zh-CN"/>
              </w:rPr>
              <w:t>“</w:t>
            </w:r>
            <w:r>
              <w:rPr>
                <w:rFonts w:hint="eastAsia"/>
                <w:color w:val="auto"/>
                <w:sz w:val="24"/>
                <w:szCs w:val="24"/>
                <w:highlight w:val="none"/>
              </w:rPr>
              <w:t>苏州市环境管控单元名录</w:t>
            </w:r>
            <w:r>
              <w:rPr>
                <w:rFonts w:hint="eastAsia"/>
                <w:color w:val="auto"/>
                <w:sz w:val="24"/>
                <w:szCs w:val="24"/>
                <w:highlight w:val="none"/>
                <w:lang w:eastAsia="zh-CN"/>
              </w:rPr>
              <w:t>”</w:t>
            </w:r>
            <w:r>
              <w:rPr>
                <w:rFonts w:hint="eastAsia"/>
                <w:color w:val="auto"/>
                <w:sz w:val="24"/>
                <w:szCs w:val="24"/>
                <w:highlight w:val="none"/>
                <w:lang w:val="en-US" w:eastAsia="zh-CN"/>
              </w:rPr>
              <w:t>和《苏州市2023年度生态环境分区管控动态更新成果》</w:t>
            </w:r>
            <w:r>
              <w:rPr>
                <w:rFonts w:hint="eastAsia"/>
                <w:color w:val="auto"/>
                <w:sz w:val="24"/>
                <w:szCs w:val="24"/>
                <w:highlight w:val="none"/>
              </w:rPr>
              <w:t>，</w:t>
            </w:r>
            <w:r>
              <w:rPr>
                <w:rFonts w:hint="eastAsia"/>
                <w:color w:val="auto"/>
                <w:sz w:val="24"/>
                <w:szCs w:val="24"/>
                <w:highlight w:val="none"/>
                <w:lang w:eastAsia="zh-CN"/>
              </w:rPr>
              <w:t>“</w:t>
            </w:r>
            <w:r>
              <w:rPr>
                <w:rFonts w:hint="eastAsia"/>
                <w:color w:val="auto"/>
                <w:sz w:val="24"/>
                <w:szCs w:val="24"/>
                <w:highlight w:val="none"/>
                <w:lang w:val="en-US" w:eastAsia="zh-CN"/>
              </w:rPr>
              <w:t>相城经济技术开发区（相城经济技术开发区二期（不包括漕湖））（1609.13m</w:t>
            </w:r>
            <w:r>
              <w:rPr>
                <w:rFonts w:hint="eastAsia"/>
                <w:color w:val="auto"/>
                <w:sz w:val="24"/>
                <w:szCs w:val="24"/>
                <w:highlight w:val="none"/>
                <w:vertAlign w:val="superscript"/>
                <w:lang w:val="en-US" w:eastAsia="zh-CN"/>
              </w:rPr>
              <w:t>2</w:t>
            </w:r>
            <w:r>
              <w:rPr>
                <w:rFonts w:hint="eastAsia"/>
                <w:color w:val="auto"/>
                <w:sz w:val="24"/>
                <w:szCs w:val="24"/>
                <w:highlight w:val="none"/>
                <w:lang w:val="en-US" w:eastAsia="zh-CN"/>
              </w:rPr>
              <w:t>）</w:t>
            </w:r>
            <w:r>
              <w:rPr>
                <w:rFonts w:hint="eastAsia"/>
                <w:color w:val="auto"/>
                <w:sz w:val="24"/>
                <w:szCs w:val="24"/>
                <w:highlight w:val="none"/>
                <w:lang w:eastAsia="zh-CN"/>
              </w:rPr>
              <w:t>”</w:t>
            </w:r>
            <w:r>
              <w:rPr>
                <w:rFonts w:hint="default"/>
                <w:color w:val="auto"/>
                <w:sz w:val="24"/>
                <w:szCs w:val="24"/>
                <w:highlight w:val="none"/>
              </w:rPr>
              <w:t>属于其规定的重点管控单元</w:t>
            </w:r>
            <w:r>
              <w:rPr>
                <w:rFonts w:hint="eastAsia"/>
                <w:color w:val="auto"/>
                <w:sz w:val="24"/>
                <w:szCs w:val="24"/>
                <w:highlight w:val="none"/>
                <w:lang w:eastAsia="zh-CN"/>
              </w:rPr>
              <w:t>（</w:t>
            </w:r>
            <w:r>
              <w:rPr>
                <w:rFonts w:hint="eastAsia"/>
                <w:color w:val="auto"/>
                <w:sz w:val="24"/>
                <w:szCs w:val="24"/>
                <w:highlight w:val="none"/>
                <w:lang w:val="en-US" w:eastAsia="zh-CN"/>
              </w:rPr>
              <w:t>附图12</w:t>
            </w:r>
            <w:r>
              <w:rPr>
                <w:rFonts w:hint="eastAsia"/>
                <w:color w:val="auto"/>
                <w:sz w:val="24"/>
                <w:szCs w:val="24"/>
                <w:highlight w:val="none"/>
                <w:lang w:eastAsia="zh-CN"/>
              </w:rPr>
              <w:t>）</w:t>
            </w:r>
            <w:r>
              <w:rPr>
                <w:rFonts w:hint="default"/>
                <w:color w:val="auto"/>
                <w:sz w:val="24"/>
                <w:szCs w:val="24"/>
                <w:highlight w:val="none"/>
              </w:rPr>
              <w:t>。</w:t>
            </w:r>
            <w:r>
              <w:rPr>
                <w:rFonts w:hint="eastAsia"/>
                <w:color w:val="auto"/>
                <w:sz w:val="24"/>
                <w:szCs w:val="24"/>
                <w:highlight w:val="none"/>
                <w:lang w:val="en-US" w:eastAsia="zh-CN"/>
              </w:rPr>
              <w:t>对照苏州市市域生态环境管控要求及苏州市重点管控单元生态环境准入清单，具体分析如下。</w:t>
            </w:r>
          </w:p>
          <w:p w14:paraId="530DB0E7">
            <w:pPr>
              <w:widowControl/>
              <w:numPr>
                <w:ilvl w:val="0"/>
                <w:numId w:val="3"/>
              </w:numPr>
              <w:ind w:left="210" w:leftChars="0" w:firstLine="0" w:firstLineChars="0"/>
              <w:jc w:val="center"/>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与</w:t>
            </w:r>
            <w:r>
              <w:rPr>
                <w:rFonts w:hint="eastAsia" w:ascii="Times New Roman" w:hAnsi="Times New Roman" w:eastAsia="宋体" w:cs="Times New Roman"/>
                <w:b/>
                <w:color w:val="auto"/>
                <w:kern w:val="0"/>
                <w:sz w:val="24"/>
                <w:szCs w:val="24"/>
                <w:highlight w:val="none"/>
                <w:lang w:eastAsia="zh-CN"/>
              </w:rPr>
              <w:t>《</w:t>
            </w:r>
            <w:r>
              <w:rPr>
                <w:rFonts w:hint="default" w:ascii="Times New Roman" w:hAnsi="Times New Roman" w:eastAsia="宋体" w:cs="Times New Roman"/>
                <w:b/>
                <w:color w:val="auto"/>
                <w:kern w:val="0"/>
                <w:sz w:val="24"/>
                <w:szCs w:val="24"/>
                <w:highlight w:val="none"/>
              </w:rPr>
              <w:t>苏州市市域生态环境管控要求</w:t>
            </w:r>
            <w:r>
              <w:rPr>
                <w:rFonts w:hint="eastAsia" w:ascii="Times New Roman" w:hAnsi="Times New Roman" w:eastAsia="宋体" w:cs="Times New Roman"/>
                <w:b/>
                <w:color w:val="auto"/>
                <w:kern w:val="0"/>
                <w:sz w:val="24"/>
                <w:szCs w:val="24"/>
                <w:highlight w:val="none"/>
                <w:lang w:eastAsia="zh-CN"/>
              </w:rPr>
              <w:t>》</w:t>
            </w:r>
            <w:r>
              <w:rPr>
                <w:rFonts w:hint="default" w:ascii="Times New Roman" w:hAnsi="Times New Roman" w:eastAsia="宋体" w:cs="Times New Roman"/>
                <w:b/>
                <w:color w:val="auto"/>
                <w:kern w:val="0"/>
                <w:sz w:val="24"/>
                <w:szCs w:val="24"/>
                <w:highlight w:val="none"/>
              </w:rPr>
              <w:t>相符性分析</w:t>
            </w:r>
          </w:p>
          <w:tbl>
            <w:tblPr>
              <w:tblStyle w:val="22"/>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13"/>
              <w:gridCol w:w="4496"/>
              <w:gridCol w:w="3223"/>
              <w:gridCol w:w="860"/>
            </w:tblGrid>
            <w:tr w14:paraId="78CC74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754" w:type="pct"/>
                  <w:gridSpan w:val="2"/>
                  <w:tcBorders>
                    <w:tl2br w:val="nil"/>
                    <w:tr2bl w:val="nil"/>
                  </w:tcBorders>
                  <w:vAlign w:val="center"/>
                </w:tcPr>
                <w:p w14:paraId="2E8578E6">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生态环境管控要求</w:t>
                  </w:r>
                </w:p>
              </w:tc>
              <w:tc>
                <w:tcPr>
                  <w:tcW w:w="1772" w:type="pct"/>
                  <w:tcBorders>
                    <w:tl2br w:val="nil"/>
                    <w:tr2bl w:val="nil"/>
                  </w:tcBorders>
                  <w:vAlign w:val="center"/>
                </w:tcPr>
                <w:p w14:paraId="1D020859">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本项目情况</w:t>
                  </w:r>
                </w:p>
              </w:tc>
              <w:tc>
                <w:tcPr>
                  <w:tcW w:w="473" w:type="pct"/>
                  <w:tcBorders>
                    <w:tl2br w:val="nil"/>
                    <w:tr2bl w:val="nil"/>
                  </w:tcBorders>
                  <w:vAlign w:val="center"/>
                </w:tcPr>
                <w:p w14:paraId="61CB2CEB">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相符性</w:t>
                  </w:r>
                </w:p>
              </w:tc>
            </w:tr>
            <w:tr w14:paraId="51903B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82" w:type="pct"/>
                  <w:vMerge w:val="restart"/>
                  <w:tcBorders>
                    <w:tl2br w:val="nil"/>
                    <w:tr2bl w:val="nil"/>
                  </w:tcBorders>
                  <w:vAlign w:val="center"/>
                </w:tcPr>
                <w:p w14:paraId="1178AF8C">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空间布局约束</w:t>
                  </w:r>
                </w:p>
              </w:tc>
              <w:tc>
                <w:tcPr>
                  <w:tcW w:w="2471" w:type="pct"/>
                  <w:tcBorders>
                    <w:tl2br w:val="nil"/>
                    <w:tr2bl w:val="nil"/>
                  </w:tcBorders>
                  <w:vAlign w:val="center"/>
                </w:tcPr>
                <w:p w14:paraId="32FCF85C">
                  <w:pPr>
                    <w:pStyle w:val="10"/>
                    <w:keepNext w:val="0"/>
                    <w:keepLines w:val="0"/>
                    <w:suppressLineNumbers w:val="0"/>
                    <w:adjustRightInd w:val="0"/>
                    <w:snapToGrid w:val="0"/>
                    <w:spacing w:before="0" w:beforeAutospacing="0" w:after="0" w:afterAutospacing="0" w:line="240" w:lineRule="auto"/>
                    <w:ind w:left="0" w:leftChars="0" w:right="0" w:rightChars="0"/>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按照《自然资源部生态环境部国家林业和草原局关于加强生态保护红线管理的通知（试行）》（自然资发〔2022〕142号）、《省政府关于印发江苏省生态空间管控区域规划的通知》（苏政发〔2020〕1号）、《关于进一步加强生态保护红线监督管理的通知》（苏自然函〔202</w:t>
                  </w:r>
                  <w:r>
                    <w:rPr>
                      <w:rFonts w:hint="eastAsia" w:ascii="Times New Roman" w:hAnsi="Times New Roman"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lang w:val="en-US" w:eastAsia="zh-CN"/>
                    </w:rPr>
                    <w:t>〕880号）、《苏州市国土空间总体规划（2021-2035年）》，坚持节约优先、保护优先、自然恢复为主的方针，以改善生态环境质量为核心，以保障和维护生态功能为主线，统筹山水林田湖草沙一体化保护和修复，严守生态保护红线，实行最严格的生态空间管控制度，确保全市生态功能不降低、面积不减少、性质不改变，切实维护生态安全。</w:t>
                  </w:r>
                </w:p>
              </w:tc>
              <w:tc>
                <w:tcPr>
                  <w:tcW w:w="1772" w:type="pct"/>
                  <w:tcBorders>
                    <w:tl2br w:val="nil"/>
                    <w:tr2bl w:val="nil"/>
                  </w:tcBorders>
                  <w:vAlign w:val="center"/>
                </w:tcPr>
                <w:p w14:paraId="3B035467">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eastAsia="zh-CN"/>
                    </w:rPr>
                    <w:t>本项目不在生态保护</w:t>
                  </w:r>
                  <w:r>
                    <w:rPr>
                      <w:rFonts w:hint="default" w:ascii="Times New Roman" w:hAnsi="Times New Roman" w:eastAsia="仿宋" w:cs="Times New Roman"/>
                      <w:color w:val="auto"/>
                      <w:sz w:val="21"/>
                      <w:szCs w:val="21"/>
                      <w:highlight w:val="none"/>
                      <w:lang w:val="en-US" w:eastAsia="zh-CN"/>
                    </w:rPr>
                    <w:t>红线</w:t>
                  </w:r>
                  <w:r>
                    <w:rPr>
                      <w:rFonts w:hint="default" w:ascii="Times New Roman" w:hAnsi="Times New Roman" w:eastAsia="仿宋" w:cs="Times New Roman"/>
                      <w:color w:val="auto"/>
                      <w:sz w:val="21"/>
                      <w:szCs w:val="21"/>
                      <w:highlight w:val="none"/>
                      <w:lang w:eastAsia="zh-CN"/>
                    </w:rPr>
                    <w:t>及</w:t>
                  </w:r>
                  <w:r>
                    <w:rPr>
                      <w:rFonts w:hint="default" w:ascii="Times New Roman" w:hAnsi="Times New Roman" w:eastAsia="仿宋" w:cs="Times New Roman"/>
                      <w:color w:val="auto"/>
                      <w:sz w:val="21"/>
                      <w:szCs w:val="21"/>
                      <w:highlight w:val="none"/>
                      <w:lang w:val="en-US" w:eastAsia="zh-CN"/>
                    </w:rPr>
                    <w:t>生态空间管控区范围</w:t>
                  </w:r>
                  <w:r>
                    <w:rPr>
                      <w:rFonts w:hint="default" w:ascii="Times New Roman" w:hAnsi="Times New Roman" w:eastAsia="仿宋" w:cs="Times New Roman"/>
                      <w:color w:val="auto"/>
                      <w:sz w:val="21"/>
                      <w:szCs w:val="21"/>
                      <w:highlight w:val="none"/>
                      <w:lang w:eastAsia="zh-CN"/>
                    </w:rPr>
                    <w:t>内。</w:t>
                  </w:r>
                </w:p>
              </w:tc>
              <w:tc>
                <w:tcPr>
                  <w:tcW w:w="473" w:type="pct"/>
                  <w:tcBorders>
                    <w:tl2br w:val="nil"/>
                    <w:tr2bl w:val="nil"/>
                  </w:tcBorders>
                  <w:vAlign w:val="center"/>
                </w:tcPr>
                <w:p w14:paraId="42427DDC">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r w14:paraId="01191C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82" w:type="pct"/>
                  <w:vMerge w:val="continue"/>
                  <w:tcBorders>
                    <w:tl2br w:val="nil"/>
                    <w:tr2bl w:val="nil"/>
                  </w:tcBorders>
                  <w:vAlign w:val="center"/>
                </w:tcPr>
                <w:p w14:paraId="14D0562B">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p>
              </w:tc>
              <w:tc>
                <w:tcPr>
                  <w:tcW w:w="2471" w:type="pct"/>
                  <w:tcBorders>
                    <w:tl2br w:val="nil"/>
                    <w:tr2bl w:val="nil"/>
                  </w:tcBorders>
                  <w:vAlign w:val="center"/>
                </w:tcPr>
                <w:p w14:paraId="3D375E7E">
                  <w:pPr>
                    <w:pStyle w:val="10"/>
                    <w:keepNext w:val="0"/>
                    <w:keepLines w:val="0"/>
                    <w:suppressLineNumbers w:val="0"/>
                    <w:adjustRightInd w:val="0"/>
                    <w:snapToGrid w:val="0"/>
                    <w:spacing w:before="0" w:beforeAutospacing="0" w:after="0" w:afterAutospacing="0" w:line="240" w:lineRule="auto"/>
                    <w:ind w:left="0" w:leftChars="0" w:right="0" w:rightChars="0"/>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全市太湖、阳澄湖保护区执行《江苏省太湖水污染防治条例》《苏州市阳澄湖水源水质保护条例》等文件要求。</w:t>
                  </w:r>
                </w:p>
              </w:tc>
              <w:tc>
                <w:tcPr>
                  <w:tcW w:w="1772" w:type="pct"/>
                  <w:tcBorders>
                    <w:tl2br w:val="nil"/>
                    <w:tr2bl w:val="nil"/>
                  </w:tcBorders>
                  <w:vAlign w:val="center"/>
                </w:tcPr>
                <w:p w14:paraId="14BB3C97">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本项目位于太湖流域三级保护区，不属于《江苏省太湖水污染防治条例》所禁止类项目，符合《江苏省太湖水污染防治条例》的要求，本项目不在阳澄湖水源水质保护区范围内。</w:t>
                  </w:r>
                </w:p>
              </w:tc>
              <w:tc>
                <w:tcPr>
                  <w:tcW w:w="473" w:type="pct"/>
                  <w:tcBorders>
                    <w:tl2br w:val="nil"/>
                    <w:tr2bl w:val="nil"/>
                  </w:tcBorders>
                  <w:vAlign w:val="center"/>
                </w:tcPr>
                <w:p w14:paraId="7FE54D2A">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r w14:paraId="74ECC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82" w:type="pct"/>
                  <w:vMerge w:val="continue"/>
                  <w:tcBorders>
                    <w:tl2br w:val="nil"/>
                    <w:tr2bl w:val="nil"/>
                  </w:tcBorders>
                  <w:vAlign w:val="center"/>
                </w:tcPr>
                <w:p w14:paraId="542815DD">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p>
              </w:tc>
              <w:tc>
                <w:tcPr>
                  <w:tcW w:w="2471" w:type="pct"/>
                  <w:tcBorders>
                    <w:tl2br w:val="nil"/>
                    <w:tr2bl w:val="nil"/>
                  </w:tcBorders>
                  <w:vAlign w:val="center"/>
                </w:tcPr>
                <w:p w14:paraId="63F4CEA6">
                  <w:pPr>
                    <w:pStyle w:val="10"/>
                    <w:keepNext w:val="0"/>
                    <w:keepLines w:val="0"/>
                    <w:suppressLineNumbers w:val="0"/>
                    <w:adjustRightInd w:val="0"/>
                    <w:snapToGrid w:val="0"/>
                    <w:spacing w:before="0" w:beforeAutospacing="0" w:after="0" w:afterAutospacing="0" w:line="240" w:lineRule="auto"/>
                    <w:ind w:left="0" w:leftChars="0" w:right="0" w:rightChars="0"/>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严格执行《〈长江经济带发展负面清单指南（试行，2022年版）〉江苏省实施细则》（苏长江办发〔2022〕55号）中相关要求。</w:t>
                  </w:r>
                </w:p>
              </w:tc>
              <w:tc>
                <w:tcPr>
                  <w:tcW w:w="1772" w:type="pct"/>
                  <w:tcBorders>
                    <w:tl2br w:val="nil"/>
                    <w:tr2bl w:val="nil"/>
                  </w:tcBorders>
                  <w:vAlign w:val="center"/>
                </w:tcPr>
                <w:p w14:paraId="27AC58C7">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本项目不在《〈长江经济带发展负面清单指南（试行，2022年版）〉江苏省实施细则》（苏长江办发〔2022〕55号）所列禁止项目。</w:t>
                  </w:r>
                </w:p>
              </w:tc>
              <w:tc>
                <w:tcPr>
                  <w:tcW w:w="473" w:type="pct"/>
                  <w:tcBorders>
                    <w:tl2br w:val="nil"/>
                    <w:tr2bl w:val="nil"/>
                  </w:tcBorders>
                  <w:vAlign w:val="center"/>
                </w:tcPr>
                <w:p w14:paraId="475CF2DF">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r w14:paraId="64CE18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24" w:hRule="atLeast"/>
              </w:trPr>
              <w:tc>
                <w:tcPr>
                  <w:tcW w:w="282" w:type="pct"/>
                  <w:vMerge w:val="continue"/>
                  <w:tcBorders>
                    <w:tl2br w:val="nil"/>
                    <w:tr2bl w:val="nil"/>
                  </w:tcBorders>
                  <w:vAlign w:val="center"/>
                </w:tcPr>
                <w:p w14:paraId="45864DE5">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p>
              </w:tc>
              <w:tc>
                <w:tcPr>
                  <w:tcW w:w="2471" w:type="pct"/>
                  <w:tcBorders>
                    <w:tl2br w:val="nil"/>
                    <w:tr2bl w:val="nil"/>
                  </w:tcBorders>
                  <w:vAlign w:val="center"/>
                </w:tcPr>
                <w:p w14:paraId="4D312F84">
                  <w:pPr>
                    <w:pStyle w:val="10"/>
                    <w:keepNext w:val="0"/>
                    <w:keepLines w:val="0"/>
                    <w:suppressLineNumbers w:val="0"/>
                    <w:adjustRightInd w:val="0"/>
                    <w:snapToGrid w:val="0"/>
                    <w:spacing w:before="0" w:beforeAutospacing="0" w:after="0" w:afterAutospacing="0" w:line="240" w:lineRule="auto"/>
                    <w:ind w:left="0" w:leftChars="0" w:right="0"/>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禁止引进列入《苏州市产业发展导向目录》禁止类、淘汰类的产业。</w:t>
                  </w:r>
                </w:p>
              </w:tc>
              <w:tc>
                <w:tcPr>
                  <w:tcW w:w="1772" w:type="pct"/>
                  <w:tcBorders>
                    <w:tl2br w:val="nil"/>
                    <w:tr2bl w:val="nil"/>
                  </w:tcBorders>
                  <w:vAlign w:val="center"/>
                </w:tcPr>
                <w:p w14:paraId="48377A7B">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本项目不在《苏州市产业发展导向目录》中禁止类、淘汰类产业目录中。</w:t>
                  </w:r>
                </w:p>
              </w:tc>
              <w:tc>
                <w:tcPr>
                  <w:tcW w:w="473" w:type="pct"/>
                  <w:tcBorders>
                    <w:tl2br w:val="nil"/>
                    <w:tr2bl w:val="nil"/>
                  </w:tcBorders>
                  <w:vAlign w:val="center"/>
                </w:tcPr>
                <w:p w14:paraId="6BDC88B9">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r w14:paraId="4B0A43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82" w:type="pct"/>
                  <w:vMerge w:val="restart"/>
                  <w:tcBorders>
                    <w:tl2br w:val="nil"/>
                    <w:tr2bl w:val="nil"/>
                  </w:tcBorders>
                  <w:vAlign w:val="center"/>
                </w:tcPr>
                <w:p w14:paraId="23C1CE51">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污染物排放管控</w:t>
                  </w:r>
                </w:p>
              </w:tc>
              <w:tc>
                <w:tcPr>
                  <w:tcW w:w="2471" w:type="pct"/>
                  <w:tcBorders>
                    <w:tl2br w:val="nil"/>
                    <w:tr2bl w:val="nil"/>
                  </w:tcBorders>
                  <w:vAlign w:val="center"/>
                </w:tcPr>
                <w:p w14:paraId="3A48F4CB">
                  <w:pPr>
                    <w:pStyle w:val="10"/>
                    <w:keepNext w:val="0"/>
                    <w:keepLines w:val="0"/>
                    <w:suppressLineNumbers w:val="0"/>
                    <w:adjustRightInd w:val="0"/>
                    <w:snapToGrid w:val="0"/>
                    <w:spacing w:before="0" w:beforeAutospacing="0" w:after="0" w:afterAutospacing="0" w:line="240" w:lineRule="auto"/>
                    <w:ind w:left="0" w:leftChars="0" w:right="0"/>
                    <w:jc w:val="left"/>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坚持生态环境质量只能更好、不能变坏，实施污染物总量控制，以环境容量定产业、定项目、定规模，确保开发建设行为不突破生态环境承载力。</w:t>
                  </w:r>
                </w:p>
              </w:tc>
              <w:tc>
                <w:tcPr>
                  <w:tcW w:w="1772" w:type="pct"/>
                  <w:vMerge w:val="restart"/>
                  <w:tcBorders>
                    <w:tl2br w:val="nil"/>
                    <w:tr2bl w:val="nil"/>
                  </w:tcBorders>
                  <w:vAlign w:val="center"/>
                </w:tcPr>
                <w:p w14:paraId="4D5C8E43">
                  <w:pPr>
                    <w:pStyle w:val="10"/>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本项目污染物符合总量控制要求，不会突破生态环境承载力。</w:t>
                  </w:r>
                </w:p>
              </w:tc>
              <w:tc>
                <w:tcPr>
                  <w:tcW w:w="473" w:type="pct"/>
                  <w:vMerge w:val="restart"/>
                  <w:tcBorders>
                    <w:tl2br w:val="nil"/>
                    <w:tr2bl w:val="nil"/>
                  </w:tcBorders>
                  <w:vAlign w:val="center"/>
                </w:tcPr>
                <w:p w14:paraId="6A44FCEE">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r w14:paraId="23654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14" w:hRule="atLeast"/>
              </w:trPr>
              <w:tc>
                <w:tcPr>
                  <w:tcW w:w="282" w:type="pct"/>
                  <w:vMerge w:val="continue"/>
                  <w:tcBorders>
                    <w:tl2br w:val="nil"/>
                    <w:tr2bl w:val="nil"/>
                  </w:tcBorders>
                  <w:vAlign w:val="center"/>
                </w:tcPr>
                <w:p w14:paraId="7C930979">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p>
              </w:tc>
              <w:tc>
                <w:tcPr>
                  <w:tcW w:w="2471" w:type="pct"/>
                  <w:tcBorders>
                    <w:tl2br w:val="nil"/>
                    <w:tr2bl w:val="nil"/>
                  </w:tcBorders>
                  <w:vAlign w:val="center"/>
                </w:tcPr>
                <w:p w14:paraId="5051DBB1">
                  <w:pPr>
                    <w:pStyle w:val="10"/>
                    <w:keepNext w:val="0"/>
                    <w:keepLines w:val="0"/>
                    <w:suppressLineNumbers w:val="0"/>
                    <w:adjustRightInd w:val="0"/>
                    <w:snapToGrid w:val="0"/>
                    <w:spacing w:before="0" w:beforeAutospacing="0" w:after="0" w:afterAutospacing="0" w:line="240" w:lineRule="auto"/>
                    <w:ind w:left="0" w:leftChars="0" w:right="0"/>
                    <w:jc w:val="left"/>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2025年苏州市主要污染物排放量达到省定要求。</w:t>
                  </w:r>
                </w:p>
              </w:tc>
              <w:tc>
                <w:tcPr>
                  <w:tcW w:w="1772" w:type="pct"/>
                  <w:vMerge w:val="continue"/>
                  <w:tcBorders>
                    <w:tl2br w:val="nil"/>
                    <w:tr2bl w:val="nil"/>
                  </w:tcBorders>
                  <w:vAlign w:val="center"/>
                </w:tcPr>
                <w:p w14:paraId="619932C5">
                  <w:pPr>
                    <w:pStyle w:val="10"/>
                    <w:keepNext w:val="0"/>
                    <w:keepLines w:val="0"/>
                    <w:suppressLineNumbers w:val="0"/>
                    <w:adjustRightInd w:val="0"/>
                    <w:snapToGrid w:val="0"/>
                    <w:spacing w:before="0" w:beforeAutospacing="0" w:after="0" w:afterAutospacing="0" w:line="240" w:lineRule="auto"/>
                    <w:ind w:left="0" w:leftChars="0" w:right="0"/>
                    <w:jc w:val="left"/>
                    <w:rPr>
                      <w:rFonts w:hint="default" w:ascii="Times New Roman" w:hAnsi="Times New Roman" w:eastAsia="仿宋" w:cs="Times New Roman"/>
                      <w:color w:val="auto"/>
                      <w:sz w:val="21"/>
                      <w:szCs w:val="21"/>
                      <w:highlight w:val="none"/>
                      <w:lang w:val="en-US" w:eastAsia="zh-CN"/>
                    </w:rPr>
                  </w:pPr>
                </w:p>
              </w:tc>
              <w:tc>
                <w:tcPr>
                  <w:tcW w:w="473" w:type="pct"/>
                  <w:vMerge w:val="continue"/>
                  <w:tcBorders>
                    <w:tl2br w:val="nil"/>
                    <w:tr2bl w:val="nil"/>
                  </w:tcBorders>
                  <w:vAlign w:val="center"/>
                </w:tcPr>
                <w:p w14:paraId="2A3B0521">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p>
              </w:tc>
            </w:tr>
            <w:tr w14:paraId="675A6B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82" w:type="pct"/>
                  <w:vMerge w:val="restart"/>
                  <w:tcBorders>
                    <w:tl2br w:val="nil"/>
                    <w:tr2bl w:val="nil"/>
                  </w:tcBorders>
                  <w:vAlign w:val="center"/>
                </w:tcPr>
                <w:p w14:paraId="7F52EB94">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环境风险防控</w:t>
                  </w:r>
                </w:p>
              </w:tc>
              <w:tc>
                <w:tcPr>
                  <w:tcW w:w="2471" w:type="pct"/>
                  <w:tcBorders>
                    <w:tl2br w:val="nil"/>
                    <w:tr2bl w:val="nil"/>
                  </w:tcBorders>
                  <w:vAlign w:val="center"/>
                </w:tcPr>
                <w:p w14:paraId="0D73C14F">
                  <w:pPr>
                    <w:pStyle w:val="10"/>
                    <w:keepNext w:val="0"/>
                    <w:keepLines w:val="0"/>
                    <w:suppressLineNumbers w:val="0"/>
                    <w:adjustRightInd w:val="0"/>
                    <w:snapToGrid w:val="0"/>
                    <w:spacing w:before="0" w:beforeAutospacing="0" w:after="0" w:afterAutospacing="0" w:line="240" w:lineRule="auto"/>
                    <w:ind w:left="0" w:leftChars="0" w:right="0" w:rightChars="0"/>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强化饮用水水源环境风险管控。县级以上城市全部建成应急水源或双源供水。</w:t>
                  </w:r>
                </w:p>
              </w:tc>
              <w:tc>
                <w:tcPr>
                  <w:tcW w:w="1772" w:type="pct"/>
                  <w:vMerge w:val="restart"/>
                  <w:tcBorders>
                    <w:tl2br w:val="nil"/>
                    <w:tr2bl w:val="nil"/>
                  </w:tcBorders>
                  <w:vAlign w:val="center"/>
                </w:tcPr>
                <w:p w14:paraId="7AEDEA62">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本项目符合文中的环境风险防控要求，不会影响饮用水水源环境，本项目建成后按照要求进行突发环境事件应急预案的编制工作，并定期开展演练。</w:t>
                  </w:r>
                </w:p>
              </w:tc>
              <w:tc>
                <w:tcPr>
                  <w:tcW w:w="473" w:type="pct"/>
                  <w:vMerge w:val="restart"/>
                  <w:tcBorders>
                    <w:tl2br w:val="nil"/>
                    <w:tr2bl w:val="nil"/>
                  </w:tcBorders>
                  <w:vAlign w:val="center"/>
                </w:tcPr>
                <w:p w14:paraId="721F3998">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符合</w:t>
                  </w:r>
                </w:p>
              </w:tc>
            </w:tr>
            <w:tr w14:paraId="378E1B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86" w:hRule="atLeast"/>
              </w:trPr>
              <w:tc>
                <w:tcPr>
                  <w:tcW w:w="282" w:type="pct"/>
                  <w:vMerge w:val="continue"/>
                  <w:tcBorders>
                    <w:tl2br w:val="nil"/>
                    <w:tr2bl w:val="nil"/>
                  </w:tcBorders>
                  <w:vAlign w:val="center"/>
                </w:tcPr>
                <w:p w14:paraId="1AFEA614">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p>
              </w:tc>
              <w:tc>
                <w:tcPr>
                  <w:tcW w:w="2471" w:type="pct"/>
                  <w:tcBorders>
                    <w:tl2br w:val="nil"/>
                    <w:tr2bl w:val="nil"/>
                  </w:tcBorders>
                  <w:vAlign w:val="center"/>
                </w:tcPr>
                <w:p w14:paraId="0868E8B8">
                  <w:pPr>
                    <w:pStyle w:val="10"/>
                    <w:keepNext w:val="0"/>
                    <w:keepLines w:val="0"/>
                    <w:suppressLineNumbers w:val="0"/>
                    <w:adjustRightInd w:val="0"/>
                    <w:snapToGrid w:val="0"/>
                    <w:spacing w:before="0" w:beforeAutospacing="0" w:after="0" w:afterAutospacing="0" w:line="240" w:lineRule="auto"/>
                    <w:ind w:left="0" w:leftChars="0" w:right="0" w:rightChars="0"/>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落实《苏州市突发环境事件应急预案》。完善市、县级市（区）两级突发环境事件应急响应体系，定期组织演练，提高应急处置能力。</w:t>
                  </w:r>
                </w:p>
              </w:tc>
              <w:tc>
                <w:tcPr>
                  <w:tcW w:w="1772" w:type="pct"/>
                  <w:vMerge w:val="continue"/>
                  <w:tcBorders>
                    <w:tl2br w:val="nil"/>
                    <w:tr2bl w:val="nil"/>
                  </w:tcBorders>
                  <w:vAlign w:val="center"/>
                </w:tcPr>
                <w:p w14:paraId="68F140E5">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p>
              </w:tc>
              <w:tc>
                <w:tcPr>
                  <w:tcW w:w="473" w:type="pct"/>
                  <w:vMerge w:val="continue"/>
                  <w:tcBorders>
                    <w:tl2br w:val="nil"/>
                    <w:tr2bl w:val="nil"/>
                  </w:tcBorders>
                  <w:vAlign w:val="center"/>
                </w:tcPr>
                <w:p w14:paraId="46F8C7BB">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p>
              </w:tc>
            </w:tr>
            <w:tr w14:paraId="49F9A7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82" w:type="pct"/>
                  <w:vMerge w:val="restart"/>
                  <w:tcBorders>
                    <w:tl2br w:val="nil"/>
                    <w:tr2bl w:val="nil"/>
                  </w:tcBorders>
                  <w:vAlign w:val="center"/>
                </w:tcPr>
                <w:p w14:paraId="38B26BB5">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资源 开发 效率 要求</w:t>
                  </w:r>
                </w:p>
              </w:tc>
              <w:tc>
                <w:tcPr>
                  <w:tcW w:w="2471" w:type="pct"/>
                  <w:tcBorders>
                    <w:tl2br w:val="nil"/>
                    <w:tr2bl w:val="nil"/>
                  </w:tcBorders>
                  <w:vAlign w:val="center"/>
                </w:tcPr>
                <w:p w14:paraId="0E7F9D59">
                  <w:pPr>
                    <w:pStyle w:val="10"/>
                    <w:keepNext w:val="0"/>
                    <w:keepLines w:val="0"/>
                    <w:suppressLineNumbers w:val="0"/>
                    <w:adjustRightInd w:val="0"/>
                    <w:snapToGrid w:val="0"/>
                    <w:spacing w:before="0" w:beforeAutospacing="0" w:after="0" w:afterAutospacing="0" w:line="240" w:lineRule="auto"/>
                    <w:ind w:left="0" w:leftChars="0" w:right="0" w:rightChars="0"/>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2025年苏州市用水总量不得超过103亿立方米。</w:t>
                  </w:r>
                </w:p>
              </w:tc>
              <w:tc>
                <w:tcPr>
                  <w:tcW w:w="1772" w:type="pct"/>
                  <w:tcBorders>
                    <w:tl2br w:val="nil"/>
                    <w:tr2bl w:val="nil"/>
                  </w:tcBorders>
                  <w:vAlign w:val="center"/>
                </w:tcPr>
                <w:p w14:paraId="409A1D25">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本项目使用新鲜水来自区域供水管网，不会突破资源利用上线。</w:t>
                  </w:r>
                </w:p>
              </w:tc>
              <w:tc>
                <w:tcPr>
                  <w:tcW w:w="473" w:type="pct"/>
                  <w:tcBorders>
                    <w:tl2br w:val="nil"/>
                    <w:tr2bl w:val="nil"/>
                  </w:tcBorders>
                  <w:vAlign w:val="center"/>
                </w:tcPr>
                <w:p w14:paraId="6DA258EF">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r w14:paraId="44A43E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82" w:type="pct"/>
                  <w:vMerge w:val="continue"/>
                  <w:tcBorders>
                    <w:tl2br w:val="nil"/>
                    <w:tr2bl w:val="nil"/>
                  </w:tcBorders>
                  <w:vAlign w:val="center"/>
                </w:tcPr>
                <w:p w14:paraId="3E8E7D10">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p>
              </w:tc>
              <w:tc>
                <w:tcPr>
                  <w:tcW w:w="2471" w:type="pct"/>
                  <w:tcBorders>
                    <w:tl2br w:val="nil"/>
                    <w:tr2bl w:val="nil"/>
                  </w:tcBorders>
                  <w:vAlign w:val="center"/>
                </w:tcPr>
                <w:p w14:paraId="39288CD3">
                  <w:pPr>
                    <w:pStyle w:val="10"/>
                    <w:keepNext w:val="0"/>
                    <w:keepLines w:val="0"/>
                    <w:suppressLineNumbers w:val="0"/>
                    <w:adjustRightInd w:val="0"/>
                    <w:snapToGrid w:val="0"/>
                    <w:spacing w:before="0" w:beforeAutospacing="0" w:after="0" w:afterAutospacing="0" w:line="240" w:lineRule="auto"/>
                    <w:ind w:left="0" w:leftChars="0" w:right="0" w:rightChars="0"/>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2025年，苏州市耕地保有量完成国家下达任务。</w:t>
                  </w:r>
                </w:p>
              </w:tc>
              <w:tc>
                <w:tcPr>
                  <w:tcW w:w="1772" w:type="pct"/>
                  <w:tcBorders>
                    <w:tl2br w:val="nil"/>
                    <w:tr2bl w:val="nil"/>
                  </w:tcBorders>
                  <w:vAlign w:val="center"/>
                </w:tcPr>
                <w:p w14:paraId="424707C8">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本项目不涉及。</w:t>
                  </w:r>
                </w:p>
              </w:tc>
              <w:tc>
                <w:tcPr>
                  <w:tcW w:w="473" w:type="pct"/>
                  <w:tcBorders>
                    <w:tl2br w:val="nil"/>
                    <w:tr2bl w:val="nil"/>
                  </w:tcBorders>
                  <w:vAlign w:val="center"/>
                </w:tcPr>
                <w:p w14:paraId="533B513D">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r w14:paraId="4B437C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82" w:type="pct"/>
                  <w:vMerge w:val="continue"/>
                  <w:tcBorders>
                    <w:tl2br w:val="nil"/>
                    <w:tr2bl w:val="nil"/>
                  </w:tcBorders>
                  <w:vAlign w:val="center"/>
                </w:tcPr>
                <w:p w14:paraId="5312EBF4">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p>
              </w:tc>
              <w:tc>
                <w:tcPr>
                  <w:tcW w:w="2471" w:type="pct"/>
                  <w:tcBorders>
                    <w:tl2br w:val="nil"/>
                    <w:tr2bl w:val="nil"/>
                  </w:tcBorders>
                  <w:vAlign w:val="center"/>
                </w:tcPr>
                <w:p w14:paraId="5246C3AB">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禁燃区禁止新建、扩建燃用高污染燃料的项目和设施，已建成的应逐步或依法限期改用天然气、电或者其他清洁能源。</w:t>
                  </w:r>
                </w:p>
              </w:tc>
              <w:tc>
                <w:tcPr>
                  <w:tcW w:w="1772" w:type="pct"/>
                  <w:tcBorders>
                    <w:tl2br w:val="nil"/>
                    <w:tr2bl w:val="nil"/>
                  </w:tcBorders>
                  <w:vAlign w:val="center"/>
                </w:tcPr>
                <w:p w14:paraId="04D3B228">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本项目营运过程中使用电能，不使用高污染燃料。</w:t>
                  </w:r>
                </w:p>
              </w:tc>
              <w:tc>
                <w:tcPr>
                  <w:tcW w:w="473" w:type="pct"/>
                  <w:tcBorders>
                    <w:tl2br w:val="nil"/>
                    <w:tr2bl w:val="nil"/>
                  </w:tcBorders>
                  <w:vAlign w:val="center"/>
                </w:tcPr>
                <w:p w14:paraId="578E0ED8">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bl>
          <w:p w14:paraId="7C602988">
            <w:pPr>
              <w:widowControl/>
              <w:numPr>
                <w:ilvl w:val="0"/>
                <w:numId w:val="3"/>
              </w:numPr>
              <w:ind w:left="210" w:leftChars="0" w:firstLine="0" w:firstLineChars="0"/>
              <w:jc w:val="center"/>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项目与相城经济技术开发区二期（不包括漕湖）管控要求相符性分析</w:t>
            </w:r>
          </w:p>
          <w:tbl>
            <w:tblPr>
              <w:tblStyle w:val="22"/>
              <w:tblW w:w="5000"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14"/>
              <w:gridCol w:w="4824"/>
              <w:gridCol w:w="2917"/>
              <w:gridCol w:w="841"/>
            </w:tblGrid>
            <w:tr w14:paraId="58AEC4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934" w:type="pct"/>
                  <w:gridSpan w:val="2"/>
                  <w:tcBorders>
                    <w:tl2br w:val="nil"/>
                    <w:tr2bl w:val="nil"/>
                  </w:tcBorders>
                  <w:vAlign w:val="center"/>
                </w:tcPr>
                <w:p w14:paraId="560180CD">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生态环境准入清单</w:t>
                  </w:r>
                </w:p>
              </w:tc>
              <w:tc>
                <w:tcPr>
                  <w:tcW w:w="1603" w:type="pct"/>
                  <w:tcBorders>
                    <w:tl2br w:val="nil"/>
                    <w:tr2bl w:val="nil"/>
                  </w:tcBorders>
                  <w:vAlign w:val="center"/>
                </w:tcPr>
                <w:p w14:paraId="1795F954">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本项目情况</w:t>
                  </w:r>
                </w:p>
              </w:tc>
              <w:tc>
                <w:tcPr>
                  <w:tcW w:w="462" w:type="pct"/>
                  <w:tcBorders>
                    <w:tl2br w:val="nil"/>
                    <w:tr2bl w:val="nil"/>
                  </w:tcBorders>
                  <w:vAlign w:val="center"/>
                </w:tcPr>
                <w:p w14:paraId="0C1D5D3B">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相符性</w:t>
                  </w:r>
                </w:p>
              </w:tc>
            </w:tr>
            <w:tr w14:paraId="1D2F5E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83" w:type="pct"/>
                  <w:tcBorders>
                    <w:tl2br w:val="nil"/>
                    <w:tr2bl w:val="nil"/>
                  </w:tcBorders>
                  <w:vAlign w:val="center"/>
                </w:tcPr>
                <w:p w14:paraId="2A3BD8C1">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空间布局约束</w:t>
                  </w:r>
                </w:p>
              </w:tc>
              <w:tc>
                <w:tcPr>
                  <w:tcW w:w="2650" w:type="pct"/>
                  <w:tcBorders>
                    <w:tl2br w:val="nil"/>
                    <w:tr2bl w:val="nil"/>
                  </w:tcBorders>
                  <w:vAlign w:val="center"/>
                </w:tcPr>
                <w:p w14:paraId="49DA47D0">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严格执行《江苏省长江经济带发展负面清单实施细则》、《关于促进长三角地区经济社会与生态环境保护协调发展的指导意见》、水十条、土十条、《</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263</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专项行动实施方案》、《江苏省太湖水污染防治条例》等文件要求。</w:t>
                  </w:r>
                </w:p>
                <w:p w14:paraId="75D052F3">
                  <w:pPr>
                    <w:pStyle w:val="14"/>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（1）禁止铁路、公路及主要城市道路防护绿带、水系防护绿带、高压走廊防护绿地、工业区与居住区之间的防护绿带、市政设施周围防护绿带内的开发建设。</w:t>
                  </w:r>
                </w:p>
                <w:p w14:paraId="7D9EC487">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（2）禁止居住用地周边100米范围内工业用地引入含喷涂、酸洗等项目、禁止建设危化品仓库。</w:t>
                  </w:r>
                </w:p>
                <w:p w14:paraId="364211D5">
                  <w:pPr>
                    <w:pStyle w:val="14"/>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（3）太湖流域二级保护区（望虞河沿岸纵深1km范围）禁止新建、扩建化工、医药生产项目；新建、扩建污水集中处理设施排污口以外的排污口</w:t>
                  </w:r>
                  <w:r>
                    <w:rPr>
                      <w:rFonts w:hint="eastAsia" w:eastAsia="仿宋" w:cs="Times New Roman"/>
                      <w:color w:val="auto"/>
                      <w:sz w:val="21"/>
                      <w:szCs w:val="21"/>
                      <w:highlight w:val="none"/>
                      <w:lang w:eastAsia="zh-CN"/>
                    </w:rPr>
                    <w:t>。</w:t>
                  </w:r>
                </w:p>
                <w:p w14:paraId="569011D9">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阳澄湖二级保护区（北河泾沿岸纵深500米）禁止新建、改建、扩建向水体排放水污染物的工业建设项目，禁止设置装卸垃圾、粪便、油类和有毒物品的码头、有毒有害化学品仓库及堆栈，禁止设置危险废物贮存、处置、利用项目。</w:t>
                  </w:r>
                </w:p>
                <w:p w14:paraId="62F9071F">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禁止清水通道维护区、重要湿地生态空间管控区域内不符合管控要求的开发建设，近期荣望环保位于望虞河南100米内用地不得进行除安全环保设施提升外的新、改、扩建项目，规划远期将望虞河南100米用地内设施搬出管控区外。</w:t>
                  </w:r>
                </w:p>
                <w:p w14:paraId="4C30CB37">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（6）城市总体规划中的非建设用地（农林用地），在新一轮国土空间规划批复前暂缓开发。</w:t>
                  </w:r>
                </w:p>
                <w:p w14:paraId="31C846E4">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（7）漕湖沿岸纵深300米范围用地在新一轮国土空间规划批复前，仍按现行总规要求限制性开发，并按生态空间管控要求加强环境管理。</w:t>
                  </w:r>
                </w:p>
                <w:p w14:paraId="7A06F251">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产业准入：1、禁止建设生产和使用高VOCs含量的溶剂型涂料、油墨、胶粘剂等项目。2、禁止新建、扩建法律法规和相关政策明令禁止的落后产能项目。3、禁止有《江苏省禁止排放致癌、致畸、致突变物质和恶臭气体名录》、《有毒有害大气污染物名录》（2018）中气体及氨、硫化氢、苯乙烯等恶臭污染物排放的项目。4、禁止新建、改建、扩建化学制浆造纸、制革、酿造、染料、印染、电镀及其他排放含氮磷等污染物的企业和项目（战略性新兴产业及现有含氮磷污染物项目改建需实施氮磷污染物年排放总量减量替代）。5、禁止新建、扩建增加污染物排放的铅蓄电池、电镀、重有色金属冶炼等行业的涉重项目。6、限制审批小家具、塑料造粒、喷漆类、表面处理类企业。</w:t>
                  </w:r>
                </w:p>
              </w:tc>
              <w:tc>
                <w:tcPr>
                  <w:tcW w:w="1603" w:type="pct"/>
                  <w:tcBorders>
                    <w:tl2br w:val="nil"/>
                    <w:tr2bl w:val="nil"/>
                  </w:tcBorders>
                  <w:vAlign w:val="center"/>
                </w:tcPr>
                <w:p w14:paraId="17ECC90C">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本项目严格执行《江苏省长江经济带发展负面清单实施细则》、《关于促进长三角地区经济社会与生态环境保护协调发展的指导意见》、水十条、土十条、《</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eastAsia="zh-CN"/>
                    </w:rPr>
                    <w:t>263</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eastAsia="zh-CN"/>
                    </w:rPr>
                    <w:t>专项行动实施方案》、《江苏省太湖水污染防治条例》等文件要求。</w:t>
                  </w:r>
                </w:p>
                <w:p w14:paraId="5FAB70B3">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（1）本项目不涉及铁路、公路及主要城市道路防护绿带、水系防护绿带、高压走廊防护绿地、工业区与居住区之间的防护绿带、市政设施周围防护绿带内的开发建设。</w:t>
                  </w:r>
                </w:p>
                <w:p w14:paraId="640E417D">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（2）本项目周边100米范围内无居住用地。</w:t>
                  </w:r>
                </w:p>
                <w:p w14:paraId="0BAE404B">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（3）本项目属于太湖流域三级保护区。</w:t>
                  </w:r>
                </w:p>
                <w:p w14:paraId="7D2DD2AE">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（4）本项目不属于阳澄湖保护区范围。</w:t>
                  </w:r>
                </w:p>
                <w:p w14:paraId="3BBEC188">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（5）本项目不在清水通道维护区、重要湿地生态空间管控区域内。</w:t>
                  </w:r>
                </w:p>
                <w:p w14:paraId="5D53FA16">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（6）本项目所在地规划的用地性质为工业用地，不属于非建设用地（农林用地）。</w:t>
                  </w:r>
                </w:p>
                <w:p w14:paraId="1AE7F3A6">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（7）本项目距漕湖最近距离约</w:t>
                  </w:r>
                  <w:r>
                    <w:rPr>
                      <w:rFonts w:hint="eastAsia" w:eastAsia="仿宋" w:cs="Times New Roman"/>
                      <w:color w:val="auto"/>
                      <w:sz w:val="21"/>
                      <w:szCs w:val="21"/>
                      <w:highlight w:val="none"/>
                      <w:lang w:val="en-US" w:eastAsia="zh-CN"/>
                    </w:rPr>
                    <w:t>0.98</w:t>
                  </w:r>
                  <w:r>
                    <w:rPr>
                      <w:rFonts w:hint="default" w:ascii="Times New Roman" w:hAnsi="Times New Roman" w:eastAsia="仿宋" w:cs="Times New Roman"/>
                      <w:color w:val="auto"/>
                      <w:sz w:val="21"/>
                      <w:szCs w:val="21"/>
                      <w:highlight w:val="none"/>
                      <w:lang w:eastAsia="zh-CN"/>
                    </w:rPr>
                    <w:t>km，不属于漕湖沿岸纵深300米范围。</w:t>
                  </w:r>
                </w:p>
                <w:p w14:paraId="250ACB22">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（8）本项目不属于产业准入中禁止、限制建设项目</w:t>
                  </w:r>
                  <w:r>
                    <w:rPr>
                      <w:rFonts w:hint="eastAsia" w:eastAsia="仿宋" w:cs="Times New Roman"/>
                      <w:color w:val="auto"/>
                      <w:sz w:val="21"/>
                      <w:szCs w:val="21"/>
                      <w:highlight w:val="none"/>
                      <w:lang w:eastAsia="zh-CN"/>
                    </w:rPr>
                    <w:t>。</w:t>
                  </w:r>
                </w:p>
              </w:tc>
              <w:tc>
                <w:tcPr>
                  <w:tcW w:w="462" w:type="pct"/>
                  <w:tcBorders>
                    <w:tl2br w:val="nil"/>
                    <w:tr2bl w:val="nil"/>
                  </w:tcBorders>
                  <w:vAlign w:val="center"/>
                </w:tcPr>
                <w:p w14:paraId="28CB707A">
                  <w:pPr>
                    <w:pStyle w:val="14"/>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符合</w:t>
                  </w:r>
                </w:p>
              </w:tc>
            </w:tr>
            <w:tr w14:paraId="2144A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6" w:hRule="atLeast"/>
              </w:trPr>
              <w:tc>
                <w:tcPr>
                  <w:tcW w:w="283" w:type="pct"/>
                  <w:tcBorders>
                    <w:tl2br w:val="nil"/>
                    <w:tr2bl w:val="nil"/>
                  </w:tcBorders>
                  <w:vAlign w:val="center"/>
                </w:tcPr>
                <w:p w14:paraId="73BD9C80">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污染物排放管控</w:t>
                  </w:r>
                </w:p>
              </w:tc>
              <w:tc>
                <w:tcPr>
                  <w:tcW w:w="2650" w:type="pct"/>
                  <w:tcBorders>
                    <w:tl2br w:val="nil"/>
                    <w:tr2bl w:val="nil"/>
                  </w:tcBorders>
                  <w:vAlign w:val="center"/>
                </w:tcPr>
                <w:p w14:paraId="68BB45CA">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（1）开发区近期外排量COD847.31吨/年、NH3-N52.18吨/年、总氮211.02吨/年、总磷10.22吨/年；远期外排量COD1076.61吨/年、NH3-N71.23吨/年、总氮290.99吨/年、总磷13.57吨/年。</w:t>
                  </w:r>
                </w:p>
                <w:p w14:paraId="53969DCD">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（2）开发区SO</w:t>
                  </w:r>
                  <w:r>
                    <w:rPr>
                      <w:rFonts w:hint="default" w:ascii="Times New Roman" w:hAnsi="Times New Roman" w:eastAsia="仿宋" w:cs="Times New Roman"/>
                      <w:color w:val="auto"/>
                      <w:sz w:val="21"/>
                      <w:szCs w:val="21"/>
                      <w:highlight w:val="none"/>
                      <w:vertAlign w:val="subscript"/>
                    </w:rPr>
                    <w:t>2</w:t>
                  </w:r>
                  <w:r>
                    <w:rPr>
                      <w:rFonts w:hint="default" w:ascii="Times New Roman" w:hAnsi="Times New Roman" w:eastAsia="仿宋" w:cs="Times New Roman"/>
                      <w:color w:val="auto"/>
                      <w:sz w:val="21"/>
                      <w:szCs w:val="21"/>
                      <w:highlight w:val="none"/>
                    </w:rPr>
                    <w:t>总量近期124.05吨/年、远期115.76吨/年；NOx总量近期160.68吨/年、远期144.82吨/年；烟粉尘近期129.51吨/年、远期101.69吨/年；VOCs近期256.77吨/年；远期118.51吨/年。</w:t>
                  </w:r>
                </w:p>
                <w:p w14:paraId="21D99794">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（3）现有及新建电镀工业和食品工业的污水处理设施，2021年1月1日起执行《太湖地区城镇污水处理厂及重点工业行业主要水污染物排放限值》表3排放限制。</w:t>
                  </w:r>
                </w:p>
                <w:p w14:paraId="00B10FDC">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（4）严格控制氮氧化物、HCl、烟粉尘排放量大的企业入区。</w:t>
                  </w:r>
                </w:p>
                <w:p w14:paraId="62CF3C5B">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战略性新兴产业新建、扩建项目新增的磷、氮等重点水污染物排放总量应当从本区域通过产业置换、淘汰、关闭等方式获得的指标中取得，且按照不低于该项目新增年排放总量的1.1倍实施减量替代；战略性新兴产业改建项目应当实现项目磷、氮等重点水污染物年排放总量减少；提升环保标准的技术改造项目的磷、氮等重点水污染物年排放总量减少幅度应当不低于该项目原年排放总量的百分之二十。前述减少的磷、氮等重点水污染物年排放总量指标不得用于其他项目。</w:t>
                  </w:r>
                </w:p>
              </w:tc>
              <w:tc>
                <w:tcPr>
                  <w:tcW w:w="1603" w:type="pct"/>
                  <w:tcBorders>
                    <w:tl2br w:val="nil"/>
                    <w:tr2bl w:val="nil"/>
                  </w:tcBorders>
                  <w:vAlign w:val="center"/>
                </w:tcPr>
                <w:p w14:paraId="6B9C8EA6">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本项目无生产废水排放，生活污水接管至苏州市相润排水管理有限公司（漕湖污水处理厂）处理，达标后排入胜岸港；本项目按照污染物排放管控要求申报总量。</w:t>
                  </w:r>
                </w:p>
              </w:tc>
              <w:tc>
                <w:tcPr>
                  <w:tcW w:w="462" w:type="pct"/>
                  <w:tcBorders>
                    <w:tl2br w:val="nil"/>
                    <w:tr2bl w:val="nil"/>
                  </w:tcBorders>
                  <w:shd w:val="clear" w:color="auto" w:fill="auto"/>
                  <w:vAlign w:val="center"/>
                </w:tcPr>
                <w:p w14:paraId="03D8DDBF">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r w14:paraId="232E6A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47" w:hRule="atLeast"/>
              </w:trPr>
              <w:tc>
                <w:tcPr>
                  <w:tcW w:w="283" w:type="pct"/>
                  <w:tcBorders>
                    <w:tl2br w:val="nil"/>
                    <w:tr2bl w:val="nil"/>
                  </w:tcBorders>
                  <w:vAlign w:val="center"/>
                </w:tcPr>
                <w:p w14:paraId="50F94D67">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环境风险防控</w:t>
                  </w:r>
                </w:p>
              </w:tc>
              <w:tc>
                <w:tcPr>
                  <w:tcW w:w="2650" w:type="pct"/>
                  <w:tcBorders>
                    <w:tl2br w:val="nil"/>
                    <w:tr2bl w:val="nil"/>
                  </w:tcBorders>
                  <w:vAlign w:val="center"/>
                </w:tcPr>
                <w:p w14:paraId="21F4F04E">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（1）禁止向区内水体排放或者倾倒油类、酸液、碱液、剧毒废渣废液、含放射性废渣废液、含病原体污水、工业废渣以及其他废弃物。</w:t>
                  </w:r>
                </w:p>
                <w:p w14:paraId="0F5CCD95">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（2）建立区域监测预警系统，建立省市县上下联动、区域之间左右联动等联动应急响应体系，实行联防联控。</w:t>
                  </w:r>
                </w:p>
                <w:p w14:paraId="10D69A90">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生产、使用、储存危险化学品或其他存在环境风险的企业事业单位，应当采取风险防范措施，并根据《企业事业单位突发环境事件应急预案备案管理办法（试行）》的要求编制环境风险应急预案，防止发生环境污染事故。</w:t>
                  </w:r>
                </w:p>
                <w:p w14:paraId="7E4025D2">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（4）禁止引入防渗防漏措施不到位易造成地下水、土壤环境污染的项目。</w:t>
                  </w:r>
                </w:p>
              </w:tc>
              <w:tc>
                <w:tcPr>
                  <w:tcW w:w="1603" w:type="pct"/>
                  <w:tcBorders>
                    <w:tl2br w:val="nil"/>
                    <w:tr2bl w:val="nil"/>
                  </w:tcBorders>
                  <w:vAlign w:val="center"/>
                </w:tcPr>
                <w:p w14:paraId="0FDE8C37">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无生产废水排放，生活污水接管至苏州市相润排水管理有限公司（漕湖污水处理厂）处理，达标后排入胜岸港。本项目拟在取得环评批复后按照国家标准和规范及时编制突发环境事件应急预案，并与区域环境风险应急预案实现联动，配备应急救援人员和必要的应急救援器材、设备，并定期开展事故应急演练。本项目各区域均采取相关防渗措施，不易造成地下水、土壤环境污染。</w:t>
                  </w:r>
                </w:p>
              </w:tc>
              <w:tc>
                <w:tcPr>
                  <w:tcW w:w="462" w:type="pct"/>
                  <w:tcBorders>
                    <w:tl2br w:val="nil"/>
                    <w:tr2bl w:val="nil"/>
                  </w:tcBorders>
                  <w:vAlign w:val="center"/>
                </w:tcPr>
                <w:p w14:paraId="01664233">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r w14:paraId="345ABD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117" w:hRule="atLeast"/>
              </w:trPr>
              <w:tc>
                <w:tcPr>
                  <w:tcW w:w="283" w:type="pct"/>
                  <w:tcBorders>
                    <w:tl2br w:val="nil"/>
                    <w:tr2bl w:val="nil"/>
                  </w:tcBorders>
                  <w:vAlign w:val="center"/>
                </w:tcPr>
                <w:p w14:paraId="7D1AD96A">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资源 开发 效率 要求</w:t>
                  </w:r>
                </w:p>
              </w:tc>
              <w:tc>
                <w:tcPr>
                  <w:tcW w:w="2650" w:type="pct"/>
                  <w:tcBorders>
                    <w:tl2br w:val="nil"/>
                    <w:tr2bl w:val="nil"/>
                  </w:tcBorders>
                  <w:vAlign w:val="center"/>
                </w:tcPr>
                <w:p w14:paraId="5BD17EF9">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（1）禁止引入占用永久基本农田的项目。</w:t>
                  </w:r>
                </w:p>
                <w:p w14:paraId="4D18F7D9">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（2）单位工业用地工业增加值近期≥9亿元/km</w:t>
                  </w:r>
                  <w:r>
                    <w:rPr>
                      <w:rFonts w:hint="default" w:ascii="Times New Roman" w:hAnsi="Times New Roman" w:eastAsia="仿宋" w:cs="Times New Roman"/>
                      <w:color w:val="auto"/>
                      <w:sz w:val="21"/>
                      <w:szCs w:val="21"/>
                      <w:highlight w:val="none"/>
                      <w:vertAlign w:val="superscript"/>
                    </w:rPr>
                    <w:t>2</w:t>
                  </w:r>
                  <w:r>
                    <w:rPr>
                      <w:rFonts w:hint="default" w:ascii="Times New Roman" w:hAnsi="Times New Roman" w:eastAsia="仿宋" w:cs="Times New Roman"/>
                      <w:color w:val="auto"/>
                      <w:sz w:val="21"/>
                      <w:szCs w:val="21"/>
                      <w:highlight w:val="none"/>
                    </w:rPr>
                    <w:t>、远期≥30亿元/km</w:t>
                  </w:r>
                  <w:r>
                    <w:rPr>
                      <w:rFonts w:hint="default" w:ascii="Times New Roman" w:hAnsi="Times New Roman" w:eastAsia="仿宋" w:cs="Times New Roman"/>
                      <w:color w:val="auto"/>
                      <w:sz w:val="21"/>
                      <w:szCs w:val="21"/>
                      <w:highlight w:val="none"/>
                      <w:vertAlign w:val="superscript"/>
                    </w:rPr>
                    <w:t>2</w:t>
                  </w:r>
                  <w:r>
                    <w:rPr>
                      <w:rFonts w:hint="default" w:ascii="Times New Roman" w:hAnsi="Times New Roman" w:eastAsia="仿宋" w:cs="Times New Roman"/>
                      <w:color w:val="auto"/>
                      <w:sz w:val="21"/>
                      <w:szCs w:val="21"/>
                      <w:highlight w:val="none"/>
                    </w:rPr>
                    <w:t>；单位工业增加值新鲜水耗近期≤9m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/万元、远期≤8m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/万元；单位地区生产总值综合能耗近期≤0.09吨标煤/万元、远期≤0.06吨标煤/万元；工业用水重复利用率近期≥75%、远期≥80%。</w:t>
                  </w:r>
                </w:p>
                <w:p w14:paraId="74EF81C1">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（3）禁止新建、扩建燃用高污染燃料的项目和设施。</w:t>
                  </w:r>
                </w:p>
                <w:p w14:paraId="6BB9B8C7">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（4）开展园区循环化改造，建成生态工业园区。</w:t>
                  </w:r>
                </w:p>
              </w:tc>
              <w:tc>
                <w:tcPr>
                  <w:tcW w:w="1603" w:type="pct"/>
                  <w:tcBorders>
                    <w:tl2br w:val="nil"/>
                    <w:tr2bl w:val="nil"/>
                  </w:tcBorders>
                  <w:vAlign w:val="center"/>
                </w:tcPr>
                <w:p w14:paraId="2174FD97">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本项目不占用永久基本农田。本项目不使用高污染燃料。本项目仅使用电能、水能，能源利用效率较高。</w:t>
                  </w:r>
                </w:p>
              </w:tc>
              <w:tc>
                <w:tcPr>
                  <w:tcW w:w="462" w:type="pct"/>
                  <w:tcBorders>
                    <w:tl2br w:val="nil"/>
                    <w:tr2bl w:val="nil"/>
                  </w:tcBorders>
                  <w:vAlign w:val="center"/>
                </w:tcPr>
                <w:p w14:paraId="66DE1073">
                  <w:pPr>
                    <w:pStyle w:val="14"/>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符合</w:t>
                  </w:r>
                </w:p>
              </w:tc>
            </w:tr>
          </w:tbl>
          <w:p w14:paraId="51CB0C56">
            <w:pPr>
              <w:keepNext w:val="0"/>
              <w:keepLines w:val="0"/>
              <w:pageBreakBefore w:val="0"/>
              <w:widowControl/>
              <w:suppressLineNumbers w:val="0"/>
              <w:kinsoku/>
              <w:wordWrap/>
              <w:overflowPunct/>
              <w:topLinePunct w:val="0"/>
              <w:bidi w:val="0"/>
              <w:snapToGrid w:val="0"/>
              <w:spacing w:before="0" w:beforeAutospacing="0" w:afterAutospacing="0" w:line="360" w:lineRule="auto"/>
              <w:ind w:left="0" w:right="0"/>
              <w:rPr>
                <w:rFonts w:hint="default" w:ascii="Times New Roman" w:hAnsi="Times New Roman" w:eastAsia="宋体" w:cs="Times New Roman"/>
                <w:b/>
                <w:color w:val="auto"/>
                <w:sz w:val="24"/>
                <w:szCs w:val="24"/>
                <w:highlight w:val="none"/>
              </w:rPr>
            </w:pPr>
            <w:r>
              <w:rPr>
                <w:rFonts w:hint="eastAsia" w:cs="Times New Roman"/>
                <w:b/>
                <w:color w:val="auto"/>
                <w:sz w:val="24"/>
                <w:szCs w:val="24"/>
                <w:highlight w:val="none"/>
                <w:lang w:val="en-US" w:eastAsia="zh-CN"/>
              </w:rPr>
              <w:t>6</w:t>
            </w:r>
            <w:r>
              <w:rPr>
                <w:rFonts w:hint="default" w:ascii="Times New Roman" w:hAnsi="Times New Roman" w:eastAsia="宋体" w:cs="Times New Roman"/>
                <w:b/>
                <w:color w:val="auto"/>
                <w:sz w:val="24"/>
                <w:szCs w:val="24"/>
                <w:highlight w:val="none"/>
              </w:rPr>
              <w:t>、产业政策相符性分析</w:t>
            </w:r>
          </w:p>
          <w:p w14:paraId="6B49E260">
            <w:pPr>
              <w:keepNext w:val="0"/>
              <w:keepLines w:val="0"/>
              <w:pageBreakBefore w:val="0"/>
              <w:widowControl/>
              <w:suppressLineNumbers w:val="0"/>
              <w:kinsoku/>
              <w:wordWrap/>
              <w:overflowPunct/>
              <w:topLinePunct w:val="0"/>
              <w:bidi w:val="0"/>
              <w:spacing w:before="0" w:beforeAutospacing="0" w:afterAutospacing="0" w:line="360" w:lineRule="auto"/>
              <w:ind w:left="0" w:right="0" w:firstLine="487"/>
              <w:jc w:val="both"/>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本项目从事航空航天精密零部件和其他精密零部件</w:t>
            </w:r>
            <w:r>
              <w:rPr>
                <w:rFonts w:hint="eastAsia" w:cs="Times New Roman"/>
                <w:color w:val="auto"/>
                <w:sz w:val="24"/>
                <w:highlight w:val="none"/>
                <w:lang w:val="en-US" w:eastAsia="zh-CN"/>
              </w:rPr>
              <w:t>生产活动</w:t>
            </w:r>
            <w:r>
              <w:rPr>
                <w:rFonts w:hint="default" w:ascii="Times New Roman" w:hAnsi="Times New Roman" w:eastAsia="宋体" w:cs="Times New Roman"/>
                <w:color w:val="auto"/>
                <w:sz w:val="24"/>
                <w:highlight w:val="none"/>
              </w:rPr>
              <w:t>，对照《国民经济行业分类</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GB/T</w:t>
            </w:r>
            <w:r>
              <w:rPr>
                <w:rFonts w:hint="eastAsia"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4754-2017</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及2019年修改单</w:t>
            </w:r>
            <w:r>
              <w:rPr>
                <w:rFonts w:hint="eastAsia" w:cs="Times New Roman"/>
                <w:color w:val="auto"/>
                <w:sz w:val="24"/>
                <w:highlight w:val="none"/>
                <w:lang w:eastAsia="zh-CN"/>
              </w:rPr>
              <w:t>，</w:t>
            </w:r>
            <w:r>
              <w:rPr>
                <w:rFonts w:hint="eastAsia" w:cs="Times New Roman"/>
                <w:color w:val="auto"/>
                <w:sz w:val="24"/>
                <w:highlight w:val="none"/>
                <w:lang w:val="en-US" w:eastAsia="zh-CN"/>
              </w:rPr>
              <w:t>本项目</w:t>
            </w:r>
            <w:r>
              <w:rPr>
                <w:rFonts w:hint="default" w:ascii="Times New Roman" w:hAnsi="Times New Roman" w:eastAsia="宋体" w:cs="Times New Roman"/>
                <w:color w:val="auto"/>
                <w:sz w:val="24"/>
                <w:highlight w:val="none"/>
              </w:rPr>
              <w:t>属于</w:t>
            </w:r>
            <w:r>
              <w:rPr>
                <w:rFonts w:hint="eastAsia" w:cs="Times New Roman"/>
                <w:color w:val="auto"/>
                <w:sz w:val="24"/>
                <w:highlight w:val="none"/>
                <w:lang w:val="en-US" w:eastAsia="zh-CN"/>
              </w:rPr>
              <w:t>C3311金属结构制造、C3741飞机制造。</w:t>
            </w:r>
          </w:p>
          <w:p w14:paraId="02690543">
            <w:pPr>
              <w:keepNext w:val="0"/>
              <w:keepLines w:val="0"/>
              <w:pageBreakBefore w:val="0"/>
              <w:widowControl/>
              <w:suppressLineNumbers w:val="0"/>
              <w:kinsoku/>
              <w:wordWrap/>
              <w:overflowPunct/>
              <w:topLinePunct w:val="0"/>
              <w:bidi w:val="0"/>
              <w:spacing w:before="0" w:beforeAutospacing="0" w:afterAutospacing="0" w:line="360" w:lineRule="auto"/>
              <w:ind w:left="0" w:right="0" w:firstLine="487"/>
              <w:jc w:val="both"/>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highlight w:val="none"/>
              </w:rPr>
              <w:t>对照《产业结构调整指导目录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2024年本</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》本项目不属于限制类</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淘汰类</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鼓励类</w:t>
            </w:r>
            <w:r>
              <w:rPr>
                <w:rFonts w:hint="eastAsia" w:cs="Times New Roman"/>
                <w:color w:val="auto"/>
                <w:sz w:val="24"/>
                <w:highlight w:val="none"/>
                <w:lang w:eastAsia="zh-CN"/>
              </w:rPr>
              <w:t>，</w:t>
            </w:r>
            <w:r>
              <w:rPr>
                <w:rFonts w:hint="eastAsia" w:cs="Times New Roman"/>
                <w:color w:val="auto"/>
                <w:sz w:val="24"/>
                <w:highlight w:val="none"/>
                <w:lang w:val="en-US" w:eastAsia="zh-CN"/>
              </w:rPr>
              <w:t>为允许类；</w:t>
            </w:r>
          </w:p>
          <w:p w14:paraId="390A1FE1">
            <w:pPr>
              <w:keepNext w:val="0"/>
              <w:keepLines w:val="0"/>
              <w:pageBreakBefore w:val="0"/>
              <w:widowControl/>
              <w:suppressLineNumbers w:val="0"/>
              <w:kinsoku/>
              <w:wordWrap/>
              <w:overflowPunct/>
              <w:topLinePunct w:val="0"/>
              <w:bidi w:val="0"/>
              <w:spacing w:before="0" w:beforeAutospacing="0" w:afterAutospacing="0" w:line="360" w:lineRule="auto"/>
              <w:ind w:left="0" w:right="0" w:firstLine="487"/>
              <w:jc w:val="both"/>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对照《江苏省产业结构调整限制、淘汰和禁止目录》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苏办发〔2018〕32号附件三</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本项目</w:t>
            </w:r>
            <w:r>
              <w:rPr>
                <w:rFonts w:hint="default" w:ascii="Times New Roman" w:hAnsi="Times New Roman" w:eastAsia="宋体" w:cs="Times New Roman"/>
                <w:color w:val="auto"/>
                <w:sz w:val="24"/>
                <w:highlight w:val="none"/>
              </w:rPr>
              <w:t>不</w:t>
            </w:r>
            <w:r>
              <w:rPr>
                <w:rFonts w:hint="eastAsia" w:cs="Times New Roman"/>
                <w:color w:val="auto"/>
                <w:sz w:val="24"/>
                <w:highlight w:val="none"/>
                <w:lang w:eastAsia="zh-CN"/>
              </w:rPr>
              <w:t>属于</w:t>
            </w:r>
            <w:r>
              <w:rPr>
                <w:rFonts w:hint="default" w:ascii="Times New Roman" w:hAnsi="Times New Roman" w:eastAsia="宋体" w:cs="Times New Roman"/>
                <w:color w:val="auto"/>
                <w:sz w:val="24"/>
                <w:highlight w:val="none"/>
              </w:rPr>
              <w:t>限制类、淘汰类及禁止类项目，为允许类项目</w:t>
            </w:r>
            <w:r>
              <w:rPr>
                <w:rFonts w:hint="default" w:ascii="Times New Roman" w:hAnsi="Times New Roman" w:eastAsia="宋体" w:cs="Times New Roman"/>
                <w:color w:val="auto"/>
                <w:sz w:val="24"/>
                <w:highlight w:val="none"/>
                <w:lang w:eastAsia="zh-CN"/>
              </w:rPr>
              <w:t>；</w:t>
            </w:r>
          </w:p>
          <w:p w14:paraId="151A2FBD">
            <w:pPr>
              <w:keepNext w:val="0"/>
              <w:keepLines w:val="0"/>
              <w:pageBreakBefore w:val="0"/>
              <w:widowControl/>
              <w:suppressLineNumbers w:val="0"/>
              <w:kinsoku/>
              <w:wordWrap/>
              <w:overflowPunct/>
              <w:topLinePunct w:val="0"/>
              <w:bidi w:val="0"/>
              <w:spacing w:before="0" w:beforeAutospacing="0" w:afterAutospacing="0" w:line="360" w:lineRule="auto"/>
              <w:ind w:left="0" w:right="0" w:firstLine="487"/>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对照《苏州市产业发展导向目录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2007年本</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本项目不属于限制类、禁止类</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淘汰类</w:t>
            </w:r>
            <w:r>
              <w:rPr>
                <w:rFonts w:hint="eastAsia" w:cs="Times New Roman"/>
                <w:color w:val="auto"/>
                <w:sz w:val="24"/>
                <w:highlight w:val="none"/>
                <w:lang w:val="en-US" w:eastAsia="zh-CN"/>
              </w:rPr>
              <w:t>和</w:t>
            </w:r>
            <w:r>
              <w:rPr>
                <w:rFonts w:hint="default" w:ascii="Times New Roman" w:hAnsi="Times New Roman" w:eastAsia="宋体" w:cs="Times New Roman"/>
                <w:color w:val="auto"/>
                <w:sz w:val="24"/>
                <w:highlight w:val="none"/>
                <w:lang w:val="en-US" w:eastAsia="zh-CN"/>
              </w:rPr>
              <w:t>鼓励类</w:t>
            </w:r>
            <w:r>
              <w:rPr>
                <w:rFonts w:hint="eastAsia" w:cs="Times New Roman"/>
                <w:color w:val="auto"/>
                <w:sz w:val="24"/>
                <w:highlight w:val="none"/>
                <w:lang w:val="en-US" w:eastAsia="zh-CN"/>
              </w:rPr>
              <w:t>，为允许类；</w:t>
            </w:r>
          </w:p>
          <w:p w14:paraId="19FDC129">
            <w:pPr>
              <w:keepNext w:val="0"/>
              <w:keepLines w:val="0"/>
              <w:pageBreakBefore w:val="0"/>
              <w:widowControl/>
              <w:suppressLineNumbers w:val="0"/>
              <w:kinsoku/>
              <w:wordWrap/>
              <w:overflowPunct/>
              <w:topLinePunct w:val="0"/>
              <w:bidi w:val="0"/>
              <w:spacing w:before="0" w:beforeAutospacing="0" w:afterAutospacing="0" w:line="360" w:lineRule="auto"/>
              <w:ind w:left="0" w:right="0" w:firstLine="487"/>
              <w:jc w:val="both"/>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对照《环境保护综合名录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2021年版</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》不属于</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高污染、高环境风险</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产</w:t>
            </w:r>
            <w:r>
              <w:rPr>
                <w:rFonts w:hint="default" w:ascii="Times New Roman" w:hAnsi="Times New Roman" w:eastAsia="宋体" w:cs="Times New Roman"/>
                <w:color w:val="auto"/>
                <w:sz w:val="24"/>
                <w:highlight w:val="none"/>
              </w:rPr>
              <w:t>品名录中的行业，也未采用该名录中的重污染工艺</w:t>
            </w:r>
            <w:r>
              <w:rPr>
                <w:rFonts w:hint="default" w:ascii="Times New Roman" w:hAnsi="Times New Roman" w:eastAsia="宋体" w:cs="Times New Roman"/>
                <w:color w:val="auto"/>
                <w:sz w:val="24"/>
                <w:highlight w:val="none"/>
                <w:lang w:eastAsia="zh-CN"/>
              </w:rPr>
              <w:t>；</w:t>
            </w:r>
          </w:p>
          <w:p w14:paraId="5F4DE6F0">
            <w:pPr>
              <w:keepNext w:val="0"/>
              <w:keepLines w:val="0"/>
              <w:pageBreakBefore w:val="0"/>
              <w:widowControl/>
              <w:suppressLineNumbers w:val="0"/>
              <w:kinsoku/>
              <w:wordWrap/>
              <w:overflowPunct/>
              <w:topLinePunct w:val="0"/>
              <w:bidi w:val="0"/>
              <w:spacing w:before="0" w:beforeAutospacing="0" w:afterAutospacing="0" w:line="360" w:lineRule="auto"/>
              <w:ind w:left="0" w:right="0" w:firstLine="487"/>
              <w:jc w:val="both"/>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对照《江苏省太湖流域禁止和限制的产业产品目录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2024年本</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本项目</w:t>
            </w:r>
            <w:r>
              <w:rPr>
                <w:rFonts w:hint="default" w:ascii="Times New Roman" w:hAnsi="Times New Roman" w:eastAsia="宋体" w:cs="Times New Roman"/>
                <w:color w:val="auto"/>
                <w:sz w:val="24"/>
                <w:highlight w:val="none"/>
              </w:rPr>
              <w:t>不属于限制类、禁止类和淘汰类项目，属于允许类项目</w:t>
            </w:r>
            <w:r>
              <w:rPr>
                <w:rFonts w:hint="default" w:ascii="Times New Roman" w:hAnsi="Times New Roman" w:eastAsia="宋体" w:cs="Times New Roman"/>
                <w:color w:val="auto"/>
                <w:sz w:val="24"/>
                <w:highlight w:val="none"/>
                <w:lang w:eastAsia="zh-CN"/>
              </w:rPr>
              <w:t>；</w:t>
            </w:r>
          </w:p>
          <w:p w14:paraId="07D4678B">
            <w:pPr>
              <w:keepNext w:val="0"/>
              <w:keepLines w:val="0"/>
              <w:pageBreakBefore w:val="0"/>
              <w:widowControl/>
              <w:suppressLineNumbers w:val="0"/>
              <w:kinsoku/>
              <w:wordWrap/>
              <w:overflowPunct/>
              <w:topLinePunct w:val="0"/>
              <w:bidi w:val="0"/>
              <w:spacing w:before="0" w:beforeAutospacing="0" w:afterAutospacing="0" w:line="360" w:lineRule="auto"/>
              <w:ind w:left="0" w:right="0" w:firstLine="487"/>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rPr>
              <w:t>对照《江苏省</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两高</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项</w:t>
            </w:r>
            <w:r>
              <w:rPr>
                <w:rFonts w:hint="default" w:ascii="Times New Roman" w:hAnsi="Times New Roman" w:eastAsia="宋体" w:cs="Times New Roman"/>
                <w:color w:val="auto"/>
                <w:sz w:val="24"/>
                <w:highlight w:val="none"/>
              </w:rPr>
              <w:t>目管理目录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202</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rPr>
              <w:t>年版</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本项目</w:t>
            </w:r>
            <w:r>
              <w:rPr>
                <w:rFonts w:hint="default" w:ascii="Times New Roman" w:hAnsi="Times New Roman" w:eastAsia="宋体" w:cs="Times New Roman"/>
                <w:color w:val="auto"/>
                <w:sz w:val="24"/>
                <w:highlight w:val="none"/>
              </w:rPr>
              <w:t>不属于名录内</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两高</w:t>
            </w:r>
            <w:r>
              <w:rPr>
                <w:rFonts w:hint="eastAsia" w:ascii="宋体" w:hAnsi="宋体" w:cs="宋体"/>
                <w:color w:val="auto"/>
                <w:sz w:val="24"/>
                <w:highlight w:val="none"/>
                <w:lang w:eastAsia="zh-CN"/>
              </w:rPr>
              <w:t>”</w:t>
            </w:r>
            <w:r>
              <w:rPr>
                <w:rFonts w:hint="default" w:ascii="Times New Roman" w:hAnsi="Times New Roman" w:eastAsia="宋体" w:cs="Times New Roman"/>
                <w:color w:val="auto"/>
                <w:sz w:val="24"/>
                <w:highlight w:val="none"/>
              </w:rPr>
              <w:t>行业</w:t>
            </w:r>
            <w:r>
              <w:rPr>
                <w:rFonts w:hint="default" w:ascii="Times New Roman" w:hAnsi="Times New Roman" w:eastAsia="宋体" w:cs="Times New Roman"/>
                <w:color w:val="auto"/>
                <w:sz w:val="24"/>
                <w:highlight w:val="none"/>
                <w:lang w:eastAsia="zh-CN"/>
              </w:rPr>
              <w:t>。</w:t>
            </w:r>
          </w:p>
          <w:p w14:paraId="4677B698">
            <w:pPr>
              <w:widowControl/>
              <w:autoSpaceDE/>
              <w:autoSpaceDN/>
              <w:adjustRightInd/>
              <w:snapToGrid/>
              <w:spacing w:line="360" w:lineRule="auto"/>
              <w:ind w:firstLine="487"/>
              <w:jc w:val="left"/>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rPr>
              <w:t>因此，本项目的建设符合国家和地方产业政策。</w:t>
            </w:r>
          </w:p>
          <w:p w14:paraId="51FE80E4">
            <w:pPr>
              <w:autoSpaceDE w:val="0"/>
              <w:autoSpaceDN w:val="0"/>
              <w:adjustRightInd w:val="0"/>
              <w:snapToGrid w:val="0"/>
              <w:spacing w:line="360" w:lineRule="auto"/>
              <w:jc w:val="left"/>
              <w:rPr>
                <w:b/>
                <w:bCs/>
                <w:color w:val="auto"/>
                <w:kern w:val="0"/>
                <w:sz w:val="24"/>
                <w:szCs w:val="24"/>
                <w:highlight w:val="none"/>
              </w:rPr>
            </w:pPr>
            <w:r>
              <w:rPr>
                <w:rFonts w:hint="eastAsia"/>
                <w:b/>
                <w:bCs/>
                <w:color w:val="auto"/>
                <w:kern w:val="0"/>
                <w:sz w:val="24"/>
                <w:szCs w:val="24"/>
                <w:highlight w:val="none"/>
                <w:lang w:val="en-US" w:eastAsia="zh-CN"/>
              </w:rPr>
              <w:t>7、</w:t>
            </w:r>
            <w:r>
              <w:rPr>
                <w:b/>
                <w:bCs/>
                <w:color w:val="auto"/>
                <w:kern w:val="0"/>
                <w:sz w:val="24"/>
                <w:szCs w:val="24"/>
                <w:highlight w:val="none"/>
              </w:rPr>
              <w:t>与《江苏省太湖水污染防治条例》</w:t>
            </w:r>
            <w:r>
              <w:rPr>
                <w:rFonts w:hint="eastAsia"/>
                <w:b/>
                <w:bCs/>
                <w:color w:val="auto"/>
                <w:kern w:val="0"/>
                <w:sz w:val="24"/>
                <w:szCs w:val="24"/>
                <w:highlight w:val="none"/>
              </w:rPr>
              <w:t>（2</w:t>
            </w:r>
            <w:r>
              <w:rPr>
                <w:b/>
                <w:bCs/>
                <w:color w:val="auto"/>
                <w:kern w:val="0"/>
                <w:sz w:val="24"/>
                <w:szCs w:val="24"/>
                <w:highlight w:val="none"/>
              </w:rPr>
              <w:t>021</w:t>
            </w:r>
            <w:r>
              <w:rPr>
                <w:rFonts w:hint="eastAsia"/>
                <w:b/>
                <w:bCs/>
                <w:color w:val="auto"/>
                <w:kern w:val="0"/>
                <w:sz w:val="24"/>
                <w:szCs w:val="24"/>
                <w:highlight w:val="none"/>
              </w:rPr>
              <w:t>年修订）</w:t>
            </w:r>
            <w:r>
              <w:rPr>
                <w:b/>
                <w:bCs/>
                <w:color w:val="auto"/>
                <w:kern w:val="0"/>
                <w:sz w:val="24"/>
                <w:szCs w:val="24"/>
                <w:highlight w:val="none"/>
              </w:rPr>
              <w:t>的相符性分析</w:t>
            </w:r>
          </w:p>
          <w:p w14:paraId="56EDF2BB">
            <w:pPr>
              <w:autoSpaceDE w:val="0"/>
              <w:autoSpaceDN w:val="0"/>
              <w:adjustRightInd w:val="0"/>
              <w:snapToGrid w:val="0"/>
              <w:spacing w:line="360" w:lineRule="auto"/>
              <w:ind w:firstLine="480" w:firstLineChars="200"/>
              <w:jc w:val="left"/>
              <w:rPr>
                <w:color w:val="auto"/>
                <w:kern w:val="0"/>
                <w:sz w:val="24"/>
                <w:szCs w:val="24"/>
                <w:highlight w:val="none"/>
              </w:rPr>
            </w:pPr>
            <w:r>
              <w:rPr>
                <w:color w:val="auto"/>
                <w:kern w:val="0"/>
                <w:sz w:val="24"/>
                <w:szCs w:val="24"/>
                <w:highlight w:val="none"/>
              </w:rPr>
              <w:t>根据《江苏省太湖水污染防治条例》第四十三条，对太湖流域一、二、三级保护区内禁止下列活动：</w:t>
            </w:r>
          </w:p>
          <w:p w14:paraId="2DCE6693">
            <w:pPr>
              <w:autoSpaceDE w:val="0"/>
              <w:autoSpaceDN w:val="0"/>
              <w:adjustRightInd w:val="0"/>
              <w:snapToGrid w:val="0"/>
              <w:spacing w:line="360" w:lineRule="auto"/>
              <w:ind w:firstLine="480" w:firstLineChars="200"/>
              <w:jc w:val="left"/>
              <w:rPr>
                <w:color w:val="auto"/>
                <w:kern w:val="0"/>
                <w:sz w:val="24"/>
                <w:szCs w:val="24"/>
                <w:highlight w:val="none"/>
              </w:rPr>
            </w:pPr>
            <w:r>
              <w:rPr>
                <w:rFonts w:hint="eastAsia"/>
                <w:color w:val="auto"/>
                <w:kern w:val="0"/>
                <w:sz w:val="24"/>
                <w:szCs w:val="24"/>
                <w:highlight w:val="none"/>
              </w:rPr>
              <w:t>（1）</w:t>
            </w:r>
            <w:r>
              <w:rPr>
                <w:color w:val="auto"/>
                <w:kern w:val="0"/>
                <w:sz w:val="24"/>
                <w:szCs w:val="24"/>
                <w:highlight w:val="none"/>
              </w:rPr>
              <w:t>新建、改建、扩建化学制浆造纸、制革、酿造、染料、印染、电镀以及其他排放含磷、氮等污染物的企业和项目，城镇污水集中处理等环境基础设施项目和第四十六条规定的情形除外；</w:t>
            </w:r>
          </w:p>
          <w:p w14:paraId="21829B4E">
            <w:pPr>
              <w:autoSpaceDE w:val="0"/>
              <w:autoSpaceDN w:val="0"/>
              <w:adjustRightInd w:val="0"/>
              <w:snapToGrid w:val="0"/>
              <w:spacing w:line="360" w:lineRule="auto"/>
              <w:ind w:firstLine="480" w:firstLineChars="200"/>
              <w:jc w:val="left"/>
              <w:rPr>
                <w:color w:val="auto"/>
                <w:kern w:val="0"/>
                <w:sz w:val="24"/>
                <w:szCs w:val="24"/>
                <w:highlight w:val="none"/>
              </w:rPr>
            </w:pPr>
            <w:r>
              <w:rPr>
                <w:rFonts w:hint="eastAsia"/>
                <w:color w:val="auto"/>
                <w:kern w:val="0"/>
                <w:sz w:val="24"/>
                <w:szCs w:val="24"/>
                <w:highlight w:val="none"/>
              </w:rPr>
              <w:t>（2）</w:t>
            </w:r>
            <w:r>
              <w:rPr>
                <w:color w:val="auto"/>
                <w:kern w:val="0"/>
                <w:sz w:val="24"/>
                <w:szCs w:val="24"/>
                <w:highlight w:val="none"/>
              </w:rPr>
              <w:t>销售、使用含磷洗涤用品；</w:t>
            </w:r>
          </w:p>
          <w:p w14:paraId="15C5799D">
            <w:pPr>
              <w:autoSpaceDE w:val="0"/>
              <w:autoSpaceDN w:val="0"/>
              <w:adjustRightInd w:val="0"/>
              <w:snapToGrid w:val="0"/>
              <w:spacing w:line="360" w:lineRule="auto"/>
              <w:ind w:firstLine="480" w:firstLineChars="200"/>
              <w:jc w:val="left"/>
              <w:rPr>
                <w:color w:val="auto"/>
                <w:kern w:val="0"/>
                <w:sz w:val="24"/>
                <w:szCs w:val="24"/>
                <w:highlight w:val="none"/>
              </w:rPr>
            </w:pPr>
            <w:r>
              <w:rPr>
                <w:rFonts w:hint="eastAsia"/>
                <w:color w:val="auto"/>
                <w:kern w:val="0"/>
                <w:sz w:val="24"/>
                <w:szCs w:val="24"/>
                <w:highlight w:val="none"/>
              </w:rPr>
              <w:t>（3）</w:t>
            </w:r>
            <w:r>
              <w:rPr>
                <w:color w:val="auto"/>
                <w:kern w:val="0"/>
                <w:sz w:val="24"/>
                <w:szCs w:val="24"/>
                <w:highlight w:val="none"/>
              </w:rPr>
              <w:t>向水体排放或者倾倒油类、酸液、碱液、剧毒废渣废液、含放射性废渣废液、含病原体污水、工业废渣以及其他废弃物；</w:t>
            </w:r>
          </w:p>
          <w:p w14:paraId="6EE4F115">
            <w:pPr>
              <w:autoSpaceDE w:val="0"/>
              <w:autoSpaceDN w:val="0"/>
              <w:adjustRightInd w:val="0"/>
              <w:snapToGrid w:val="0"/>
              <w:spacing w:line="360" w:lineRule="auto"/>
              <w:ind w:firstLine="480" w:firstLineChars="200"/>
              <w:jc w:val="left"/>
              <w:rPr>
                <w:color w:val="auto"/>
                <w:kern w:val="0"/>
                <w:sz w:val="24"/>
                <w:szCs w:val="24"/>
                <w:highlight w:val="none"/>
              </w:rPr>
            </w:pPr>
            <w:r>
              <w:rPr>
                <w:color w:val="auto"/>
                <w:kern w:val="0"/>
                <w:sz w:val="24"/>
                <w:szCs w:val="24"/>
                <w:highlight w:val="none"/>
              </w:rPr>
              <w:t>（</w:t>
            </w:r>
            <w:r>
              <w:rPr>
                <w:rFonts w:hint="eastAsia"/>
                <w:color w:val="auto"/>
                <w:kern w:val="0"/>
                <w:sz w:val="24"/>
                <w:szCs w:val="24"/>
                <w:highlight w:val="none"/>
              </w:rPr>
              <w:t>4</w:t>
            </w:r>
            <w:r>
              <w:rPr>
                <w:color w:val="auto"/>
                <w:kern w:val="0"/>
                <w:sz w:val="24"/>
                <w:szCs w:val="24"/>
                <w:highlight w:val="none"/>
              </w:rPr>
              <w:t>）在水体清洗装贮过油类或者有毒有害污染物的车辆、船舶和容器等；</w:t>
            </w:r>
          </w:p>
          <w:p w14:paraId="4216F033">
            <w:pPr>
              <w:autoSpaceDE w:val="0"/>
              <w:autoSpaceDN w:val="0"/>
              <w:adjustRightInd w:val="0"/>
              <w:snapToGrid w:val="0"/>
              <w:spacing w:line="360" w:lineRule="auto"/>
              <w:ind w:firstLine="480" w:firstLineChars="200"/>
              <w:jc w:val="left"/>
              <w:rPr>
                <w:color w:val="auto"/>
                <w:kern w:val="0"/>
                <w:sz w:val="24"/>
                <w:szCs w:val="24"/>
                <w:highlight w:val="none"/>
              </w:rPr>
            </w:pPr>
            <w:r>
              <w:rPr>
                <w:color w:val="auto"/>
                <w:kern w:val="0"/>
                <w:sz w:val="24"/>
                <w:szCs w:val="24"/>
                <w:highlight w:val="none"/>
              </w:rPr>
              <w:t>（</w:t>
            </w:r>
            <w:r>
              <w:rPr>
                <w:rFonts w:hint="eastAsia"/>
                <w:color w:val="auto"/>
                <w:kern w:val="0"/>
                <w:sz w:val="24"/>
                <w:szCs w:val="24"/>
                <w:highlight w:val="none"/>
              </w:rPr>
              <w:t>5</w:t>
            </w:r>
            <w:r>
              <w:rPr>
                <w:color w:val="auto"/>
                <w:kern w:val="0"/>
                <w:sz w:val="24"/>
                <w:szCs w:val="24"/>
                <w:highlight w:val="none"/>
              </w:rPr>
              <w:t>）使用农药等有毒物毒杀水生生物；</w:t>
            </w:r>
          </w:p>
          <w:p w14:paraId="457060E5">
            <w:pPr>
              <w:autoSpaceDE w:val="0"/>
              <w:autoSpaceDN w:val="0"/>
              <w:adjustRightInd w:val="0"/>
              <w:snapToGrid w:val="0"/>
              <w:spacing w:line="360" w:lineRule="auto"/>
              <w:ind w:firstLine="480" w:firstLineChars="200"/>
              <w:jc w:val="left"/>
              <w:rPr>
                <w:color w:val="auto"/>
                <w:kern w:val="0"/>
                <w:sz w:val="24"/>
                <w:szCs w:val="24"/>
                <w:highlight w:val="none"/>
              </w:rPr>
            </w:pPr>
            <w:r>
              <w:rPr>
                <w:color w:val="auto"/>
                <w:kern w:val="0"/>
                <w:sz w:val="24"/>
                <w:szCs w:val="24"/>
                <w:highlight w:val="none"/>
              </w:rPr>
              <w:t>（</w:t>
            </w:r>
            <w:r>
              <w:rPr>
                <w:rFonts w:hint="eastAsia"/>
                <w:color w:val="auto"/>
                <w:kern w:val="0"/>
                <w:sz w:val="24"/>
                <w:szCs w:val="24"/>
                <w:highlight w:val="none"/>
              </w:rPr>
              <w:t>6</w:t>
            </w:r>
            <w:r>
              <w:rPr>
                <w:color w:val="auto"/>
                <w:kern w:val="0"/>
                <w:sz w:val="24"/>
                <w:szCs w:val="24"/>
                <w:highlight w:val="none"/>
              </w:rPr>
              <w:t>）向水体直接排放人畜粪便、倾倒垃圾；</w:t>
            </w:r>
          </w:p>
          <w:p w14:paraId="32A78D43">
            <w:pPr>
              <w:autoSpaceDE w:val="0"/>
              <w:autoSpaceDN w:val="0"/>
              <w:adjustRightInd w:val="0"/>
              <w:snapToGrid w:val="0"/>
              <w:spacing w:line="360" w:lineRule="auto"/>
              <w:ind w:firstLine="480" w:firstLineChars="200"/>
              <w:jc w:val="left"/>
              <w:rPr>
                <w:color w:val="auto"/>
                <w:kern w:val="0"/>
                <w:sz w:val="24"/>
                <w:szCs w:val="24"/>
                <w:highlight w:val="none"/>
              </w:rPr>
            </w:pPr>
            <w:r>
              <w:rPr>
                <w:color w:val="auto"/>
                <w:kern w:val="0"/>
                <w:sz w:val="24"/>
                <w:szCs w:val="24"/>
                <w:highlight w:val="none"/>
              </w:rPr>
              <w:t>（</w:t>
            </w:r>
            <w:r>
              <w:rPr>
                <w:rFonts w:hint="eastAsia"/>
                <w:color w:val="auto"/>
                <w:kern w:val="0"/>
                <w:sz w:val="24"/>
                <w:szCs w:val="24"/>
                <w:highlight w:val="none"/>
              </w:rPr>
              <w:t>7</w:t>
            </w:r>
            <w:r>
              <w:rPr>
                <w:color w:val="auto"/>
                <w:kern w:val="0"/>
                <w:sz w:val="24"/>
                <w:szCs w:val="24"/>
                <w:highlight w:val="none"/>
              </w:rPr>
              <w:t>）围湖造地；</w:t>
            </w:r>
          </w:p>
          <w:p w14:paraId="7D98A305">
            <w:pPr>
              <w:autoSpaceDE w:val="0"/>
              <w:autoSpaceDN w:val="0"/>
              <w:adjustRightInd w:val="0"/>
              <w:snapToGrid w:val="0"/>
              <w:spacing w:line="360" w:lineRule="auto"/>
              <w:ind w:firstLine="480" w:firstLineChars="200"/>
              <w:jc w:val="left"/>
              <w:rPr>
                <w:color w:val="auto"/>
                <w:kern w:val="0"/>
                <w:sz w:val="24"/>
                <w:szCs w:val="24"/>
                <w:highlight w:val="none"/>
              </w:rPr>
            </w:pPr>
            <w:r>
              <w:rPr>
                <w:color w:val="auto"/>
                <w:kern w:val="0"/>
                <w:sz w:val="24"/>
                <w:szCs w:val="24"/>
                <w:highlight w:val="none"/>
              </w:rPr>
              <w:t>（</w:t>
            </w:r>
            <w:r>
              <w:rPr>
                <w:rFonts w:hint="eastAsia"/>
                <w:color w:val="auto"/>
                <w:kern w:val="0"/>
                <w:sz w:val="24"/>
                <w:szCs w:val="24"/>
                <w:highlight w:val="none"/>
              </w:rPr>
              <w:t>8</w:t>
            </w:r>
            <w:r>
              <w:rPr>
                <w:color w:val="auto"/>
                <w:kern w:val="0"/>
                <w:sz w:val="24"/>
                <w:szCs w:val="24"/>
                <w:highlight w:val="none"/>
              </w:rPr>
              <w:t>）违法开山采石，或者进行破坏林木、植被、水生生物的活动；</w:t>
            </w:r>
          </w:p>
          <w:p w14:paraId="491CF3C0">
            <w:pPr>
              <w:autoSpaceDE w:val="0"/>
              <w:autoSpaceDN w:val="0"/>
              <w:adjustRightInd w:val="0"/>
              <w:snapToGrid w:val="0"/>
              <w:spacing w:line="360" w:lineRule="auto"/>
              <w:ind w:firstLine="480" w:firstLineChars="200"/>
              <w:jc w:val="left"/>
              <w:rPr>
                <w:color w:val="auto"/>
                <w:kern w:val="0"/>
                <w:sz w:val="24"/>
                <w:szCs w:val="24"/>
                <w:highlight w:val="none"/>
              </w:rPr>
            </w:pPr>
            <w:r>
              <w:rPr>
                <w:color w:val="auto"/>
                <w:kern w:val="0"/>
                <w:sz w:val="24"/>
                <w:szCs w:val="24"/>
                <w:highlight w:val="none"/>
              </w:rPr>
              <w:t>（</w:t>
            </w:r>
            <w:r>
              <w:rPr>
                <w:rFonts w:hint="eastAsia"/>
                <w:color w:val="auto"/>
                <w:kern w:val="0"/>
                <w:sz w:val="24"/>
                <w:szCs w:val="24"/>
                <w:highlight w:val="none"/>
              </w:rPr>
              <w:t>9</w:t>
            </w:r>
            <w:r>
              <w:rPr>
                <w:color w:val="auto"/>
                <w:kern w:val="0"/>
                <w:sz w:val="24"/>
                <w:szCs w:val="24"/>
                <w:highlight w:val="none"/>
              </w:rPr>
              <w:t>）法律、法规禁止的其他行为。</w:t>
            </w:r>
          </w:p>
          <w:p w14:paraId="7B894F68">
            <w:pPr>
              <w:autoSpaceDE w:val="0"/>
              <w:autoSpaceDN w:val="0"/>
              <w:adjustRightInd w:val="0"/>
              <w:snapToGrid w:val="0"/>
              <w:spacing w:line="360" w:lineRule="auto"/>
              <w:ind w:firstLine="480" w:firstLineChars="200"/>
              <w:jc w:val="both"/>
              <w:rPr>
                <w:color w:val="auto"/>
                <w:kern w:val="0"/>
                <w:sz w:val="24"/>
                <w:szCs w:val="24"/>
                <w:highlight w:val="none"/>
              </w:rPr>
            </w:pPr>
            <w:r>
              <w:rPr>
                <w:rFonts w:hint="eastAsia" w:ascii="Times New Roman" w:hAnsi="Times New Roman" w:eastAsia="宋体" w:cs="Times New Roman"/>
                <w:color w:val="auto"/>
                <w:kern w:val="0"/>
                <w:sz w:val="24"/>
                <w:szCs w:val="24"/>
                <w:highlight w:val="none"/>
                <w:lang w:val="en-US" w:eastAsia="zh-CN"/>
              </w:rPr>
              <w:t>本项目</w:t>
            </w:r>
            <w:r>
              <w:rPr>
                <w:rFonts w:ascii="Times New Roman" w:hAnsi="Times New Roman" w:eastAsia="宋体" w:cs="Times New Roman"/>
                <w:color w:val="auto"/>
                <w:kern w:val="0"/>
                <w:sz w:val="24"/>
                <w:szCs w:val="24"/>
                <w:highlight w:val="none"/>
              </w:rPr>
              <w:t>距离</w:t>
            </w:r>
            <w:r>
              <w:rPr>
                <w:color w:val="auto"/>
                <w:kern w:val="0"/>
                <w:sz w:val="24"/>
                <w:szCs w:val="24"/>
                <w:highlight w:val="none"/>
              </w:rPr>
              <w:t>太湖</w:t>
            </w:r>
            <w:r>
              <w:rPr>
                <w:rFonts w:hint="eastAsia"/>
                <w:color w:val="auto"/>
                <w:kern w:val="0"/>
                <w:sz w:val="24"/>
                <w:szCs w:val="24"/>
                <w:highlight w:val="none"/>
                <w:lang w:val="en-US" w:eastAsia="zh-CN"/>
              </w:rPr>
              <w:t>湖体</w:t>
            </w:r>
            <w:r>
              <w:rPr>
                <w:color w:val="auto"/>
                <w:kern w:val="0"/>
                <w:sz w:val="24"/>
                <w:szCs w:val="24"/>
                <w:highlight w:val="none"/>
              </w:rPr>
              <w:t>约</w:t>
            </w:r>
            <w:r>
              <w:rPr>
                <w:rFonts w:hint="eastAsia"/>
                <w:bCs/>
                <w:color w:val="auto"/>
                <w:kern w:val="0"/>
                <w:sz w:val="24"/>
                <w:szCs w:val="24"/>
                <w:highlight w:val="none"/>
                <w:lang w:val="en-US" w:eastAsia="zh-CN"/>
              </w:rPr>
              <w:t>17.5</w:t>
            </w:r>
            <w:r>
              <w:rPr>
                <w:color w:val="auto"/>
                <w:kern w:val="0"/>
                <w:sz w:val="24"/>
                <w:szCs w:val="24"/>
                <w:highlight w:val="none"/>
              </w:rPr>
              <w:t>公里，位于太湖流域</w:t>
            </w:r>
            <w:r>
              <w:rPr>
                <w:rFonts w:hint="eastAsia"/>
                <w:color w:val="auto"/>
                <w:kern w:val="0"/>
                <w:sz w:val="24"/>
                <w:szCs w:val="24"/>
                <w:highlight w:val="none"/>
                <w:lang w:val="en-US" w:eastAsia="zh-CN"/>
              </w:rPr>
              <w:t>三</w:t>
            </w:r>
            <w:r>
              <w:rPr>
                <w:color w:val="auto"/>
                <w:kern w:val="0"/>
                <w:sz w:val="24"/>
                <w:szCs w:val="24"/>
                <w:highlight w:val="none"/>
              </w:rPr>
              <w:t>级保护区，</w:t>
            </w:r>
            <w:r>
              <w:rPr>
                <w:rFonts w:hint="eastAsia"/>
                <w:color w:val="auto"/>
                <w:kern w:val="0"/>
                <w:sz w:val="24"/>
                <w:szCs w:val="24"/>
                <w:highlight w:val="none"/>
                <w:lang w:val="en-US" w:eastAsia="zh-CN"/>
              </w:rPr>
              <w:t>主要从事航空航天精密零部件和其他精密零部件</w:t>
            </w:r>
            <w:r>
              <w:rPr>
                <w:rFonts w:hint="eastAsia" w:cs="Times New Roman"/>
                <w:color w:val="auto"/>
                <w:kern w:val="0"/>
                <w:sz w:val="24"/>
                <w:szCs w:val="24"/>
                <w:highlight w:val="none"/>
                <w:lang w:val="en-US" w:eastAsia="zh-CN"/>
              </w:rPr>
              <w:t>的生产活动</w:t>
            </w:r>
            <w:r>
              <w:rPr>
                <w:rFonts w:hint="eastAsia" w:ascii="Times New Roman" w:hAnsi="Times New Roman" w:eastAsia="宋体" w:cs="Times New Roman"/>
                <w:color w:val="auto"/>
                <w:kern w:val="0"/>
                <w:sz w:val="24"/>
                <w:szCs w:val="24"/>
                <w:highlight w:val="none"/>
                <w:lang w:val="en-US" w:eastAsia="zh-CN"/>
              </w:rPr>
              <w:t>，不属于条例中禁止建设项目</w:t>
            </w:r>
            <w:r>
              <w:rPr>
                <w:rFonts w:hint="eastAsia" w:cs="Times New Roman"/>
                <w:color w:val="auto"/>
                <w:kern w:val="0"/>
                <w:sz w:val="24"/>
                <w:szCs w:val="24"/>
                <w:highlight w:val="none"/>
                <w:lang w:val="en-US" w:eastAsia="zh-CN"/>
              </w:rPr>
              <w:t>。</w:t>
            </w:r>
            <w:r>
              <w:rPr>
                <w:rFonts w:hint="eastAsia"/>
                <w:color w:val="auto"/>
                <w:kern w:val="0"/>
                <w:sz w:val="24"/>
                <w:highlight w:val="none"/>
                <w:lang w:val="en-US" w:eastAsia="zh-CN"/>
              </w:rPr>
              <w:t>本项目无生产废水，</w:t>
            </w:r>
            <w:r>
              <w:rPr>
                <w:rFonts w:hint="eastAsia" w:ascii="Times New Roman" w:hAnsi="Times New Roman" w:eastAsia="宋体" w:cs="Times New Roman"/>
                <w:color w:val="auto"/>
                <w:kern w:val="0"/>
                <w:sz w:val="24"/>
                <w:szCs w:val="24"/>
                <w:highlight w:val="none"/>
                <w:lang w:val="en-US" w:eastAsia="zh-CN"/>
              </w:rPr>
              <w:t>生活污水经市政污水管网进入</w:t>
            </w:r>
            <w:r>
              <w:rPr>
                <w:rFonts w:hint="eastAsia" w:cs="Times New Roman"/>
                <w:color w:val="auto"/>
                <w:kern w:val="0"/>
                <w:sz w:val="24"/>
                <w:szCs w:val="24"/>
                <w:highlight w:val="none"/>
                <w:lang w:val="en-US" w:eastAsia="zh-CN"/>
              </w:rPr>
              <w:t>苏州市相润排水管理有限公司（漕湖污水处理厂）</w:t>
            </w:r>
            <w:r>
              <w:rPr>
                <w:rFonts w:hint="eastAsia" w:ascii="Times New Roman" w:hAnsi="Times New Roman" w:eastAsia="宋体" w:cs="Times New Roman"/>
                <w:color w:val="auto"/>
                <w:kern w:val="0"/>
                <w:sz w:val="24"/>
                <w:szCs w:val="24"/>
                <w:highlight w:val="none"/>
                <w:lang w:val="en-US" w:eastAsia="zh-CN"/>
              </w:rPr>
              <w:t>处理</w:t>
            </w:r>
            <w:r>
              <w:rPr>
                <w:rFonts w:hint="eastAsia"/>
                <w:color w:val="auto"/>
                <w:kern w:val="0"/>
                <w:sz w:val="24"/>
                <w:highlight w:val="none"/>
                <w:lang w:eastAsia="zh-CN"/>
              </w:rPr>
              <w:t>。</w:t>
            </w:r>
            <w:r>
              <w:rPr>
                <w:color w:val="auto"/>
                <w:kern w:val="0"/>
                <w:sz w:val="24"/>
                <w:szCs w:val="24"/>
                <w:highlight w:val="none"/>
              </w:rPr>
              <w:t>项目产生的危废委托有资质单位处理不外排；不向水体排放油类、废液、废渣、垃圾，无法律、法规禁止的其他行为。因此，本项目的建设不违背《江苏省太湖水污染防治条例》的有关规定。</w:t>
            </w:r>
          </w:p>
          <w:p w14:paraId="5F9024B2">
            <w:pPr>
              <w:autoSpaceDE w:val="0"/>
              <w:autoSpaceDN w:val="0"/>
              <w:adjustRightInd w:val="0"/>
              <w:snapToGrid w:val="0"/>
              <w:spacing w:line="360" w:lineRule="auto"/>
              <w:jc w:val="left"/>
              <w:rPr>
                <w:b/>
                <w:bCs/>
                <w:color w:val="auto"/>
                <w:kern w:val="0"/>
                <w:sz w:val="24"/>
                <w:szCs w:val="24"/>
                <w:highlight w:val="none"/>
              </w:rPr>
            </w:pPr>
            <w:r>
              <w:rPr>
                <w:rFonts w:hint="eastAsia"/>
                <w:b/>
                <w:bCs/>
                <w:color w:val="auto"/>
                <w:kern w:val="0"/>
                <w:sz w:val="24"/>
                <w:szCs w:val="24"/>
                <w:highlight w:val="none"/>
                <w:lang w:val="en-US" w:eastAsia="zh-CN"/>
              </w:rPr>
              <w:t>8、</w:t>
            </w:r>
            <w:r>
              <w:rPr>
                <w:b/>
                <w:bCs/>
                <w:color w:val="auto"/>
                <w:kern w:val="0"/>
                <w:sz w:val="24"/>
                <w:szCs w:val="24"/>
                <w:highlight w:val="none"/>
              </w:rPr>
              <w:t>与《太湖流域管理条例》的相符性分析</w:t>
            </w:r>
          </w:p>
          <w:p w14:paraId="18A7821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color w:val="auto"/>
                <w:kern w:val="0"/>
                <w:sz w:val="24"/>
                <w:szCs w:val="24"/>
                <w:highlight w:val="none"/>
                <w:lang w:eastAsia="zh-CN"/>
              </w:rPr>
            </w:pPr>
            <w:r>
              <w:rPr>
                <w:rFonts w:hint="default"/>
                <w:color w:val="auto"/>
                <w:kern w:val="0"/>
                <w:sz w:val="24"/>
                <w:szCs w:val="24"/>
                <w:highlight w:val="none"/>
              </w:rPr>
              <w:t>根据《太湖流域管理条例》</w:t>
            </w:r>
            <w:r>
              <w:rPr>
                <w:rFonts w:hint="eastAsia"/>
                <w:color w:val="auto"/>
                <w:kern w:val="0"/>
                <w:sz w:val="24"/>
                <w:szCs w:val="24"/>
                <w:highlight w:val="none"/>
                <w:lang w:eastAsia="zh-CN"/>
              </w:rPr>
              <w:t>（</w:t>
            </w:r>
            <w:r>
              <w:rPr>
                <w:rFonts w:hint="default"/>
                <w:color w:val="auto"/>
                <w:kern w:val="0"/>
                <w:sz w:val="24"/>
                <w:szCs w:val="24"/>
                <w:highlight w:val="none"/>
              </w:rPr>
              <w:t>自2011年11月1日起施行</w:t>
            </w:r>
            <w:r>
              <w:rPr>
                <w:rFonts w:hint="eastAsia"/>
                <w:color w:val="auto"/>
                <w:kern w:val="0"/>
                <w:sz w:val="24"/>
                <w:szCs w:val="24"/>
                <w:highlight w:val="none"/>
                <w:lang w:eastAsia="zh-CN"/>
              </w:rPr>
              <w:t>）</w:t>
            </w:r>
          </w:p>
          <w:p w14:paraId="5CEF20C0">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color w:val="auto"/>
                <w:kern w:val="0"/>
                <w:sz w:val="24"/>
                <w:szCs w:val="24"/>
                <w:highlight w:val="none"/>
              </w:rPr>
            </w:pPr>
            <w:r>
              <w:rPr>
                <w:rFonts w:hint="default"/>
                <w:color w:val="auto"/>
                <w:kern w:val="0"/>
                <w:sz w:val="24"/>
                <w:szCs w:val="24"/>
                <w:highlight w:val="none"/>
              </w:rPr>
              <w:t>第四章第二十八条：排污单位排放水污染物，不得超过经核定的水污染物排放总量，并应当按照规定设置便于检查、采样的规范化排污口，悬挂标志牌</w:t>
            </w:r>
            <w:r>
              <w:rPr>
                <w:rFonts w:hint="eastAsia"/>
                <w:color w:val="auto"/>
                <w:kern w:val="0"/>
                <w:sz w:val="24"/>
                <w:szCs w:val="24"/>
                <w:highlight w:val="none"/>
                <w:lang w:eastAsia="zh-CN"/>
              </w:rPr>
              <w:t>；</w:t>
            </w:r>
            <w:r>
              <w:rPr>
                <w:rFonts w:hint="default"/>
                <w:color w:val="auto"/>
                <w:kern w:val="0"/>
                <w:sz w:val="24"/>
                <w:szCs w:val="24"/>
                <w:highlight w:val="none"/>
              </w:rPr>
              <w:t>不得私设暗管或者采取其他规避监管的方式排放水污染物。禁止在太湖流域设置不符合国家产业政策和水环境综合治理要求的造纸、制革、酒精、淀粉、冶金、酿造、印染、电镀等排放水污染物的生产项目，现有的生产项目不能实现达标排放的，应当依法关闭。太湖流域新设企业应当符合国家规定的清洁生产要求，现有的企业尚未达到清洁生产要求的，应当按照清洁生产规划要求进行技术改造，两省一市人民政府应当加强监督检查。</w:t>
            </w:r>
          </w:p>
          <w:p w14:paraId="3ED7878D">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color w:val="auto"/>
                <w:kern w:val="0"/>
                <w:sz w:val="24"/>
                <w:szCs w:val="24"/>
                <w:highlight w:val="none"/>
              </w:rPr>
            </w:pPr>
            <w:r>
              <w:rPr>
                <w:rFonts w:hint="default"/>
                <w:color w:val="auto"/>
                <w:kern w:val="0"/>
                <w:sz w:val="24"/>
                <w:szCs w:val="24"/>
                <w:highlight w:val="none"/>
              </w:rPr>
              <w:t>第四章第二十九条：新孟河、望虞河以外的其他主要入太湖河道，自河口1万米上溯至5万米河道岸线内及其岸线两侧各1000米范围内，禁止下列行为</w:t>
            </w:r>
            <w:r>
              <w:rPr>
                <w:rFonts w:hint="eastAsia"/>
                <w:color w:val="auto"/>
                <w:kern w:val="0"/>
                <w:sz w:val="24"/>
                <w:szCs w:val="24"/>
                <w:highlight w:val="none"/>
              </w:rPr>
              <w:t>：</w:t>
            </w:r>
            <w:r>
              <w:rPr>
                <w:rFonts w:hint="eastAsia"/>
                <w:color w:val="auto"/>
                <w:kern w:val="0"/>
                <w:sz w:val="24"/>
                <w:szCs w:val="24"/>
                <w:highlight w:val="none"/>
                <w:lang w:eastAsia="zh-CN"/>
              </w:rPr>
              <w:t>（</w:t>
            </w:r>
            <w:r>
              <w:rPr>
                <w:rFonts w:hint="default"/>
                <w:color w:val="auto"/>
                <w:kern w:val="0"/>
                <w:sz w:val="24"/>
                <w:szCs w:val="24"/>
                <w:highlight w:val="none"/>
              </w:rPr>
              <w:t>一</w:t>
            </w:r>
            <w:r>
              <w:rPr>
                <w:rFonts w:hint="eastAsia"/>
                <w:color w:val="auto"/>
                <w:kern w:val="0"/>
                <w:sz w:val="24"/>
                <w:szCs w:val="24"/>
                <w:highlight w:val="none"/>
                <w:lang w:eastAsia="zh-CN"/>
              </w:rPr>
              <w:t>）</w:t>
            </w:r>
            <w:r>
              <w:rPr>
                <w:rFonts w:hint="default"/>
                <w:color w:val="auto"/>
                <w:kern w:val="0"/>
                <w:sz w:val="24"/>
                <w:szCs w:val="24"/>
                <w:highlight w:val="none"/>
              </w:rPr>
              <w:t>新建、扩建化工、医药生产项目</w:t>
            </w:r>
            <w:r>
              <w:rPr>
                <w:rFonts w:hint="eastAsia"/>
                <w:color w:val="auto"/>
                <w:kern w:val="0"/>
                <w:sz w:val="24"/>
                <w:szCs w:val="24"/>
                <w:highlight w:val="none"/>
              </w:rPr>
              <w:t>；</w:t>
            </w:r>
            <w:r>
              <w:rPr>
                <w:rFonts w:hint="eastAsia"/>
                <w:color w:val="auto"/>
                <w:kern w:val="0"/>
                <w:sz w:val="24"/>
                <w:szCs w:val="24"/>
                <w:highlight w:val="none"/>
                <w:lang w:eastAsia="zh-CN"/>
              </w:rPr>
              <w:t>（</w:t>
            </w:r>
            <w:r>
              <w:rPr>
                <w:rFonts w:hint="default"/>
                <w:color w:val="auto"/>
                <w:kern w:val="0"/>
                <w:sz w:val="24"/>
                <w:szCs w:val="24"/>
                <w:highlight w:val="none"/>
              </w:rPr>
              <w:t>二</w:t>
            </w:r>
            <w:r>
              <w:rPr>
                <w:rFonts w:hint="eastAsia"/>
                <w:color w:val="auto"/>
                <w:kern w:val="0"/>
                <w:sz w:val="24"/>
                <w:szCs w:val="24"/>
                <w:highlight w:val="none"/>
                <w:lang w:eastAsia="zh-CN"/>
              </w:rPr>
              <w:t>）</w:t>
            </w:r>
            <w:r>
              <w:rPr>
                <w:rFonts w:hint="default"/>
                <w:color w:val="auto"/>
                <w:kern w:val="0"/>
                <w:sz w:val="24"/>
                <w:szCs w:val="24"/>
                <w:highlight w:val="none"/>
              </w:rPr>
              <w:t>新建、扩建污水集中处理设施排污口以外的排污口</w:t>
            </w:r>
            <w:r>
              <w:rPr>
                <w:rFonts w:hint="eastAsia"/>
                <w:color w:val="auto"/>
                <w:kern w:val="0"/>
                <w:sz w:val="24"/>
                <w:szCs w:val="24"/>
                <w:highlight w:val="none"/>
              </w:rPr>
              <w:t>；</w:t>
            </w:r>
            <w:r>
              <w:rPr>
                <w:rFonts w:hint="eastAsia"/>
                <w:color w:val="auto"/>
                <w:kern w:val="0"/>
                <w:sz w:val="24"/>
                <w:szCs w:val="24"/>
                <w:highlight w:val="none"/>
                <w:lang w:eastAsia="zh-CN"/>
              </w:rPr>
              <w:t>（</w:t>
            </w:r>
            <w:r>
              <w:rPr>
                <w:rFonts w:hint="default"/>
                <w:color w:val="auto"/>
                <w:kern w:val="0"/>
                <w:sz w:val="24"/>
                <w:szCs w:val="24"/>
                <w:highlight w:val="none"/>
              </w:rPr>
              <w:t>三</w:t>
            </w:r>
            <w:r>
              <w:rPr>
                <w:rFonts w:hint="eastAsia"/>
                <w:color w:val="auto"/>
                <w:kern w:val="0"/>
                <w:sz w:val="24"/>
                <w:szCs w:val="24"/>
                <w:highlight w:val="none"/>
                <w:lang w:eastAsia="zh-CN"/>
              </w:rPr>
              <w:t>）</w:t>
            </w:r>
            <w:r>
              <w:rPr>
                <w:rFonts w:hint="default"/>
                <w:color w:val="auto"/>
                <w:kern w:val="0"/>
                <w:sz w:val="24"/>
                <w:szCs w:val="24"/>
                <w:highlight w:val="none"/>
              </w:rPr>
              <w:t>扩大水产养殖规模。</w:t>
            </w:r>
          </w:p>
          <w:p w14:paraId="3174E83E">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color w:val="auto"/>
                <w:kern w:val="0"/>
                <w:sz w:val="24"/>
                <w:szCs w:val="24"/>
                <w:highlight w:val="none"/>
              </w:rPr>
            </w:pPr>
            <w:r>
              <w:rPr>
                <w:rFonts w:hint="default"/>
                <w:color w:val="auto"/>
                <w:kern w:val="0"/>
                <w:sz w:val="24"/>
                <w:szCs w:val="24"/>
                <w:highlight w:val="none"/>
              </w:rPr>
              <w:t>第四章第三十条</w:t>
            </w:r>
            <w:r>
              <w:rPr>
                <w:rFonts w:hint="eastAsia"/>
                <w:color w:val="auto"/>
                <w:kern w:val="0"/>
                <w:sz w:val="24"/>
                <w:szCs w:val="24"/>
                <w:highlight w:val="none"/>
              </w:rPr>
              <w:t>：</w:t>
            </w:r>
            <w:r>
              <w:rPr>
                <w:rFonts w:hint="default"/>
                <w:color w:val="auto"/>
                <w:kern w:val="0"/>
                <w:sz w:val="24"/>
                <w:szCs w:val="24"/>
                <w:highlight w:val="none"/>
              </w:rPr>
              <w:t>太湖岸线内和岸线周边5000米范围内，淀山湖岸线内和岸线周边2000米范围内，太浦河、新孟河、望虞河岸线内和岸线两侧各1000米范围内，其他主要入太湖河道自河口上溯至1万米河道岸线内及其岸线两侧各1000米范围内，禁止下列行为</w:t>
            </w:r>
            <w:r>
              <w:rPr>
                <w:rFonts w:hint="eastAsia"/>
                <w:color w:val="auto"/>
                <w:kern w:val="0"/>
                <w:sz w:val="24"/>
                <w:szCs w:val="24"/>
                <w:highlight w:val="none"/>
              </w:rPr>
              <w:t>：</w:t>
            </w:r>
            <w:r>
              <w:rPr>
                <w:rFonts w:hint="eastAsia"/>
                <w:color w:val="auto"/>
                <w:kern w:val="0"/>
                <w:sz w:val="24"/>
                <w:szCs w:val="24"/>
                <w:highlight w:val="none"/>
                <w:lang w:eastAsia="zh-CN"/>
              </w:rPr>
              <w:t>（</w:t>
            </w:r>
            <w:r>
              <w:rPr>
                <w:rFonts w:hint="default"/>
                <w:color w:val="auto"/>
                <w:kern w:val="0"/>
                <w:sz w:val="24"/>
                <w:szCs w:val="24"/>
                <w:highlight w:val="none"/>
              </w:rPr>
              <w:t>一</w:t>
            </w:r>
            <w:r>
              <w:rPr>
                <w:rFonts w:hint="eastAsia"/>
                <w:color w:val="auto"/>
                <w:kern w:val="0"/>
                <w:sz w:val="24"/>
                <w:szCs w:val="24"/>
                <w:highlight w:val="none"/>
                <w:lang w:eastAsia="zh-CN"/>
              </w:rPr>
              <w:t>）</w:t>
            </w:r>
            <w:r>
              <w:rPr>
                <w:rFonts w:hint="default"/>
                <w:color w:val="auto"/>
                <w:kern w:val="0"/>
                <w:sz w:val="24"/>
                <w:szCs w:val="24"/>
                <w:highlight w:val="none"/>
              </w:rPr>
              <w:t>设置剧毒物质、危险化学品的贮存、输送设施和废物回收场、垃圾场</w:t>
            </w:r>
            <w:r>
              <w:rPr>
                <w:rFonts w:hint="eastAsia"/>
                <w:color w:val="auto"/>
                <w:kern w:val="0"/>
                <w:sz w:val="24"/>
                <w:szCs w:val="24"/>
                <w:highlight w:val="none"/>
              </w:rPr>
              <w:t>；</w:t>
            </w:r>
            <w:r>
              <w:rPr>
                <w:rFonts w:hint="eastAsia"/>
                <w:color w:val="auto"/>
                <w:kern w:val="0"/>
                <w:sz w:val="24"/>
                <w:szCs w:val="24"/>
                <w:highlight w:val="none"/>
                <w:lang w:eastAsia="zh-CN"/>
              </w:rPr>
              <w:t>（</w:t>
            </w:r>
            <w:r>
              <w:rPr>
                <w:rFonts w:hint="default"/>
                <w:color w:val="auto"/>
                <w:kern w:val="0"/>
                <w:sz w:val="24"/>
                <w:szCs w:val="24"/>
                <w:highlight w:val="none"/>
              </w:rPr>
              <w:t>二</w:t>
            </w:r>
            <w:r>
              <w:rPr>
                <w:rFonts w:hint="eastAsia"/>
                <w:color w:val="auto"/>
                <w:kern w:val="0"/>
                <w:sz w:val="24"/>
                <w:szCs w:val="24"/>
                <w:highlight w:val="none"/>
                <w:lang w:eastAsia="zh-CN"/>
              </w:rPr>
              <w:t>）</w:t>
            </w:r>
            <w:r>
              <w:rPr>
                <w:rFonts w:hint="default"/>
                <w:color w:val="auto"/>
                <w:kern w:val="0"/>
                <w:sz w:val="24"/>
                <w:szCs w:val="24"/>
                <w:highlight w:val="none"/>
              </w:rPr>
              <w:t>设置水上餐饮经营设施</w:t>
            </w:r>
            <w:r>
              <w:rPr>
                <w:rFonts w:hint="eastAsia"/>
                <w:color w:val="auto"/>
                <w:kern w:val="0"/>
                <w:sz w:val="24"/>
                <w:szCs w:val="24"/>
                <w:highlight w:val="none"/>
              </w:rPr>
              <w:t>；</w:t>
            </w:r>
            <w:r>
              <w:rPr>
                <w:rFonts w:hint="eastAsia"/>
                <w:color w:val="auto"/>
                <w:kern w:val="0"/>
                <w:sz w:val="24"/>
                <w:szCs w:val="24"/>
                <w:highlight w:val="none"/>
                <w:lang w:eastAsia="zh-CN"/>
              </w:rPr>
              <w:t>（</w:t>
            </w:r>
            <w:r>
              <w:rPr>
                <w:rFonts w:hint="default"/>
                <w:color w:val="auto"/>
                <w:kern w:val="0"/>
                <w:sz w:val="24"/>
                <w:szCs w:val="24"/>
                <w:highlight w:val="none"/>
              </w:rPr>
              <w:t>三</w:t>
            </w:r>
            <w:r>
              <w:rPr>
                <w:rFonts w:hint="eastAsia"/>
                <w:color w:val="auto"/>
                <w:kern w:val="0"/>
                <w:sz w:val="24"/>
                <w:szCs w:val="24"/>
                <w:highlight w:val="none"/>
                <w:lang w:eastAsia="zh-CN"/>
              </w:rPr>
              <w:t>）</w:t>
            </w:r>
            <w:r>
              <w:rPr>
                <w:rFonts w:hint="default"/>
                <w:color w:val="auto"/>
                <w:kern w:val="0"/>
                <w:sz w:val="24"/>
                <w:szCs w:val="24"/>
                <w:highlight w:val="none"/>
              </w:rPr>
              <w:t>新建、扩建高尔夫球场</w:t>
            </w:r>
            <w:r>
              <w:rPr>
                <w:rFonts w:hint="eastAsia"/>
                <w:color w:val="auto"/>
                <w:kern w:val="0"/>
                <w:sz w:val="24"/>
                <w:szCs w:val="24"/>
                <w:highlight w:val="none"/>
              </w:rPr>
              <w:t>；</w:t>
            </w:r>
            <w:r>
              <w:rPr>
                <w:rFonts w:hint="eastAsia"/>
                <w:color w:val="auto"/>
                <w:kern w:val="0"/>
                <w:sz w:val="24"/>
                <w:szCs w:val="24"/>
                <w:highlight w:val="none"/>
                <w:lang w:eastAsia="zh-CN"/>
              </w:rPr>
              <w:t>（</w:t>
            </w:r>
            <w:r>
              <w:rPr>
                <w:rFonts w:hint="default"/>
                <w:color w:val="auto"/>
                <w:kern w:val="0"/>
                <w:sz w:val="24"/>
                <w:szCs w:val="24"/>
                <w:highlight w:val="none"/>
              </w:rPr>
              <w:t>四</w:t>
            </w:r>
            <w:r>
              <w:rPr>
                <w:rFonts w:hint="eastAsia"/>
                <w:color w:val="auto"/>
                <w:kern w:val="0"/>
                <w:sz w:val="24"/>
                <w:szCs w:val="24"/>
                <w:highlight w:val="none"/>
                <w:lang w:eastAsia="zh-CN"/>
              </w:rPr>
              <w:t>）</w:t>
            </w:r>
            <w:r>
              <w:rPr>
                <w:rFonts w:hint="default"/>
                <w:color w:val="auto"/>
                <w:kern w:val="0"/>
                <w:sz w:val="24"/>
                <w:szCs w:val="24"/>
                <w:highlight w:val="none"/>
              </w:rPr>
              <w:t>新建、扩建畜禽养殖场</w:t>
            </w:r>
            <w:r>
              <w:rPr>
                <w:rFonts w:hint="eastAsia"/>
                <w:color w:val="auto"/>
                <w:kern w:val="0"/>
                <w:sz w:val="24"/>
                <w:szCs w:val="24"/>
                <w:highlight w:val="none"/>
              </w:rPr>
              <w:t>；</w:t>
            </w:r>
            <w:r>
              <w:rPr>
                <w:rFonts w:hint="eastAsia"/>
                <w:color w:val="auto"/>
                <w:kern w:val="0"/>
                <w:sz w:val="24"/>
                <w:szCs w:val="24"/>
                <w:highlight w:val="none"/>
                <w:lang w:eastAsia="zh-CN"/>
              </w:rPr>
              <w:t>（</w:t>
            </w:r>
            <w:r>
              <w:rPr>
                <w:rFonts w:hint="default"/>
                <w:color w:val="auto"/>
                <w:kern w:val="0"/>
                <w:sz w:val="24"/>
                <w:szCs w:val="24"/>
                <w:highlight w:val="none"/>
              </w:rPr>
              <w:t>五</w:t>
            </w:r>
            <w:r>
              <w:rPr>
                <w:rFonts w:hint="eastAsia"/>
                <w:color w:val="auto"/>
                <w:kern w:val="0"/>
                <w:sz w:val="24"/>
                <w:szCs w:val="24"/>
                <w:highlight w:val="none"/>
                <w:lang w:eastAsia="zh-CN"/>
              </w:rPr>
              <w:t>）</w:t>
            </w:r>
            <w:r>
              <w:rPr>
                <w:rFonts w:hint="default"/>
                <w:color w:val="auto"/>
                <w:kern w:val="0"/>
                <w:sz w:val="24"/>
                <w:szCs w:val="24"/>
                <w:highlight w:val="none"/>
              </w:rPr>
              <w:t>新建、扩建向水体排放污染物的建设项目</w:t>
            </w:r>
            <w:r>
              <w:rPr>
                <w:rFonts w:hint="eastAsia"/>
                <w:color w:val="auto"/>
                <w:kern w:val="0"/>
                <w:sz w:val="24"/>
                <w:szCs w:val="24"/>
                <w:highlight w:val="none"/>
              </w:rPr>
              <w:t>；</w:t>
            </w:r>
            <w:r>
              <w:rPr>
                <w:rFonts w:hint="eastAsia"/>
                <w:color w:val="auto"/>
                <w:kern w:val="0"/>
                <w:sz w:val="24"/>
                <w:szCs w:val="24"/>
                <w:highlight w:val="none"/>
                <w:lang w:eastAsia="zh-CN"/>
              </w:rPr>
              <w:t>（</w:t>
            </w:r>
            <w:r>
              <w:rPr>
                <w:rFonts w:hint="default"/>
                <w:color w:val="auto"/>
                <w:kern w:val="0"/>
                <w:sz w:val="24"/>
                <w:szCs w:val="24"/>
                <w:highlight w:val="none"/>
              </w:rPr>
              <w:t>六</w:t>
            </w:r>
            <w:r>
              <w:rPr>
                <w:rFonts w:hint="eastAsia"/>
                <w:color w:val="auto"/>
                <w:kern w:val="0"/>
                <w:sz w:val="24"/>
                <w:szCs w:val="24"/>
                <w:highlight w:val="none"/>
                <w:lang w:eastAsia="zh-CN"/>
              </w:rPr>
              <w:t>）</w:t>
            </w:r>
            <w:r>
              <w:rPr>
                <w:rFonts w:hint="default"/>
                <w:color w:val="auto"/>
                <w:kern w:val="0"/>
                <w:sz w:val="24"/>
                <w:szCs w:val="24"/>
                <w:highlight w:val="none"/>
              </w:rPr>
              <w:t>本条例第二十九条规定的行为。已经设置前款第一项、第二项规定设施的，当地县级人民政府应当责令拆除或者关闭。</w:t>
            </w:r>
          </w:p>
          <w:p w14:paraId="76DE974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color w:val="auto"/>
                <w:kern w:val="0"/>
                <w:sz w:val="24"/>
                <w:szCs w:val="24"/>
                <w:highlight w:val="none"/>
              </w:rPr>
            </w:pPr>
            <w:r>
              <w:rPr>
                <w:rFonts w:hint="default" w:ascii="Times New Roman" w:hAnsi="Times New Roman" w:eastAsia="宋体" w:cs="Times New Roman"/>
                <w:color w:val="auto"/>
                <w:kern w:val="0"/>
                <w:sz w:val="24"/>
                <w:szCs w:val="24"/>
                <w:highlight w:val="none"/>
              </w:rPr>
              <w:t>本项目距离太</w:t>
            </w:r>
            <w:r>
              <w:rPr>
                <w:rFonts w:hint="default"/>
                <w:color w:val="auto"/>
                <w:kern w:val="0"/>
                <w:sz w:val="24"/>
                <w:szCs w:val="24"/>
                <w:highlight w:val="none"/>
              </w:rPr>
              <w:t>湖</w:t>
            </w:r>
            <w:r>
              <w:rPr>
                <w:rFonts w:hint="eastAsia"/>
                <w:color w:val="auto"/>
                <w:kern w:val="0"/>
                <w:sz w:val="24"/>
                <w:szCs w:val="24"/>
                <w:highlight w:val="none"/>
                <w:lang w:val="en-US" w:eastAsia="zh-CN"/>
              </w:rPr>
              <w:t>湖体</w:t>
            </w:r>
            <w:r>
              <w:rPr>
                <w:rFonts w:hint="default"/>
                <w:color w:val="auto"/>
                <w:kern w:val="0"/>
                <w:sz w:val="24"/>
                <w:szCs w:val="24"/>
                <w:highlight w:val="none"/>
              </w:rPr>
              <w:t>约</w:t>
            </w:r>
            <w:r>
              <w:rPr>
                <w:rFonts w:hint="eastAsia"/>
                <w:color w:val="auto"/>
                <w:kern w:val="0"/>
                <w:sz w:val="24"/>
                <w:szCs w:val="24"/>
                <w:highlight w:val="none"/>
                <w:lang w:val="en-US" w:eastAsia="zh-CN"/>
              </w:rPr>
              <w:t>17.5</w:t>
            </w:r>
            <w:r>
              <w:rPr>
                <w:rFonts w:hint="eastAsia"/>
                <w:color w:val="auto"/>
                <w:kern w:val="0"/>
                <w:sz w:val="24"/>
                <w:szCs w:val="24"/>
                <w:highlight w:val="none"/>
              </w:rPr>
              <w:t>km</w:t>
            </w:r>
            <w:r>
              <w:rPr>
                <w:rFonts w:hint="default"/>
                <w:color w:val="auto"/>
                <w:kern w:val="0"/>
                <w:sz w:val="24"/>
                <w:szCs w:val="24"/>
                <w:highlight w:val="none"/>
              </w:rPr>
              <w:t>，</w:t>
            </w:r>
            <w:r>
              <w:rPr>
                <w:rFonts w:hint="eastAsia"/>
                <w:color w:val="auto"/>
                <w:kern w:val="0"/>
                <w:sz w:val="24"/>
                <w:szCs w:val="24"/>
                <w:highlight w:val="none"/>
              </w:rPr>
              <w:t>不在太湖岸线内和岸线周边5000米范围内；距离望虞河</w:t>
            </w:r>
            <w:r>
              <w:rPr>
                <w:rFonts w:hint="eastAsia"/>
                <w:color w:val="auto"/>
                <w:kern w:val="0"/>
                <w:sz w:val="24"/>
                <w:szCs w:val="24"/>
                <w:highlight w:val="none"/>
                <w:lang w:val="en-US" w:eastAsia="zh-CN"/>
              </w:rPr>
              <w:t>河体</w:t>
            </w:r>
            <w:r>
              <w:rPr>
                <w:rFonts w:hint="eastAsia"/>
                <w:color w:val="auto"/>
                <w:kern w:val="0"/>
                <w:sz w:val="24"/>
                <w:szCs w:val="24"/>
                <w:highlight w:val="none"/>
              </w:rPr>
              <w:t>约</w:t>
            </w:r>
            <w:r>
              <w:rPr>
                <w:rFonts w:hint="eastAsia"/>
                <w:color w:val="auto"/>
                <w:kern w:val="0"/>
                <w:sz w:val="24"/>
                <w:szCs w:val="24"/>
                <w:highlight w:val="none"/>
                <w:lang w:val="en-US" w:eastAsia="zh-CN"/>
              </w:rPr>
              <w:t>4.31</w:t>
            </w:r>
            <w:r>
              <w:rPr>
                <w:rFonts w:hint="eastAsia"/>
                <w:color w:val="auto"/>
                <w:kern w:val="0"/>
                <w:sz w:val="24"/>
                <w:szCs w:val="24"/>
                <w:highlight w:val="none"/>
              </w:rPr>
              <w:t>km，不在</w:t>
            </w:r>
            <w:r>
              <w:rPr>
                <w:rFonts w:hint="default"/>
                <w:color w:val="auto"/>
                <w:kern w:val="0"/>
                <w:sz w:val="24"/>
                <w:szCs w:val="24"/>
                <w:highlight w:val="none"/>
              </w:rPr>
              <w:t>河岸线内</w:t>
            </w:r>
            <w:r>
              <w:rPr>
                <w:rFonts w:hint="eastAsia"/>
                <w:color w:val="auto"/>
                <w:kern w:val="0"/>
                <w:sz w:val="24"/>
                <w:szCs w:val="24"/>
                <w:highlight w:val="none"/>
              </w:rPr>
              <w:t>及</w:t>
            </w:r>
            <w:r>
              <w:rPr>
                <w:rFonts w:hint="default"/>
                <w:color w:val="auto"/>
                <w:kern w:val="0"/>
                <w:sz w:val="24"/>
                <w:szCs w:val="24"/>
                <w:highlight w:val="none"/>
              </w:rPr>
              <w:t>岸线两侧各1000米范围内</w:t>
            </w:r>
            <w:r>
              <w:rPr>
                <w:rFonts w:hint="eastAsia"/>
                <w:color w:val="auto"/>
                <w:kern w:val="0"/>
                <w:sz w:val="24"/>
                <w:szCs w:val="24"/>
                <w:highlight w:val="none"/>
              </w:rPr>
              <w:t>。</w:t>
            </w:r>
            <w:r>
              <w:rPr>
                <w:rFonts w:hint="default"/>
                <w:color w:val="auto"/>
                <w:kern w:val="0"/>
                <w:sz w:val="24"/>
                <w:szCs w:val="24"/>
                <w:highlight w:val="none"/>
              </w:rPr>
              <w:t>本项目</w:t>
            </w:r>
            <w:r>
              <w:rPr>
                <w:rFonts w:hint="eastAsia"/>
                <w:color w:val="auto"/>
                <w:kern w:val="0"/>
                <w:sz w:val="24"/>
                <w:szCs w:val="24"/>
                <w:highlight w:val="none"/>
                <w:lang w:val="en-US" w:eastAsia="zh-CN"/>
              </w:rPr>
              <w:t>主要从事航空航天精密零部件和其他精密零部件生产活动</w:t>
            </w:r>
            <w:r>
              <w:rPr>
                <w:rFonts w:hint="default"/>
                <w:color w:val="auto"/>
                <w:kern w:val="0"/>
                <w:sz w:val="24"/>
                <w:szCs w:val="24"/>
                <w:highlight w:val="none"/>
              </w:rPr>
              <w:t>，不属于条例中禁止建设项目，因此不违背《</w:t>
            </w:r>
            <w:r>
              <w:rPr>
                <w:rFonts w:hint="default"/>
                <w:color w:val="auto"/>
                <w:kern w:val="0"/>
                <w:sz w:val="24"/>
                <w:highlight w:val="none"/>
              </w:rPr>
              <w:t>太湖流域管理条例</w:t>
            </w:r>
            <w:r>
              <w:rPr>
                <w:rFonts w:hint="default"/>
                <w:color w:val="auto"/>
                <w:kern w:val="0"/>
                <w:sz w:val="24"/>
                <w:szCs w:val="24"/>
                <w:highlight w:val="none"/>
              </w:rPr>
              <w:t>》的有关规定。</w:t>
            </w:r>
          </w:p>
          <w:p w14:paraId="1675AFC9">
            <w:pPr>
              <w:autoSpaceDE w:val="0"/>
              <w:autoSpaceDN w:val="0"/>
              <w:adjustRightInd w:val="0"/>
              <w:snapToGrid w:val="0"/>
              <w:spacing w:line="360" w:lineRule="auto"/>
              <w:jc w:val="left"/>
              <w:rPr>
                <w:b/>
                <w:color w:val="auto"/>
                <w:kern w:val="0"/>
                <w:sz w:val="24"/>
                <w:szCs w:val="24"/>
                <w:highlight w:val="none"/>
              </w:rPr>
            </w:pPr>
            <w:r>
              <w:rPr>
                <w:rFonts w:hint="eastAsia"/>
                <w:b/>
                <w:color w:val="auto"/>
                <w:kern w:val="0"/>
                <w:sz w:val="24"/>
                <w:szCs w:val="24"/>
                <w:highlight w:val="none"/>
                <w:lang w:val="en-US" w:eastAsia="zh-CN"/>
              </w:rPr>
              <w:t>9、</w:t>
            </w:r>
            <w:r>
              <w:rPr>
                <w:b/>
                <w:color w:val="auto"/>
                <w:kern w:val="0"/>
                <w:sz w:val="24"/>
                <w:szCs w:val="24"/>
                <w:highlight w:val="none"/>
              </w:rPr>
              <w:t>与《苏州市阳澄湖水源水质保护条例》的相符性分析</w:t>
            </w:r>
          </w:p>
          <w:p w14:paraId="0C89C622">
            <w:pPr>
              <w:widowControl w:val="0"/>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2"/>
                <w:sz w:val="24"/>
                <w:szCs w:val="24"/>
                <w:highlight w:val="none"/>
                <w:lang w:val="en-US" w:eastAsia="zh-CN" w:bidi="ar-SA"/>
              </w:rPr>
            </w:pPr>
            <w:r>
              <w:rPr>
                <w:color w:val="auto"/>
                <w:kern w:val="0"/>
                <w:sz w:val="24"/>
                <w:szCs w:val="24"/>
                <w:highlight w:val="none"/>
              </w:rPr>
              <w:t>本项目位于</w:t>
            </w:r>
            <w:r>
              <w:rPr>
                <w:rFonts w:hint="eastAsia"/>
                <w:color w:val="auto"/>
                <w:kern w:val="0"/>
                <w:sz w:val="24"/>
                <w:szCs w:val="24"/>
                <w:highlight w:val="none"/>
              </w:rPr>
              <w:t>苏州市漕湖街道永昌路28号A栋11单元</w:t>
            </w:r>
            <w:r>
              <w:rPr>
                <w:color w:val="auto"/>
                <w:kern w:val="0"/>
                <w:sz w:val="24"/>
                <w:szCs w:val="24"/>
                <w:highlight w:val="none"/>
              </w:rPr>
              <w:t>，</w:t>
            </w:r>
            <w:r>
              <w:rPr>
                <w:rFonts w:hint="eastAsia"/>
                <w:color w:val="auto"/>
                <w:sz w:val="24"/>
                <w:szCs w:val="24"/>
                <w:highlight w:val="none"/>
              </w:rPr>
              <w:t>位于元和塘以西，</w:t>
            </w:r>
            <w:r>
              <w:rPr>
                <w:rFonts w:ascii="Times New Roman" w:hAnsi="Times New Roman" w:cs="Times New Roman"/>
                <w:color w:val="auto"/>
                <w:kern w:val="0"/>
                <w:sz w:val="24"/>
                <w:szCs w:val="24"/>
                <w:highlight w:val="none"/>
              </w:rPr>
              <w:t>不在阳澄湖水源水质保护区范围内，符合《苏州市阳澄湖水源水质保护条例》（</w:t>
            </w:r>
            <w:r>
              <w:rPr>
                <w:color w:val="auto"/>
                <w:kern w:val="0"/>
                <w:sz w:val="24"/>
                <w:szCs w:val="24"/>
                <w:highlight w:val="none"/>
              </w:rPr>
              <w:t>2018</w:t>
            </w:r>
            <w:r>
              <w:rPr>
                <w:rFonts w:ascii="Times New Roman" w:hAnsi="Times New Roman" w:cs="Times New Roman"/>
                <w:color w:val="auto"/>
                <w:kern w:val="0"/>
                <w:sz w:val="24"/>
                <w:szCs w:val="24"/>
                <w:highlight w:val="none"/>
              </w:rPr>
              <w:t>年修订）中的相关要求。</w:t>
            </w:r>
          </w:p>
          <w:p w14:paraId="38440DFF">
            <w:pPr>
              <w:spacing w:line="360" w:lineRule="auto"/>
              <w:rPr>
                <w:rFonts w:hint="eastAsia"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10</w:t>
            </w:r>
            <w:r>
              <w:rPr>
                <w:rFonts w:hint="eastAsia" w:ascii="Times New Roman" w:hAnsi="Times New Roman" w:cs="Times New Roman"/>
                <w:b/>
                <w:bCs/>
                <w:color w:val="auto"/>
                <w:sz w:val="24"/>
                <w:szCs w:val="24"/>
                <w:highlight w:val="none"/>
                <w:lang w:val="en-US" w:eastAsia="zh-CN"/>
              </w:rPr>
              <w:t>、与</w:t>
            </w:r>
            <w:r>
              <w:rPr>
                <w:rFonts w:hint="eastAsia"/>
                <w:b/>
                <w:bCs/>
                <w:color w:val="auto"/>
                <w:sz w:val="24"/>
                <w:highlight w:val="none"/>
              </w:rPr>
              <w:t>相城区</w:t>
            </w:r>
            <w:r>
              <w:rPr>
                <w:rFonts w:hint="eastAsia"/>
                <w:b/>
                <w:bCs/>
                <w:color w:val="auto"/>
                <w:sz w:val="24"/>
                <w:highlight w:val="none"/>
                <w:lang w:eastAsia="zh-CN"/>
              </w:rPr>
              <w:t>“</w:t>
            </w:r>
            <w:r>
              <w:rPr>
                <w:rFonts w:hint="eastAsia"/>
                <w:b/>
                <w:bCs/>
                <w:color w:val="auto"/>
                <w:sz w:val="24"/>
                <w:highlight w:val="none"/>
              </w:rPr>
              <w:t>十四五</w:t>
            </w:r>
            <w:r>
              <w:rPr>
                <w:rFonts w:hint="eastAsia"/>
                <w:b/>
                <w:bCs/>
                <w:color w:val="auto"/>
                <w:sz w:val="24"/>
                <w:highlight w:val="none"/>
                <w:lang w:eastAsia="zh-CN"/>
              </w:rPr>
              <w:t>”</w:t>
            </w:r>
            <w:r>
              <w:rPr>
                <w:rFonts w:hint="eastAsia"/>
                <w:b/>
                <w:bCs/>
                <w:color w:val="auto"/>
                <w:sz w:val="24"/>
                <w:highlight w:val="none"/>
              </w:rPr>
              <w:t>生态环境保护规划（相政发〔2022〕6号）</w:t>
            </w:r>
            <w:r>
              <w:rPr>
                <w:rFonts w:hint="eastAsia"/>
                <w:b/>
                <w:bCs/>
                <w:color w:val="auto"/>
                <w:sz w:val="24"/>
                <w:highlight w:val="none"/>
                <w:lang w:val="en-US" w:eastAsia="zh-CN"/>
              </w:rPr>
              <w:t>相符性</w:t>
            </w:r>
            <w:r>
              <w:rPr>
                <w:rFonts w:hint="eastAsia" w:ascii="Times New Roman" w:hAnsi="Times New Roman" w:cs="Times New Roman"/>
                <w:b/>
                <w:bCs/>
                <w:color w:val="auto"/>
                <w:sz w:val="24"/>
                <w:szCs w:val="24"/>
                <w:highlight w:val="none"/>
                <w:lang w:val="en-US" w:eastAsia="zh-CN"/>
              </w:rPr>
              <w:t>分析</w:t>
            </w:r>
          </w:p>
          <w:p w14:paraId="6631B1B2">
            <w:pPr>
              <w:spacing w:line="360" w:lineRule="auto"/>
              <w:ind w:firstLine="480" w:firstLineChars="200"/>
              <w:rPr>
                <w:rFonts w:hint="eastAsia"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与相城区</w:t>
            </w:r>
            <w:r>
              <w:rPr>
                <w:rFonts w:hint="eastAsia" w:cs="Times New Roman"/>
                <w:b w:val="0"/>
                <w:bCs w:val="0"/>
                <w:color w:val="auto"/>
                <w:sz w:val="24"/>
                <w:szCs w:val="24"/>
                <w:highlight w:val="none"/>
                <w:lang w:val="en-US" w:eastAsia="zh-CN"/>
              </w:rPr>
              <w:t>“</w:t>
            </w:r>
            <w:r>
              <w:rPr>
                <w:rFonts w:hint="eastAsia" w:ascii="Times New Roman" w:hAnsi="Times New Roman" w:cs="Times New Roman"/>
                <w:b w:val="0"/>
                <w:bCs w:val="0"/>
                <w:color w:val="auto"/>
                <w:sz w:val="24"/>
                <w:szCs w:val="24"/>
                <w:highlight w:val="none"/>
                <w:lang w:val="en-US" w:eastAsia="zh-CN"/>
              </w:rPr>
              <w:t>十四五</w:t>
            </w:r>
            <w:r>
              <w:rPr>
                <w:rFonts w:hint="eastAsia" w:cs="Times New Roman"/>
                <w:b w:val="0"/>
                <w:bCs w:val="0"/>
                <w:color w:val="auto"/>
                <w:sz w:val="24"/>
                <w:szCs w:val="24"/>
                <w:highlight w:val="none"/>
                <w:lang w:val="en-US" w:eastAsia="zh-CN"/>
              </w:rPr>
              <w:t>”</w:t>
            </w:r>
            <w:r>
              <w:rPr>
                <w:rFonts w:hint="eastAsia" w:ascii="Times New Roman" w:hAnsi="Times New Roman" w:cs="Times New Roman"/>
                <w:b w:val="0"/>
                <w:bCs w:val="0"/>
                <w:color w:val="auto"/>
                <w:sz w:val="24"/>
                <w:szCs w:val="24"/>
                <w:highlight w:val="none"/>
                <w:lang w:val="en-US" w:eastAsia="zh-CN"/>
              </w:rPr>
              <w:t>生态环境保护规划（相政发〔2022〕6号）相符性分析</w:t>
            </w:r>
            <w:r>
              <w:rPr>
                <w:rFonts w:hint="eastAsia" w:cs="Times New Roman"/>
                <w:b w:val="0"/>
                <w:bCs w:val="0"/>
                <w:color w:val="auto"/>
                <w:sz w:val="24"/>
                <w:szCs w:val="24"/>
                <w:highlight w:val="none"/>
                <w:lang w:val="en-US" w:eastAsia="zh-CN"/>
              </w:rPr>
              <w:t>见下表。</w:t>
            </w:r>
          </w:p>
          <w:p w14:paraId="614919AE">
            <w:pPr>
              <w:widowControl/>
              <w:numPr>
                <w:ilvl w:val="0"/>
                <w:numId w:val="3"/>
              </w:numPr>
              <w:ind w:left="210" w:leftChars="0" w:firstLine="0" w:firstLineChars="0"/>
              <w:jc w:val="center"/>
              <w:rPr>
                <w:rFonts w:hint="eastAsia"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lang w:val="en-US" w:eastAsia="zh-CN"/>
              </w:rPr>
              <w:t>与《</w:t>
            </w:r>
            <w:r>
              <w:rPr>
                <w:rFonts w:hint="eastAsia" w:ascii="Times New Roman" w:hAnsi="Times New Roman" w:eastAsia="宋体" w:cs="Times New Roman"/>
                <w:b/>
                <w:color w:val="auto"/>
                <w:kern w:val="0"/>
                <w:sz w:val="24"/>
                <w:szCs w:val="24"/>
                <w:highlight w:val="none"/>
                <w:lang w:val="en-US" w:eastAsia="zh-CN"/>
              </w:rPr>
              <w:t>相城区“</w:t>
            </w:r>
            <w:r>
              <w:rPr>
                <w:rFonts w:hint="default" w:ascii="Times New Roman" w:hAnsi="Times New Roman" w:eastAsia="宋体" w:cs="Times New Roman"/>
                <w:b/>
                <w:color w:val="auto"/>
                <w:kern w:val="0"/>
                <w:sz w:val="24"/>
                <w:szCs w:val="24"/>
                <w:highlight w:val="none"/>
                <w:lang w:val="en-US" w:eastAsia="zh-CN"/>
              </w:rPr>
              <w:t>十四五</w:t>
            </w:r>
            <w:r>
              <w:rPr>
                <w:rFonts w:hint="eastAsia" w:ascii="Times New Roman" w:hAnsi="Times New Roman" w:eastAsia="宋体" w:cs="Times New Roman"/>
                <w:b/>
                <w:color w:val="auto"/>
                <w:kern w:val="0"/>
                <w:sz w:val="24"/>
                <w:szCs w:val="24"/>
                <w:highlight w:val="none"/>
                <w:lang w:val="en-US" w:eastAsia="zh-CN"/>
              </w:rPr>
              <w:t>”</w:t>
            </w:r>
            <w:r>
              <w:rPr>
                <w:rFonts w:hint="default" w:ascii="Times New Roman" w:hAnsi="Times New Roman" w:eastAsia="宋体" w:cs="Times New Roman"/>
                <w:b/>
                <w:color w:val="auto"/>
                <w:kern w:val="0"/>
                <w:sz w:val="24"/>
                <w:szCs w:val="24"/>
                <w:highlight w:val="none"/>
                <w:lang w:val="en-US" w:eastAsia="zh-CN"/>
              </w:rPr>
              <w:t>生态环境保护规划》相符性分析</w:t>
            </w:r>
          </w:p>
          <w:tbl>
            <w:tblPr>
              <w:tblStyle w:val="22"/>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308"/>
              <w:gridCol w:w="2799"/>
              <w:gridCol w:w="964"/>
            </w:tblGrid>
            <w:tr w14:paraId="6C7E85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2925" w:type="pct"/>
                  <w:tcBorders>
                    <w:tl2br w:val="nil"/>
                    <w:tr2bl w:val="nil"/>
                  </w:tcBorders>
                  <w:noWrap w:val="0"/>
                  <w:vAlign w:val="center"/>
                </w:tcPr>
                <w:p w14:paraId="5EED0E6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文件相关要求</w:t>
                  </w:r>
                </w:p>
              </w:tc>
              <w:tc>
                <w:tcPr>
                  <w:tcW w:w="1542" w:type="pct"/>
                  <w:tcBorders>
                    <w:tl2br w:val="nil"/>
                    <w:tr2bl w:val="nil"/>
                  </w:tcBorders>
                  <w:noWrap w:val="0"/>
                  <w:vAlign w:val="center"/>
                </w:tcPr>
                <w:p w14:paraId="60AC4FA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项目情况</w:t>
                  </w:r>
                </w:p>
              </w:tc>
              <w:tc>
                <w:tcPr>
                  <w:tcW w:w="531" w:type="pct"/>
                  <w:tcBorders>
                    <w:tl2br w:val="nil"/>
                    <w:tr2bl w:val="nil"/>
                  </w:tcBorders>
                  <w:noWrap w:val="0"/>
                  <w:vAlign w:val="center"/>
                </w:tcPr>
                <w:p w14:paraId="5A69A9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相符性</w:t>
                  </w:r>
                </w:p>
              </w:tc>
            </w:tr>
            <w:tr w14:paraId="57C9E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5" w:type="pct"/>
                  <w:tcBorders>
                    <w:tl2br w:val="nil"/>
                    <w:tr2bl w:val="nil"/>
                  </w:tcBorders>
                  <w:noWrap w:val="0"/>
                  <w:vAlign w:val="center"/>
                </w:tcPr>
                <w:p w14:paraId="6864125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1.深入推进源头治理，全面推进绿色发展水平：构建绿色产业结构体系，优化国土空间开发格局，推进能源绿色低碳发展，大力发展绿色低碳交通体系，积极主动应对气候变化。</w:t>
                  </w:r>
                </w:p>
              </w:tc>
              <w:tc>
                <w:tcPr>
                  <w:tcW w:w="1542" w:type="pct"/>
                  <w:tcBorders>
                    <w:tl2br w:val="nil"/>
                    <w:tr2bl w:val="nil"/>
                  </w:tcBorders>
                  <w:noWrap w:val="0"/>
                  <w:vAlign w:val="center"/>
                </w:tcPr>
                <w:p w14:paraId="617CEB4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项目不属于钢铁、造纸、化工、纺织等重污染行业，产生的污染物在合理有效处理后达标排放</w:t>
                  </w:r>
                  <w:r>
                    <w:rPr>
                      <w:rFonts w:hint="default" w:ascii="Times New Roman" w:hAnsi="Times New Roman" w:eastAsia="仿宋" w:cs="Times New Roman"/>
                      <w:color w:val="auto"/>
                      <w:sz w:val="21"/>
                      <w:szCs w:val="21"/>
                      <w:highlight w:val="none"/>
                      <w:lang w:eastAsia="zh-CN"/>
                    </w:rPr>
                    <w:t>。</w:t>
                  </w:r>
                </w:p>
              </w:tc>
              <w:tc>
                <w:tcPr>
                  <w:tcW w:w="531" w:type="pct"/>
                  <w:tcBorders>
                    <w:tl2br w:val="nil"/>
                    <w:tr2bl w:val="nil"/>
                  </w:tcBorders>
                  <w:noWrap w:val="0"/>
                  <w:vAlign w:val="center"/>
                </w:tcPr>
                <w:p w14:paraId="307FE3A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65234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5" w:type="pct"/>
                  <w:tcBorders>
                    <w:tl2br w:val="nil"/>
                    <w:tr2bl w:val="nil"/>
                  </w:tcBorders>
                  <w:noWrap w:val="0"/>
                  <w:vAlign w:val="center"/>
                </w:tcPr>
                <w:p w14:paraId="16E4441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2.坚持河湖统筹治理，显著提升水环境质量：实施严格水环境质量管理，全面推进排口排查整治，强化水污染系统治理，大力推进京杭运河生态廊道建设，持续实施阳澄湖水环境综合治理，加</w:t>
                  </w:r>
                  <w:r>
                    <w:rPr>
                      <w:rFonts w:hint="eastAsia" w:ascii="仿宋" w:hAnsi="仿宋" w:eastAsia="仿宋" w:cs="仿宋"/>
                      <w:color w:val="auto"/>
                      <w:sz w:val="21"/>
                      <w:szCs w:val="21"/>
                      <w:highlight w:val="none"/>
                    </w:rPr>
                    <w:t>强</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十百千万</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生态</w:t>
                  </w:r>
                  <w:r>
                    <w:rPr>
                      <w:rFonts w:hint="default" w:ascii="Times New Roman" w:hAnsi="Times New Roman" w:eastAsia="仿宋" w:cs="Times New Roman"/>
                      <w:color w:val="auto"/>
                      <w:sz w:val="21"/>
                      <w:szCs w:val="21"/>
                      <w:highlight w:val="none"/>
                    </w:rPr>
                    <w:t>美丽河湖建设。</w:t>
                  </w:r>
                </w:p>
              </w:tc>
              <w:tc>
                <w:tcPr>
                  <w:tcW w:w="1542" w:type="pct"/>
                  <w:tcBorders>
                    <w:tl2br w:val="nil"/>
                    <w:tr2bl w:val="nil"/>
                  </w:tcBorders>
                  <w:noWrap w:val="0"/>
                  <w:vAlign w:val="center"/>
                </w:tcPr>
                <w:p w14:paraId="4117CA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w:t>
                  </w:r>
                  <w:r>
                    <w:rPr>
                      <w:rFonts w:hint="default" w:ascii="Times New Roman" w:hAnsi="Times New Roman" w:eastAsia="仿宋" w:cs="Times New Roman"/>
                      <w:color w:val="auto"/>
                      <w:sz w:val="21"/>
                      <w:szCs w:val="21"/>
                      <w:highlight w:val="none"/>
                      <w:lang w:val="en-US" w:eastAsia="zh-CN"/>
                    </w:rPr>
                    <w:t>产生的</w:t>
                  </w:r>
                  <w:r>
                    <w:rPr>
                      <w:rFonts w:hint="default" w:ascii="Times New Roman" w:hAnsi="Times New Roman" w:eastAsia="仿宋" w:cs="Times New Roman"/>
                      <w:color w:val="auto"/>
                      <w:sz w:val="21"/>
                      <w:szCs w:val="21"/>
                      <w:highlight w:val="none"/>
                    </w:rPr>
                    <w:t>生活污水</w:t>
                  </w:r>
                  <w:r>
                    <w:rPr>
                      <w:rFonts w:hint="default" w:ascii="Times New Roman" w:hAnsi="Times New Roman" w:eastAsia="仿宋" w:cs="Times New Roman"/>
                      <w:color w:val="auto"/>
                      <w:sz w:val="21"/>
                      <w:szCs w:val="21"/>
                      <w:highlight w:val="none"/>
                      <w:lang w:val="en-US" w:eastAsia="zh-CN"/>
                    </w:rPr>
                    <w:t>经</w:t>
                  </w:r>
                  <w:r>
                    <w:rPr>
                      <w:rFonts w:hint="default" w:ascii="Times New Roman" w:hAnsi="Times New Roman" w:eastAsia="仿宋" w:cs="Times New Roman"/>
                      <w:color w:val="auto"/>
                      <w:sz w:val="21"/>
                      <w:szCs w:val="21"/>
                      <w:highlight w:val="none"/>
                    </w:rPr>
                    <w:t>市政污水管网排入苏州市相润排水管理有限公司（漕湖污水处理厂）</w:t>
                  </w:r>
                  <w:r>
                    <w:rPr>
                      <w:rFonts w:hint="default" w:ascii="Times New Roman" w:hAnsi="Times New Roman" w:eastAsia="仿宋" w:cs="Times New Roman"/>
                      <w:color w:val="auto"/>
                      <w:sz w:val="21"/>
                      <w:szCs w:val="21"/>
                      <w:highlight w:val="none"/>
                      <w:lang w:val="en-US" w:eastAsia="zh-CN"/>
                    </w:rPr>
                    <w:t>集中</w:t>
                  </w:r>
                  <w:r>
                    <w:rPr>
                      <w:rFonts w:hint="default" w:ascii="Times New Roman" w:hAnsi="Times New Roman" w:eastAsia="仿宋" w:cs="Times New Roman"/>
                      <w:color w:val="auto"/>
                      <w:sz w:val="21"/>
                      <w:szCs w:val="21"/>
                      <w:highlight w:val="none"/>
                    </w:rPr>
                    <w:t>处理</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不直接外排</w:t>
                  </w:r>
                  <w:r>
                    <w:rPr>
                      <w:rFonts w:hint="default" w:ascii="Times New Roman" w:hAnsi="Times New Roman" w:eastAsia="仿宋" w:cs="Times New Roman"/>
                      <w:color w:val="auto"/>
                      <w:sz w:val="21"/>
                      <w:szCs w:val="21"/>
                      <w:highlight w:val="none"/>
                      <w:lang w:eastAsia="zh-CN"/>
                    </w:rPr>
                    <w:t>。</w:t>
                  </w:r>
                </w:p>
              </w:tc>
              <w:tc>
                <w:tcPr>
                  <w:tcW w:w="531" w:type="pct"/>
                  <w:tcBorders>
                    <w:tl2br w:val="nil"/>
                    <w:tr2bl w:val="nil"/>
                  </w:tcBorders>
                  <w:noWrap w:val="0"/>
                  <w:vAlign w:val="center"/>
                </w:tcPr>
                <w:p w14:paraId="388384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228F5C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5" w:type="pct"/>
                  <w:tcBorders>
                    <w:tl2br w:val="nil"/>
                    <w:tr2bl w:val="nil"/>
                  </w:tcBorders>
                  <w:noWrap w:val="0"/>
                  <w:vAlign w:val="center"/>
                </w:tcPr>
                <w:p w14:paraId="084B16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3.加强PM</w:t>
                  </w:r>
                  <w:r>
                    <w:rPr>
                      <w:rFonts w:hint="default" w:ascii="Times New Roman" w:hAnsi="Times New Roman" w:eastAsia="仿宋" w:cs="Times New Roman"/>
                      <w:color w:val="auto"/>
                      <w:sz w:val="21"/>
                      <w:szCs w:val="21"/>
                      <w:highlight w:val="none"/>
                      <w:vertAlign w:val="subscript"/>
                    </w:rPr>
                    <w:t>2.5</w:t>
                  </w:r>
                  <w:r>
                    <w:rPr>
                      <w:rFonts w:hint="default" w:ascii="Times New Roman" w:hAnsi="Times New Roman" w:eastAsia="仿宋" w:cs="Times New Roman"/>
                      <w:color w:val="auto"/>
                      <w:sz w:val="21"/>
                      <w:szCs w:val="21"/>
                      <w:highlight w:val="none"/>
                    </w:rPr>
                    <w:t>和O</w:t>
                  </w:r>
                  <w:r>
                    <w:rPr>
                      <w:rFonts w:hint="default" w:ascii="Times New Roman" w:hAnsi="Times New Roman" w:eastAsia="仿宋" w:cs="Times New Roman"/>
                      <w:color w:val="auto"/>
                      <w:sz w:val="21"/>
                      <w:szCs w:val="21"/>
                      <w:highlight w:val="none"/>
                      <w:vertAlign w:val="subscript"/>
                    </w:rPr>
                    <w:t>3</w:t>
                  </w:r>
                  <w:r>
                    <w:rPr>
                      <w:rFonts w:hint="default" w:ascii="Times New Roman" w:hAnsi="Times New Roman" w:eastAsia="仿宋" w:cs="Times New Roman"/>
                      <w:color w:val="auto"/>
                      <w:sz w:val="21"/>
                      <w:szCs w:val="21"/>
                      <w:highlight w:val="none"/>
                    </w:rPr>
                    <w:t>协同控制，协同推动减污降碳：多方面统筹施策，严格实施重点行业污染治理，加强挥发性有机污染物控制，加大车船尾气污染控制，加强扬尘污染防治，加强重污染天气防范应对和区域联防联控。</w:t>
                  </w:r>
                </w:p>
              </w:tc>
              <w:tc>
                <w:tcPr>
                  <w:tcW w:w="1542" w:type="pct"/>
                  <w:tcBorders>
                    <w:tl2br w:val="nil"/>
                    <w:tr2bl w:val="nil"/>
                  </w:tcBorders>
                  <w:noWrap w:val="0"/>
                  <w:vAlign w:val="center"/>
                </w:tcPr>
                <w:p w14:paraId="271C2D9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w:t>
                  </w:r>
                  <w:r>
                    <w:rPr>
                      <w:rFonts w:hint="eastAsia" w:eastAsia="仿宋" w:cs="Times New Roman"/>
                      <w:color w:val="auto"/>
                      <w:sz w:val="21"/>
                      <w:szCs w:val="21"/>
                      <w:highlight w:val="none"/>
                      <w:lang w:val="en-US" w:eastAsia="zh-CN"/>
                    </w:rPr>
                    <w:t>机加工废气经油雾净化装置处理后在车间无组织排放。</w:t>
                  </w:r>
                </w:p>
              </w:tc>
              <w:tc>
                <w:tcPr>
                  <w:tcW w:w="531" w:type="pct"/>
                  <w:tcBorders>
                    <w:tl2br w:val="nil"/>
                    <w:tr2bl w:val="nil"/>
                  </w:tcBorders>
                  <w:noWrap w:val="0"/>
                  <w:vAlign w:val="center"/>
                </w:tcPr>
                <w:p w14:paraId="66D8AA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1C7DF6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5" w:type="pct"/>
                  <w:tcBorders>
                    <w:tl2br w:val="nil"/>
                    <w:tr2bl w:val="nil"/>
                  </w:tcBorders>
                  <w:noWrap w:val="0"/>
                  <w:vAlign w:val="center"/>
                </w:tcPr>
                <w:p w14:paraId="193C91E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4.加强土壤污染防治，持续改善土壤环境质量：强化耕地安全利用与防控，严格污染地块准入管理，有序推进污染地块治理与修复，协同推进地下水污染防治。</w:t>
                  </w:r>
                </w:p>
              </w:tc>
              <w:tc>
                <w:tcPr>
                  <w:tcW w:w="1542" w:type="pct"/>
                  <w:tcBorders>
                    <w:tl2br w:val="nil"/>
                    <w:tr2bl w:val="nil"/>
                  </w:tcBorders>
                  <w:noWrap w:val="0"/>
                  <w:vAlign w:val="center"/>
                </w:tcPr>
                <w:p w14:paraId="2F7313C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w:t>
                  </w:r>
                  <w:r>
                    <w:rPr>
                      <w:rFonts w:hint="default" w:ascii="Times New Roman" w:hAnsi="Times New Roman" w:eastAsia="仿宋" w:cs="Times New Roman"/>
                      <w:color w:val="auto"/>
                      <w:sz w:val="21"/>
                      <w:szCs w:val="21"/>
                      <w:highlight w:val="none"/>
                      <w:lang w:val="en-US" w:eastAsia="zh-CN"/>
                    </w:rPr>
                    <w:t>租赁</w:t>
                  </w:r>
                  <w:r>
                    <w:rPr>
                      <w:rFonts w:hint="default" w:ascii="Times New Roman" w:hAnsi="Times New Roman" w:eastAsia="仿宋" w:cs="Times New Roman"/>
                      <w:color w:val="auto"/>
                      <w:sz w:val="21"/>
                      <w:szCs w:val="21"/>
                      <w:highlight w:val="none"/>
                    </w:rPr>
                    <w:t>现有厂房进行建设，不涉及使用耕地</w:t>
                  </w:r>
                  <w:r>
                    <w:rPr>
                      <w:rFonts w:hint="default" w:ascii="Times New Roman" w:hAnsi="Times New Roman" w:eastAsia="仿宋" w:cs="Times New Roman"/>
                      <w:color w:val="auto"/>
                      <w:sz w:val="21"/>
                      <w:szCs w:val="21"/>
                      <w:highlight w:val="none"/>
                      <w:lang w:eastAsia="zh-CN"/>
                    </w:rPr>
                    <w:t>。</w:t>
                  </w:r>
                </w:p>
              </w:tc>
              <w:tc>
                <w:tcPr>
                  <w:tcW w:w="531" w:type="pct"/>
                  <w:tcBorders>
                    <w:tl2br w:val="nil"/>
                    <w:tr2bl w:val="nil"/>
                  </w:tcBorders>
                  <w:noWrap w:val="0"/>
                  <w:vAlign w:val="center"/>
                </w:tcPr>
                <w:p w14:paraId="5621265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05F10A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5" w:type="pct"/>
                  <w:tcBorders>
                    <w:tl2br w:val="nil"/>
                    <w:tr2bl w:val="nil"/>
                  </w:tcBorders>
                  <w:noWrap w:val="0"/>
                  <w:vAlign w:val="center"/>
                </w:tcPr>
                <w:p w14:paraId="553E317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5.强化生态系统保护，提高生态系统服务功能：优化区域生态安全格局，严格重要生态空间保护与管控，统筹山水林田湖草保护与修复，全面提升生物多样性保护力度，促进人与自然和谐共生。</w:t>
                  </w:r>
                </w:p>
              </w:tc>
              <w:tc>
                <w:tcPr>
                  <w:tcW w:w="1542" w:type="pct"/>
                  <w:vMerge w:val="restart"/>
                  <w:tcBorders>
                    <w:tl2br w:val="nil"/>
                    <w:tr2bl w:val="nil"/>
                  </w:tcBorders>
                  <w:noWrap w:val="0"/>
                  <w:vAlign w:val="center"/>
                </w:tcPr>
                <w:p w14:paraId="15FE876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企业目前尚处于环评编制阶段，待项目建成后建设单位按照要求</w:t>
                  </w:r>
                  <w:r>
                    <w:rPr>
                      <w:rFonts w:hint="default" w:ascii="Times New Roman" w:hAnsi="Times New Roman" w:eastAsia="仿宋" w:cs="Times New Roman"/>
                      <w:color w:val="auto"/>
                      <w:sz w:val="21"/>
                      <w:szCs w:val="21"/>
                      <w:highlight w:val="none"/>
                      <w:lang w:val="en-US" w:eastAsia="zh-CN"/>
                    </w:rPr>
                    <w:t>进行</w:t>
                  </w:r>
                  <w:r>
                    <w:rPr>
                      <w:rFonts w:hint="default" w:ascii="Times New Roman" w:hAnsi="Times New Roman" w:eastAsia="仿宋" w:cs="Times New Roman"/>
                      <w:color w:val="auto"/>
                      <w:sz w:val="21"/>
                      <w:szCs w:val="21"/>
                      <w:highlight w:val="none"/>
                    </w:rPr>
                    <w:t>突发环境事件应急预案</w:t>
                  </w:r>
                  <w:r>
                    <w:rPr>
                      <w:rFonts w:hint="eastAsia" w:eastAsia="仿宋" w:cs="Times New Roman"/>
                      <w:color w:val="auto"/>
                      <w:sz w:val="21"/>
                      <w:szCs w:val="21"/>
                      <w:highlight w:val="none"/>
                      <w:lang w:val="en-US" w:eastAsia="zh-CN"/>
                    </w:rPr>
                    <w:t>编制</w:t>
                  </w:r>
                  <w:r>
                    <w:rPr>
                      <w:rFonts w:hint="default" w:ascii="Times New Roman" w:hAnsi="Times New Roman" w:eastAsia="仿宋" w:cs="Times New Roman"/>
                      <w:color w:val="auto"/>
                      <w:sz w:val="21"/>
                      <w:szCs w:val="21"/>
                      <w:highlight w:val="none"/>
                    </w:rPr>
                    <w:t>并备案，按照要求配备应急物资，定期开展应急演练等</w:t>
                  </w:r>
                  <w:r>
                    <w:rPr>
                      <w:rFonts w:hint="default" w:ascii="Times New Roman" w:hAnsi="Times New Roman" w:eastAsia="仿宋" w:cs="Times New Roman"/>
                      <w:color w:val="auto"/>
                      <w:sz w:val="21"/>
                      <w:szCs w:val="21"/>
                      <w:highlight w:val="none"/>
                      <w:lang w:eastAsia="zh-CN"/>
                    </w:rPr>
                    <w:t>。</w:t>
                  </w:r>
                </w:p>
              </w:tc>
              <w:tc>
                <w:tcPr>
                  <w:tcW w:w="531" w:type="pct"/>
                  <w:tcBorders>
                    <w:tl2br w:val="nil"/>
                    <w:tr2bl w:val="nil"/>
                  </w:tcBorders>
                  <w:noWrap w:val="0"/>
                  <w:vAlign w:val="center"/>
                </w:tcPr>
                <w:p w14:paraId="16A65B6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5962BA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5" w:type="pct"/>
                  <w:tcBorders>
                    <w:tl2br w:val="nil"/>
                    <w:tr2bl w:val="nil"/>
                  </w:tcBorders>
                  <w:noWrap w:val="0"/>
                  <w:vAlign w:val="center"/>
                </w:tcPr>
                <w:p w14:paraId="1DF971C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6.严格环境风险管控，切实筑牢环境安全防线：提升环境风险源防控能力，强化工业园区环境风险防控，提高固体废物和危险废物处置水平，强化危废、危化品监管水平，强化涉重金属行业污染防控。</w:t>
                  </w:r>
                </w:p>
              </w:tc>
              <w:tc>
                <w:tcPr>
                  <w:tcW w:w="1542" w:type="pct"/>
                  <w:vMerge w:val="continue"/>
                  <w:tcBorders>
                    <w:tl2br w:val="nil"/>
                    <w:tr2bl w:val="nil"/>
                  </w:tcBorders>
                  <w:noWrap w:val="0"/>
                  <w:vAlign w:val="center"/>
                </w:tcPr>
                <w:p w14:paraId="33D265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531" w:type="pct"/>
                  <w:tcBorders>
                    <w:tl2br w:val="nil"/>
                    <w:tr2bl w:val="nil"/>
                  </w:tcBorders>
                  <w:noWrap w:val="0"/>
                  <w:vAlign w:val="center"/>
                </w:tcPr>
                <w:p w14:paraId="37BF26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26BC2B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5" w:type="pct"/>
                  <w:tcBorders>
                    <w:tl2br w:val="nil"/>
                    <w:tr2bl w:val="nil"/>
                  </w:tcBorders>
                  <w:noWrap w:val="0"/>
                  <w:vAlign w:val="center"/>
                </w:tcPr>
                <w:p w14:paraId="5F14F80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7.着力改善城乡人居环境，提升城市颜值品质：全面实施绿色相城建设，开展生态文明载体建设，聚焦解决民生问题，深化噪声污染防治，推进餐饮油烟大整治，加快建设美丽乡村。</w:t>
                  </w:r>
                </w:p>
              </w:tc>
              <w:tc>
                <w:tcPr>
                  <w:tcW w:w="1542" w:type="pct"/>
                  <w:tcBorders>
                    <w:tl2br w:val="nil"/>
                    <w:tr2bl w:val="nil"/>
                  </w:tcBorders>
                  <w:noWrap w:val="0"/>
                  <w:vAlign w:val="center"/>
                </w:tcPr>
                <w:p w14:paraId="2BAA895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项目噪声源强较小，通过厂房隔声、设备减振等措施可有效降噪</w:t>
                  </w:r>
                  <w:r>
                    <w:rPr>
                      <w:rFonts w:hint="default" w:ascii="Times New Roman" w:hAnsi="Times New Roman" w:eastAsia="仿宋" w:cs="Times New Roman"/>
                      <w:color w:val="auto"/>
                      <w:sz w:val="21"/>
                      <w:szCs w:val="21"/>
                      <w:highlight w:val="none"/>
                      <w:lang w:eastAsia="zh-CN"/>
                    </w:rPr>
                    <w:t>。</w:t>
                  </w:r>
                </w:p>
              </w:tc>
              <w:tc>
                <w:tcPr>
                  <w:tcW w:w="531" w:type="pct"/>
                  <w:tcBorders>
                    <w:tl2br w:val="nil"/>
                    <w:tr2bl w:val="nil"/>
                  </w:tcBorders>
                  <w:noWrap w:val="0"/>
                  <w:vAlign w:val="center"/>
                </w:tcPr>
                <w:p w14:paraId="3F964B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7F7C56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5" w:type="pct"/>
                  <w:tcBorders>
                    <w:tl2br w:val="nil"/>
                    <w:tr2bl w:val="nil"/>
                  </w:tcBorders>
                  <w:noWrap w:val="0"/>
                  <w:vAlign w:val="center"/>
                </w:tcPr>
                <w:p w14:paraId="2938896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8.建立健全现代化治理体系，大幅提升治理能力：健全多方责任体系，健全生态环境治理政策体系，创新服务高质量发展市场模式，加强生态环境治理监管现代化建设，补齐环境基础设施短板，提升生态环境监测监控能力。</w:t>
                  </w:r>
                </w:p>
              </w:tc>
              <w:tc>
                <w:tcPr>
                  <w:tcW w:w="1542" w:type="pct"/>
                  <w:tcBorders>
                    <w:tl2br w:val="nil"/>
                    <w:tr2bl w:val="nil"/>
                  </w:tcBorders>
                  <w:noWrap w:val="0"/>
                  <w:vAlign w:val="center"/>
                </w:tcPr>
                <w:p w14:paraId="48C25AF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本项目周边基础设施齐全，可满足生产需要</w:t>
                  </w:r>
                  <w:r>
                    <w:rPr>
                      <w:rFonts w:hint="default" w:ascii="Times New Roman" w:hAnsi="Times New Roman" w:eastAsia="仿宋" w:cs="Times New Roman"/>
                      <w:color w:val="auto"/>
                      <w:sz w:val="21"/>
                      <w:szCs w:val="21"/>
                      <w:highlight w:val="none"/>
                      <w:lang w:eastAsia="zh-CN"/>
                    </w:rPr>
                    <w:t>。</w:t>
                  </w:r>
                </w:p>
              </w:tc>
              <w:tc>
                <w:tcPr>
                  <w:tcW w:w="531" w:type="pct"/>
                  <w:tcBorders>
                    <w:tl2br w:val="nil"/>
                    <w:tr2bl w:val="nil"/>
                  </w:tcBorders>
                  <w:noWrap w:val="0"/>
                  <w:vAlign w:val="center"/>
                </w:tcPr>
                <w:p w14:paraId="6EFF87A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bl>
          <w:p w14:paraId="10C1EB55">
            <w:pPr>
              <w:autoSpaceDE w:val="0"/>
              <w:autoSpaceDN w:val="0"/>
              <w:adjustRightInd w:val="0"/>
              <w:snapToGrid w:val="0"/>
              <w:spacing w:before="0" w:beforeLines="0" w:line="360" w:lineRule="auto"/>
              <w:ind w:firstLine="480" w:firstLineChars="200"/>
              <w:jc w:val="both"/>
              <w:rPr>
                <w:rFonts w:hint="eastAsia" w:ascii="Times New Roman" w:hAnsi="Times New Roman" w:eastAsia="宋体"/>
                <w:color w:val="auto"/>
                <w:sz w:val="24"/>
                <w:szCs w:val="24"/>
                <w:highlight w:val="none"/>
                <w:lang w:eastAsia="zh-CN"/>
              </w:rPr>
            </w:pPr>
            <w:r>
              <w:rPr>
                <w:rFonts w:ascii="Times New Roman" w:hAnsi="Times New Roman" w:eastAsia="宋体"/>
                <w:color w:val="auto"/>
                <w:sz w:val="24"/>
                <w:szCs w:val="24"/>
                <w:highlight w:val="none"/>
              </w:rPr>
              <w:t>综上</w:t>
            </w:r>
            <w:r>
              <w:rPr>
                <w:rFonts w:hint="eastAsia" w:ascii="Times New Roman" w:hAnsi="Times New Roman" w:eastAsia="宋体"/>
                <w:color w:val="auto"/>
                <w:sz w:val="24"/>
                <w:szCs w:val="24"/>
                <w:highlight w:val="none"/>
              </w:rPr>
              <w:t>所述</w:t>
            </w:r>
            <w:r>
              <w:rPr>
                <w:rFonts w:ascii="Times New Roman" w:hAnsi="Times New Roman" w:eastAsia="宋体"/>
                <w:color w:val="auto"/>
                <w:sz w:val="24"/>
                <w:szCs w:val="24"/>
                <w:highlight w:val="none"/>
              </w:rPr>
              <w:t>，本项目符合</w:t>
            </w:r>
            <w:r>
              <w:rPr>
                <w:rFonts w:hint="eastAsia" w:ascii="Times New Roman" w:hAnsi="Times New Roman" w:eastAsia="宋体"/>
                <w:color w:val="auto"/>
                <w:sz w:val="24"/>
                <w:szCs w:val="24"/>
                <w:highlight w:val="none"/>
                <w:lang w:val="en-US" w:eastAsia="zh-CN"/>
              </w:rPr>
              <w:t>《相城区</w:t>
            </w:r>
            <w:r>
              <w:rPr>
                <w:rFonts w:hint="eastAsia"/>
                <w:color w:val="auto"/>
                <w:sz w:val="24"/>
                <w:szCs w:val="24"/>
                <w:highlight w:val="none"/>
                <w:lang w:eastAsia="zh-CN"/>
              </w:rPr>
              <w:t>“</w:t>
            </w:r>
            <w:r>
              <w:rPr>
                <w:rFonts w:hint="eastAsia" w:ascii="Times New Roman" w:hAnsi="Times New Roman" w:eastAsia="宋体"/>
                <w:color w:val="auto"/>
                <w:sz w:val="24"/>
                <w:szCs w:val="24"/>
                <w:highlight w:val="none"/>
              </w:rPr>
              <w:t>十四五</w:t>
            </w:r>
            <w:r>
              <w:rPr>
                <w:rFonts w:hint="eastAsia"/>
                <w:color w:val="auto"/>
                <w:sz w:val="24"/>
                <w:szCs w:val="24"/>
                <w:highlight w:val="none"/>
                <w:lang w:eastAsia="zh-CN"/>
              </w:rPr>
              <w:t>”</w:t>
            </w:r>
            <w:r>
              <w:rPr>
                <w:rFonts w:hint="eastAsia" w:ascii="Times New Roman" w:hAnsi="Times New Roman" w:eastAsia="宋体"/>
                <w:color w:val="auto"/>
                <w:sz w:val="24"/>
                <w:szCs w:val="24"/>
                <w:highlight w:val="none"/>
              </w:rPr>
              <w:t>生态环境保护规划</w:t>
            </w:r>
            <w:r>
              <w:rPr>
                <w:rFonts w:hint="eastAsia" w:ascii="Times New Roman" w:hAnsi="Times New Roman" w:eastAsia="宋体"/>
                <w:color w:val="auto"/>
                <w:sz w:val="24"/>
                <w:szCs w:val="24"/>
                <w:highlight w:val="none"/>
                <w:lang w:val="en-US" w:eastAsia="zh-CN"/>
              </w:rPr>
              <w:t>》</w:t>
            </w:r>
            <w:r>
              <w:rPr>
                <w:rFonts w:ascii="Times New Roman" w:hAnsi="Times New Roman" w:eastAsia="宋体"/>
                <w:color w:val="auto"/>
                <w:sz w:val="24"/>
                <w:szCs w:val="24"/>
                <w:highlight w:val="none"/>
              </w:rPr>
              <w:t>的相关要求</w:t>
            </w:r>
            <w:r>
              <w:rPr>
                <w:rFonts w:hint="eastAsia" w:ascii="Times New Roman" w:hAnsi="Times New Roman" w:eastAsia="宋体"/>
                <w:color w:val="auto"/>
                <w:sz w:val="24"/>
                <w:szCs w:val="24"/>
                <w:highlight w:val="none"/>
                <w:lang w:eastAsia="zh-CN"/>
              </w:rPr>
              <w:t>。</w:t>
            </w:r>
          </w:p>
          <w:p w14:paraId="29BFB1FB">
            <w:pPr>
              <w:pStyle w:val="28"/>
              <w:spacing w:line="360" w:lineRule="auto"/>
              <w:jc w:val="both"/>
              <w:rPr>
                <w:rFonts w:hint="eastAsia"/>
                <w:color w:val="auto"/>
                <w:highlight w:val="none"/>
              </w:rPr>
            </w:pPr>
            <w:r>
              <w:rPr>
                <w:rFonts w:hint="eastAsia" w:ascii="Times New Roman" w:cs="Times New Roman"/>
                <w:b/>
                <w:bCs/>
                <w:color w:val="auto"/>
                <w:kern w:val="2"/>
                <w:highlight w:val="none"/>
                <w:lang w:val="en-US" w:eastAsia="zh-CN"/>
              </w:rPr>
              <w:t>11、</w:t>
            </w:r>
            <w:r>
              <w:rPr>
                <w:rFonts w:hint="eastAsia" w:ascii="Times New Roman" w:cs="Times New Roman"/>
                <w:b/>
                <w:bCs/>
                <w:color w:val="auto"/>
                <w:kern w:val="2"/>
                <w:highlight w:val="none"/>
              </w:rPr>
              <w:t>与《江苏省挥发性有机物清洁原料替代工作方案》（苏大气办〔2021〕2号）相符性分析</w:t>
            </w:r>
          </w:p>
          <w:p w14:paraId="3EFEA8C0">
            <w:pPr>
              <w:widowControl/>
              <w:numPr>
                <w:ilvl w:val="0"/>
                <w:numId w:val="3"/>
              </w:numPr>
              <w:ind w:left="210" w:leftChars="0" w:firstLine="0" w:firstLineChars="0"/>
              <w:jc w:val="center"/>
              <w:rPr>
                <w:rFonts w:hint="default" w:ascii="Times New Roman" w:hAnsi="Times New Roman" w:eastAsia="宋体" w:cs="Times New Roman"/>
                <w:b/>
                <w:color w:val="auto"/>
                <w:kern w:val="0"/>
                <w:sz w:val="24"/>
                <w:szCs w:val="24"/>
                <w:highlight w:val="none"/>
                <w:lang w:val="en-US" w:eastAsia="zh-CN"/>
              </w:rPr>
            </w:pPr>
            <w:r>
              <w:rPr>
                <w:rFonts w:hint="default" w:ascii="Times New Roman" w:hAnsi="Times New Roman" w:eastAsia="宋体" w:cs="Times New Roman"/>
                <w:b/>
                <w:color w:val="auto"/>
                <w:kern w:val="0"/>
                <w:sz w:val="24"/>
                <w:szCs w:val="24"/>
                <w:highlight w:val="none"/>
                <w:lang w:val="en-US" w:eastAsia="zh-CN"/>
              </w:rPr>
              <w:t>与苏大气办〔2021〕2号相符性分析</w:t>
            </w:r>
          </w:p>
          <w:tbl>
            <w:tblPr>
              <w:tblStyle w:val="23"/>
              <w:tblW w:w="4997"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4757"/>
              <w:gridCol w:w="2536"/>
              <w:gridCol w:w="977"/>
            </w:tblGrid>
            <w:tr w14:paraId="76148A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2" w:type="pct"/>
                  <w:tcBorders>
                    <w:tl2br w:val="nil"/>
                    <w:tr2bl w:val="nil"/>
                  </w:tcBorders>
                  <w:noWrap w:val="0"/>
                  <w:vAlign w:val="center"/>
                </w:tcPr>
                <w:p w14:paraId="73C78A53">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序号</w:t>
                  </w:r>
                </w:p>
              </w:tc>
              <w:tc>
                <w:tcPr>
                  <w:tcW w:w="2615" w:type="pct"/>
                  <w:tcBorders>
                    <w:tl2br w:val="nil"/>
                    <w:tr2bl w:val="nil"/>
                  </w:tcBorders>
                  <w:noWrap w:val="0"/>
                  <w:vAlign w:val="center"/>
                </w:tcPr>
                <w:p w14:paraId="1F893B75">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lang w:val="en-US" w:eastAsia="zh-CN"/>
                    </w:rPr>
                    <w:t>文件</w:t>
                  </w:r>
                  <w:r>
                    <w:rPr>
                      <w:rFonts w:hint="default" w:ascii="Times New Roman" w:hAnsi="Times New Roman" w:eastAsia="仿宋" w:cs="Times New Roman"/>
                      <w:b/>
                      <w:bCs/>
                      <w:color w:val="auto"/>
                      <w:sz w:val="21"/>
                      <w:szCs w:val="21"/>
                      <w:highlight w:val="none"/>
                    </w:rPr>
                    <w:t>要求</w:t>
                  </w:r>
                </w:p>
              </w:tc>
              <w:tc>
                <w:tcPr>
                  <w:tcW w:w="1394" w:type="pct"/>
                  <w:tcBorders>
                    <w:tl2br w:val="nil"/>
                    <w:tr2bl w:val="nil"/>
                  </w:tcBorders>
                  <w:noWrap w:val="0"/>
                  <w:vAlign w:val="center"/>
                </w:tcPr>
                <w:p w14:paraId="6B13E02F">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本项目情况</w:t>
                  </w:r>
                </w:p>
              </w:tc>
              <w:tc>
                <w:tcPr>
                  <w:tcW w:w="537" w:type="pct"/>
                  <w:tcBorders>
                    <w:tl2br w:val="nil"/>
                    <w:tr2bl w:val="nil"/>
                  </w:tcBorders>
                  <w:noWrap w:val="0"/>
                  <w:vAlign w:val="center"/>
                </w:tcPr>
                <w:p w14:paraId="02512BC2">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相符性</w:t>
                  </w:r>
                </w:p>
              </w:tc>
            </w:tr>
            <w:tr w14:paraId="47DA3C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2" w:type="pct"/>
                  <w:tcBorders>
                    <w:tl2br w:val="nil"/>
                    <w:tr2bl w:val="nil"/>
                  </w:tcBorders>
                  <w:noWrap w:val="0"/>
                  <w:vAlign w:val="center"/>
                </w:tcPr>
                <w:p w14:paraId="21930A4F">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w:t>
                  </w:r>
                </w:p>
              </w:tc>
              <w:tc>
                <w:tcPr>
                  <w:tcW w:w="2615" w:type="pct"/>
                  <w:tcBorders>
                    <w:tl2br w:val="nil"/>
                    <w:tr2bl w:val="nil"/>
                  </w:tcBorders>
                  <w:noWrap w:val="0"/>
                  <w:vAlign w:val="center"/>
                </w:tcPr>
                <w:p w14:paraId="63DF9AD1">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明确替代要求。以工业涂装、包装印刷、木材加工、纺织等行业为重点，分阶段推进3130家企业清洁原料替代工作</w:t>
                  </w:r>
                  <w:r>
                    <w:rPr>
                      <w:rFonts w:hint="default" w:ascii="Times New Roman" w:hAnsi="Times New Roman" w:eastAsia="仿宋" w:cs="Times New Roman"/>
                      <w:color w:val="auto"/>
                      <w:sz w:val="21"/>
                      <w:szCs w:val="21"/>
                      <w:highlight w:val="none"/>
                      <w:lang w:eastAsia="zh-CN"/>
                    </w:rPr>
                    <w:t>。</w:t>
                  </w:r>
                </w:p>
              </w:tc>
              <w:tc>
                <w:tcPr>
                  <w:tcW w:w="1394" w:type="pct"/>
                  <w:tcBorders>
                    <w:tl2br w:val="nil"/>
                    <w:tr2bl w:val="nil"/>
                  </w:tcBorders>
                  <w:noWrap w:val="0"/>
                  <w:vAlign w:val="center"/>
                </w:tcPr>
                <w:p w14:paraId="0A0EC4C3">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w:t>
                  </w:r>
                  <w:r>
                    <w:rPr>
                      <w:rFonts w:hint="default" w:ascii="Times New Roman" w:hAnsi="Times New Roman" w:eastAsia="仿宋" w:cs="Times New Roman"/>
                      <w:color w:val="auto"/>
                      <w:sz w:val="21"/>
                      <w:szCs w:val="21"/>
                      <w:highlight w:val="none"/>
                      <w:lang w:val="en-US" w:eastAsia="zh-CN"/>
                    </w:rPr>
                    <w:t>企业</w:t>
                  </w:r>
                  <w:r>
                    <w:rPr>
                      <w:rFonts w:hint="default" w:ascii="Times New Roman" w:hAnsi="Times New Roman" w:eastAsia="仿宋" w:cs="Times New Roman"/>
                      <w:color w:val="auto"/>
                      <w:sz w:val="21"/>
                      <w:szCs w:val="21"/>
                      <w:highlight w:val="none"/>
                    </w:rPr>
                    <w:t>不在分阶段推进清洁原料替代工作的3130家企业名单内</w:t>
                  </w:r>
                  <w:r>
                    <w:rPr>
                      <w:rFonts w:hint="default" w:ascii="Times New Roman" w:hAnsi="Times New Roman" w:eastAsia="仿宋" w:cs="Times New Roman"/>
                      <w:color w:val="auto"/>
                      <w:sz w:val="21"/>
                      <w:szCs w:val="21"/>
                      <w:highlight w:val="none"/>
                      <w:lang w:eastAsia="zh-CN"/>
                    </w:rPr>
                    <w:t>。</w:t>
                  </w:r>
                </w:p>
              </w:tc>
              <w:tc>
                <w:tcPr>
                  <w:tcW w:w="537" w:type="pct"/>
                  <w:tcBorders>
                    <w:tl2br w:val="nil"/>
                    <w:tr2bl w:val="nil"/>
                  </w:tcBorders>
                  <w:noWrap w:val="0"/>
                  <w:vAlign w:val="center"/>
                </w:tcPr>
                <w:p w14:paraId="6D2CFF58">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4D553F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2" w:type="pct"/>
                  <w:tcBorders>
                    <w:tl2br w:val="nil"/>
                    <w:tr2bl w:val="nil"/>
                  </w:tcBorders>
                  <w:noWrap w:val="0"/>
                  <w:vAlign w:val="center"/>
                </w:tcPr>
                <w:p w14:paraId="5C33E7A0">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p>
              </w:tc>
              <w:tc>
                <w:tcPr>
                  <w:tcW w:w="2615" w:type="pct"/>
                  <w:tcBorders>
                    <w:tl2br w:val="nil"/>
                    <w:tr2bl w:val="nil"/>
                  </w:tcBorders>
                  <w:noWrap w:val="0"/>
                  <w:vAlign w:val="center"/>
                </w:tcPr>
                <w:p w14:paraId="5E0A51A1">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严格准入条件。禁止建设生产和使用高VOCs含量的涂料、油墨、胶黏剂等项目。2021年起，全省工业涂装、包装印刷、纺织、木材加工等行业以及涂料、油墨等生产企业的新（改、扩）建设项目需满足低（无）VOCs含量限值要求</w:t>
                  </w:r>
                </w:p>
              </w:tc>
              <w:tc>
                <w:tcPr>
                  <w:tcW w:w="1394" w:type="pct"/>
                  <w:tcBorders>
                    <w:tl2br w:val="nil"/>
                    <w:tr2bl w:val="nil"/>
                  </w:tcBorders>
                  <w:noWrap w:val="0"/>
                  <w:vAlign w:val="center"/>
                </w:tcPr>
                <w:p w14:paraId="3074ADF0">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本项目不使用高VOCs含量的涂料、油墨、胶黏剂等</w:t>
                  </w:r>
                  <w:r>
                    <w:rPr>
                      <w:rFonts w:hint="eastAsia" w:cs="Times New Roman"/>
                      <w:color w:val="auto"/>
                      <w:sz w:val="21"/>
                      <w:szCs w:val="21"/>
                      <w:highlight w:val="none"/>
                      <w:lang w:eastAsia="zh-CN"/>
                    </w:rPr>
                    <w:t>。</w:t>
                  </w:r>
                </w:p>
              </w:tc>
              <w:tc>
                <w:tcPr>
                  <w:tcW w:w="537" w:type="pct"/>
                  <w:tcBorders>
                    <w:tl2br w:val="nil"/>
                    <w:tr2bl w:val="nil"/>
                  </w:tcBorders>
                  <w:noWrap w:val="0"/>
                  <w:vAlign w:val="center"/>
                </w:tcPr>
                <w:p w14:paraId="7CBE8EBA">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33B12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2" w:type="pct"/>
                  <w:tcBorders>
                    <w:tl2br w:val="nil"/>
                    <w:tr2bl w:val="nil"/>
                  </w:tcBorders>
                  <w:noWrap w:val="0"/>
                  <w:vAlign w:val="center"/>
                </w:tcPr>
                <w:p w14:paraId="37534E8C">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2615" w:type="pct"/>
                  <w:tcBorders>
                    <w:tl2br w:val="nil"/>
                    <w:tr2bl w:val="nil"/>
                  </w:tcBorders>
                  <w:noWrap w:val="0"/>
                  <w:vAlign w:val="center"/>
                </w:tcPr>
                <w:p w14:paraId="39A62A6B">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强化排查整治。各地在推动3130家企业实施源头替代的基础上，举一反三，对工业涂装、包装印刷、木材加工、纺织等涉VOCs重点行业进行再排查、再梳理；加强现场监管，确保VOCs无组织排放得到有效控制，废气排气口达到国家及地方VOCs排放控制标准要求</w:t>
                  </w:r>
                  <w:r>
                    <w:rPr>
                      <w:rFonts w:hint="default" w:ascii="Times New Roman" w:hAnsi="Times New Roman" w:eastAsia="仿宋" w:cs="Times New Roman"/>
                      <w:color w:val="auto"/>
                      <w:sz w:val="21"/>
                      <w:szCs w:val="21"/>
                      <w:highlight w:val="none"/>
                      <w:lang w:eastAsia="zh-CN"/>
                    </w:rPr>
                    <w:t>。</w:t>
                  </w:r>
                </w:p>
              </w:tc>
              <w:tc>
                <w:tcPr>
                  <w:tcW w:w="1394" w:type="pct"/>
                  <w:tcBorders>
                    <w:tl2br w:val="nil"/>
                    <w:tr2bl w:val="nil"/>
                  </w:tcBorders>
                  <w:noWrap w:val="0"/>
                  <w:vAlign w:val="center"/>
                </w:tcPr>
                <w:p w14:paraId="46E34315">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本项目不在源头替代企业清单内，项目建成后，企业将设立主要原料台账</w:t>
                  </w:r>
                  <w:r>
                    <w:rPr>
                      <w:rFonts w:hint="default" w:ascii="Times New Roman" w:hAnsi="Times New Roman" w:eastAsia="仿宋" w:cs="Times New Roman"/>
                      <w:color w:val="auto"/>
                      <w:sz w:val="21"/>
                      <w:szCs w:val="21"/>
                      <w:highlight w:val="none"/>
                      <w:lang w:eastAsia="zh-CN"/>
                    </w:rPr>
                    <w:t>。</w:t>
                  </w:r>
                </w:p>
              </w:tc>
              <w:tc>
                <w:tcPr>
                  <w:tcW w:w="537" w:type="pct"/>
                  <w:tcBorders>
                    <w:tl2br w:val="nil"/>
                    <w:tr2bl w:val="nil"/>
                  </w:tcBorders>
                  <w:noWrap w:val="0"/>
                  <w:vAlign w:val="center"/>
                </w:tcPr>
                <w:p w14:paraId="592AFB49">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bl>
          <w:p w14:paraId="64A015AB">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因此，</w:t>
            </w:r>
            <w:r>
              <w:rPr>
                <w:rFonts w:hint="default" w:ascii="Times New Roman" w:hAnsi="Times New Roman" w:eastAsia="宋体" w:cs="Times New Roman"/>
                <w:color w:val="auto"/>
                <w:sz w:val="24"/>
                <w:highlight w:val="none"/>
              </w:rPr>
              <w:t>本项目与</w:t>
            </w:r>
            <w:r>
              <w:rPr>
                <w:rFonts w:hint="default" w:ascii="Times New Roman" w:hAnsi="Times New Roman" w:eastAsia="宋体" w:cs="Times New Roman"/>
                <w:color w:val="auto"/>
                <w:sz w:val="24"/>
                <w:highlight w:val="none"/>
                <w:lang w:val="en-US" w:eastAsia="zh-CN"/>
              </w:rPr>
              <w:t>《关于印发〈江苏省挥发性有机物清洁原料替代工作方案〉的通知》有关规定</w:t>
            </w:r>
            <w:r>
              <w:rPr>
                <w:rFonts w:hint="default" w:ascii="Times New Roman" w:hAnsi="Times New Roman" w:eastAsia="宋体" w:cs="Times New Roman"/>
                <w:color w:val="auto"/>
                <w:sz w:val="24"/>
                <w:highlight w:val="none"/>
              </w:rPr>
              <w:t>相符。</w:t>
            </w:r>
          </w:p>
          <w:p w14:paraId="52ED30A4">
            <w:pPr>
              <w:widowControl/>
              <w:numPr>
                <w:ilvl w:val="0"/>
                <w:numId w:val="0"/>
              </w:numPr>
              <w:snapToGrid/>
              <w:spacing w:line="360" w:lineRule="auto"/>
              <w:jc w:val="left"/>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1</w:t>
            </w:r>
            <w:r>
              <w:rPr>
                <w:rFonts w:hint="eastAsia" w:cs="Times New Roman"/>
                <w:b/>
                <w:bCs/>
                <w:color w:val="auto"/>
                <w:sz w:val="24"/>
                <w:szCs w:val="24"/>
                <w:highlight w:val="none"/>
                <w:lang w:val="en-US" w:eastAsia="zh-CN"/>
              </w:rPr>
              <w:t>2</w:t>
            </w:r>
            <w:r>
              <w:rPr>
                <w:rFonts w:hint="eastAsia" w:ascii="Times New Roman" w:hAnsi="Times New Roman"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与挥发性有机物相关文件的相符性分析</w:t>
            </w:r>
          </w:p>
          <w:p w14:paraId="259E8101">
            <w:pPr>
              <w:widowControl/>
              <w:numPr>
                <w:ilvl w:val="0"/>
                <w:numId w:val="3"/>
              </w:numPr>
              <w:ind w:left="210" w:leftChars="0" w:firstLine="0" w:firstLineChars="0"/>
              <w:jc w:val="center"/>
              <w:rPr>
                <w:rFonts w:hint="default" w:ascii="Times New Roman" w:hAnsi="Times New Roman" w:eastAsia="宋体" w:cs="Times New Roman"/>
                <w:b/>
                <w:color w:val="auto"/>
                <w:kern w:val="0"/>
                <w:sz w:val="24"/>
                <w:szCs w:val="24"/>
                <w:highlight w:val="none"/>
                <w:lang w:val="en-US" w:eastAsia="zh-CN"/>
              </w:rPr>
            </w:pPr>
            <w:r>
              <w:rPr>
                <w:rFonts w:hint="default" w:ascii="Times New Roman" w:hAnsi="Times New Roman" w:eastAsia="宋体" w:cs="Times New Roman"/>
                <w:b/>
                <w:color w:val="auto"/>
                <w:kern w:val="0"/>
                <w:sz w:val="24"/>
                <w:szCs w:val="24"/>
                <w:highlight w:val="none"/>
                <w:lang w:val="en-US" w:eastAsia="zh-CN"/>
              </w:rPr>
              <w:t>与《挥发性有机物无组织排放控制标准》相符性分析</w:t>
            </w:r>
          </w:p>
          <w:tbl>
            <w:tblPr>
              <w:tblStyle w:val="23"/>
              <w:tblW w:w="4997"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1377"/>
              <w:gridCol w:w="3342"/>
              <w:gridCol w:w="2636"/>
              <w:gridCol w:w="902"/>
            </w:tblGrid>
            <w:tr w14:paraId="5FB542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tcBorders>
                    <w:tl2br w:val="nil"/>
                    <w:tr2bl w:val="nil"/>
                  </w:tcBorders>
                  <w:noWrap w:val="0"/>
                  <w:vAlign w:val="center"/>
                </w:tcPr>
                <w:p w14:paraId="6D03DE77">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序号</w:t>
                  </w:r>
                </w:p>
              </w:tc>
              <w:tc>
                <w:tcPr>
                  <w:tcW w:w="757" w:type="pct"/>
                  <w:tcBorders>
                    <w:tl2br w:val="nil"/>
                    <w:tr2bl w:val="nil"/>
                  </w:tcBorders>
                  <w:noWrap w:val="0"/>
                  <w:vAlign w:val="center"/>
                </w:tcPr>
                <w:p w14:paraId="68CA22BB">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类别</w:t>
                  </w:r>
                </w:p>
              </w:tc>
              <w:tc>
                <w:tcPr>
                  <w:tcW w:w="1837" w:type="pct"/>
                  <w:tcBorders>
                    <w:tl2br w:val="nil"/>
                    <w:tr2bl w:val="nil"/>
                  </w:tcBorders>
                  <w:noWrap w:val="0"/>
                  <w:vAlign w:val="center"/>
                </w:tcPr>
                <w:p w14:paraId="616E73BF">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要求</w:t>
                  </w:r>
                </w:p>
              </w:tc>
              <w:tc>
                <w:tcPr>
                  <w:tcW w:w="1449" w:type="pct"/>
                  <w:tcBorders>
                    <w:tl2br w:val="nil"/>
                    <w:tr2bl w:val="nil"/>
                  </w:tcBorders>
                  <w:noWrap w:val="0"/>
                  <w:vAlign w:val="center"/>
                </w:tcPr>
                <w:p w14:paraId="63914C10">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项目情况</w:t>
                  </w:r>
                </w:p>
              </w:tc>
              <w:tc>
                <w:tcPr>
                  <w:tcW w:w="496" w:type="pct"/>
                  <w:tcBorders>
                    <w:tl2br w:val="nil"/>
                    <w:tr2bl w:val="nil"/>
                  </w:tcBorders>
                  <w:noWrap w:val="0"/>
                  <w:vAlign w:val="center"/>
                </w:tcPr>
                <w:p w14:paraId="58B99687">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相符性</w:t>
                  </w:r>
                </w:p>
              </w:tc>
            </w:tr>
            <w:tr w14:paraId="31C74D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tcBorders>
                    <w:tl2br w:val="nil"/>
                    <w:tr2bl w:val="nil"/>
                  </w:tcBorders>
                  <w:noWrap w:val="0"/>
                  <w:vAlign w:val="center"/>
                </w:tcPr>
                <w:p w14:paraId="75FE73D3">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p>
              </w:tc>
              <w:tc>
                <w:tcPr>
                  <w:tcW w:w="757" w:type="pct"/>
                  <w:tcBorders>
                    <w:tl2br w:val="nil"/>
                    <w:tr2bl w:val="nil"/>
                  </w:tcBorders>
                  <w:noWrap w:val="0"/>
                  <w:vAlign w:val="center"/>
                </w:tcPr>
                <w:p w14:paraId="0E4840AF">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物料储存无组织排放控制要求</w:t>
                  </w:r>
                </w:p>
              </w:tc>
              <w:tc>
                <w:tcPr>
                  <w:tcW w:w="1837" w:type="pct"/>
                  <w:tcBorders>
                    <w:tl2br w:val="nil"/>
                    <w:tr2bl w:val="nil"/>
                  </w:tcBorders>
                  <w:noWrap w:val="0"/>
                  <w:vAlign w:val="center"/>
                </w:tcPr>
                <w:p w14:paraId="193ED49E">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物料应储存于密闭的容器、包装袋、储罐、料仓中；盛装VOC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物料的容器或包装袋应存放于室内，或存放于设置有雨棚、遮阳和防渗设施的专用场地。盛装VOC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物料的容器或包装袋在非取用状态时应加盖、封口，保持密闭</w:t>
                  </w:r>
                  <w:r>
                    <w:rPr>
                      <w:rFonts w:hint="default" w:ascii="Times New Roman" w:hAnsi="Times New Roman" w:eastAsia="仿宋" w:cs="Times New Roman"/>
                      <w:color w:val="auto"/>
                      <w:sz w:val="21"/>
                      <w:szCs w:val="21"/>
                      <w:highlight w:val="none"/>
                      <w:lang w:eastAsia="zh-CN"/>
                    </w:rPr>
                    <w:t>。</w:t>
                  </w:r>
                </w:p>
              </w:tc>
              <w:tc>
                <w:tcPr>
                  <w:tcW w:w="1449" w:type="pct"/>
                  <w:tcBorders>
                    <w:tl2br w:val="nil"/>
                    <w:tr2bl w:val="nil"/>
                  </w:tcBorders>
                  <w:noWrap w:val="0"/>
                  <w:vAlign w:val="center"/>
                </w:tcPr>
                <w:p w14:paraId="5658ADCC">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本项目使用的原辅料化学品均贮存于相应密封的包装中，置于原料仓库，在非取用状态时，化学品均加盖、封口，保持密闭</w:t>
                  </w:r>
                  <w:r>
                    <w:rPr>
                      <w:rFonts w:hint="default" w:ascii="Times New Roman" w:hAnsi="Times New Roman" w:eastAsia="仿宋" w:cs="Times New Roman"/>
                      <w:color w:val="auto"/>
                      <w:sz w:val="21"/>
                      <w:szCs w:val="21"/>
                      <w:highlight w:val="none"/>
                      <w:lang w:eastAsia="zh-CN"/>
                    </w:rPr>
                    <w:t>。</w:t>
                  </w:r>
                </w:p>
              </w:tc>
              <w:tc>
                <w:tcPr>
                  <w:tcW w:w="496" w:type="pct"/>
                  <w:tcBorders>
                    <w:tl2br w:val="nil"/>
                    <w:tr2bl w:val="nil"/>
                  </w:tcBorders>
                  <w:noWrap w:val="0"/>
                  <w:vAlign w:val="center"/>
                </w:tcPr>
                <w:p w14:paraId="02F69A2C">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1E9AAF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tcBorders>
                    <w:tl2br w:val="nil"/>
                    <w:tr2bl w:val="nil"/>
                  </w:tcBorders>
                  <w:noWrap w:val="0"/>
                  <w:vAlign w:val="center"/>
                </w:tcPr>
                <w:p w14:paraId="7D732DEC">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p>
              </w:tc>
              <w:tc>
                <w:tcPr>
                  <w:tcW w:w="757" w:type="pct"/>
                  <w:tcBorders>
                    <w:tl2br w:val="nil"/>
                    <w:tr2bl w:val="nil"/>
                  </w:tcBorders>
                  <w:noWrap w:val="0"/>
                  <w:vAlign w:val="center"/>
                </w:tcPr>
                <w:p w14:paraId="647A3E7D">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物料转移和输送无组织排放控制</w:t>
                  </w:r>
                  <w:r>
                    <w:rPr>
                      <w:rFonts w:hint="default" w:ascii="Times New Roman" w:hAnsi="Times New Roman" w:eastAsia="仿宋" w:cs="Times New Roman"/>
                      <w:color w:val="auto"/>
                      <w:sz w:val="21"/>
                      <w:szCs w:val="21"/>
                      <w:highlight w:val="none"/>
                      <w:lang w:val="en-US" w:eastAsia="zh-CN"/>
                    </w:rPr>
                    <w:t>要求</w:t>
                  </w:r>
                </w:p>
              </w:tc>
              <w:tc>
                <w:tcPr>
                  <w:tcW w:w="1837" w:type="pct"/>
                  <w:tcBorders>
                    <w:tl2br w:val="nil"/>
                    <w:tr2bl w:val="nil"/>
                  </w:tcBorders>
                  <w:noWrap w:val="0"/>
                  <w:vAlign w:val="center"/>
                </w:tcPr>
                <w:p w14:paraId="4834D58B">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液态VOC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物料应采用密闭管道输送。采用非管道输送方式转移液态VOC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物料时，应采用密闭容器、罐车。粉状、粒状VOC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物料应采用气力输送设备、管状带式输送机、螺旋输送机等密闭输送方式，或者采用密闭的包装袋、容器或罐车进行物料转移</w:t>
                  </w:r>
                  <w:r>
                    <w:rPr>
                      <w:rFonts w:hint="default" w:ascii="Times New Roman" w:hAnsi="Times New Roman" w:eastAsia="仿宋" w:cs="Times New Roman"/>
                      <w:color w:val="auto"/>
                      <w:sz w:val="21"/>
                      <w:szCs w:val="21"/>
                      <w:highlight w:val="none"/>
                      <w:lang w:eastAsia="zh-CN"/>
                    </w:rPr>
                    <w:t>。</w:t>
                  </w:r>
                </w:p>
              </w:tc>
              <w:tc>
                <w:tcPr>
                  <w:tcW w:w="1449" w:type="pct"/>
                  <w:tcBorders>
                    <w:tl2br w:val="nil"/>
                    <w:tr2bl w:val="nil"/>
                  </w:tcBorders>
                  <w:noWrap w:val="0"/>
                  <w:vAlign w:val="center"/>
                </w:tcPr>
                <w:p w14:paraId="4CE91286">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本项目物料均采用密闭容器输送，不涉及液态VOC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物料的管道运输</w:t>
                  </w:r>
                  <w:r>
                    <w:rPr>
                      <w:rFonts w:hint="default" w:ascii="Times New Roman" w:hAnsi="Times New Roman" w:eastAsia="仿宋" w:cs="Times New Roman"/>
                      <w:color w:val="auto"/>
                      <w:sz w:val="21"/>
                      <w:szCs w:val="21"/>
                      <w:highlight w:val="none"/>
                      <w:lang w:eastAsia="zh-CN"/>
                    </w:rPr>
                    <w:t>。</w:t>
                  </w:r>
                </w:p>
              </w:tc>
              <w:tc>
                <w:tcPr>
                  <w:tcW w:w="496" w:type="pct"/>
                  <w:tcBorders>
                    <w:tl2br w:val="nil"/>
                    <w:tr2bl w:val="nil"/>
                  </w:tcBorders>
                  <w:noWrap w:val="0"/>
                  <w:vAlign w:val="center"/>
                </w:tcPr>
                <w:p w14:paraId="70717E8E">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71566E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tcBorders>
                    <w:tl2br w:val="nil"/>
                    <w:tr2bl w:val="nil"/>
                  </w:tcBorders>
                  <w:noWrap w:val="0"/>
                  <w:vAlign w:val="center"/>
                </w:tcPr>
                <w:p w14:paraId="765F8A1C">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w:t>
                  </w:r>
                </w:p>
              </w:tc>
              <w:tc>
                <w:tcPr>
                  <w:tcW w:w="757" w:type="pct"/>
                  <w:tcBorders>
                    <w:tl2br w:val="nil"/>
                    <w:tr2bl w:val="nil"/>
                  </w:tcBorders>
                  <w:noWrap w:val="0"/>
                  <w:vAlign w:val="center"/>
                </w:tcPr>
                <w:p w14:paraId="73541D2E">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工艺过程VOC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无组织排放控制要求</w:t>
                  </w:r>
                </w:p>
              </w:tc>
              <w:tc>
                <w:tcPr>
                  <w:tcW w:w="1837" w:type="pct"/>
                  <w:tcBorders>
                    <w:tl2br w:val="nil"/>
                    <w:tr2bl w:val="nil"/>
                  </w:tcBorders>
                  <w:noWrap w:val="0"/>
                  <w:vAlign w:val="center"/>
                </w:tcPr>
                <w:p w14:paraId="4D60C48A">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质量占比≥10%的含VOCs产品，其使用过程应采用密闭设备或在密闭空间内操作，废气应排至VOC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废气收集处理系统；无法密闭的，应采取局部气体收集措施。</w:t>
                  </w:r>
                </w:p>
              </w:tc>
              <w:tc>
                <w:tcPr>
                  <w:tcW w:w="1449" w:type="pct"/>
                  <w:tcBorders>
                    <w:tl2br w:val="nil"/>
                    <w:tr2bl w:val="nil"/>
                  </w:tcBorders>
                  <w:noWrap w:val="0"/>
                  <w:vAlign w:val="center"/>
                </w:tcPr>
                <w:p w14:paraId="379D3122">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w:t>
                  </w:r>
                  <w:r>
                    <w:rPr>
                      <w:rFonts w:hint="eastAsia" w:eastAsia="仿宋" w:cs="Times New Roman"/>
                      <w:color w:val="auto"/>
                      <w:sz w:val="21"/>
                      <w:szCs w:val="21"/>
                      <w:highlight w:val="none"/>
                      <w:lang w:val="en-US" w:eastAsia="zh-CN"/>
                    </w:rPr>
                    <w:t>机加工</w:t>
                  </w:r>
                  <w:r>
                    <w:rPr>
                      <w:rFonts w:hint="default" w:ascii="Times New Roman" w:hAnsi="Times New Roman" w:eastAsia="仿宋" w:cs="Times New Roman"/>
                      <w:color w:val="auto"/>
                      <w:sz w:val="21"/>
                      <w:szCs w:val="21"/>
                      <w:highlight w:val="none"/>
                    </w:rPr>
                    <w:t>过程中产生的</w:t>
                  </w:r>
                  <w:r>
                    <w:rPr>
                      <w:rFonts w:hint="default" w:ascii="Times New Roman" w:hAnsi="Times New Roman" w:eastAsia="仿宋" w:cs="Times New Roman"/>
                      <w:color w:val="auto"/>
                      <w:sz w:val="21"/>
                      <w:szCs w:val="21"/>
                      <w:highlight w:val="none"/>
                      <w:lang w:val="en-US" w:eastAsia="zh-CN"/>
                    </w:rPr>
                    <w:t>油雾</w:t>
                  </w:r>
                  <w:r>
                    <w:rPr>
                      <w:rFonts w:hint="default" w:ascii="Times New Roman" w:hAnsi="Times New Roman" w:eastAsia="仿宋" w:cs="Times New Roman"/>
                      <w:color w:val="auto"/>
                      <w:sz w:val="21"/>
                      <w:szCs w:val="21"/>
                      <w:highlight w:val="none"/>
                    </w:rPr>
                    <w:t>经</w:t>
                  </w:r>
                  <w:r>
                    <w:rPr>
                      <w:rFonts w:hint="default" w:ascii="Times New Roman" w:hAnsi="Times New Roman" w:eastAsia="仿宋" w:cs="Times New Roman"/>
                      <w:color w:val="auto"/>
                      <w:sz w:val="21"/>
                      <w:szCs w:val="21"/>
                      <w:highlight w:val="none"/>
                      <w:lang w:val="en-US" w:eastAsia="zh-CN"/>
                    </w:rPr>
                    <w:t>油雾净化器</w:t>
                  </w:r>
                  <w:r>
                    <w:rPr>
                      <w:rFonts w:hint="default" w:ascii="Times New Roman" w:hAnsi="Times New Roman" w:eastAsia="仿宋" w:cs="Times New Roman"/>
                      <w:color w:val="auto"/>
                      <w:sz w:val="21"/>
                      <w:szCs w:val="21"/>
                      <w:highlight w:val="none"/>
                    </w:rPr>
                    <w:t>处理后</w:t>
                  </w:r>
                  <w:r>
                    <w:rPr>
                      <w:rFonts w:hint="eastAsia" w:eastAsia="仿宋" w:cs="Times New Roman"/>
                      <w:color w:val="auto"/>
                      <w:sz w:val="21"/>
                      <w:szCs w:val="21"/>
                      <w:highlight w:val="none"/>
                      <w:lang w:val="en-US" w:eastAsia="zh-CN"/>
                    </w:rPr>
                    <w:t>在车间无组织排放</w:t>
                  </w:r>
                  <w:r>
                    <w:rPr>
                      <w:rFonts w:hint="default" w:ascii="Times New Roman" w:hAnsi="Times New Roman" w:eastAsia="仿宋" w:cs="Times New Roman"/>
                      <w:color w:val="auto"/>
                      <w:sz w:val="21"/>
                      <w:szCs w:val="21"/>
                      <w:highlight w:val="none"/>
                      <w:lang w:eastAsia="zh-CN"/>
                    </w:rPr>
                    <w:t>。</w:t>
                  </w:r>
                </w:p>
              </w:tc>
              <w:tc>
                <w:tcPr>
                  <w:tcW w:w="496" w:type="pct"/>
                  <w:tcBorders>
                    <w:tl2br w:val="nil"/>
                    <w:tr2bl w:val="nil"/>
                  </w:tcBorders>
                  <w:noWrap w:val="0"/>
                  <w:vAlign w:val="center"/>
                </w:tcPr>
                <w:p w14:paraId="6EDA7A68">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60BEB8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tcBorders>
                    <w:tl2br w:val="nil"/>
                    <w:tr2bl w:val="nil"/>
                  </w:tcBorders>
                  <w:noWrap w:val="0"/>
                  <w:vAlign w:val="center"/>
                </w:tcPr>
                <w:p w14:paraId="78DDC1C5">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w:t>
                  </w:r>
                </w:p>
              </w:tc>
              <w:tc>
                <w:tcPr>
                  <w:tcW w:w="757" w:type="pct"/>
                  <w:tcBorders>
                    <w:tl2br w:val="nil"/>
                    <w:tr2bl w:val="nil"/>
                  </w:tcBorders>
                  <w:noWrap w:val="0"/>
                  <w:vAlign w:val="center"/>
                </w:tcPr>
                <w:p w14:paraId="75D37813">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设备与管线组件VOC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泄漏控制要求</w:t>
                  </w:r>
                </w:p>
              </w:tc>
              <w:tc>
                <w:tcPr>
                  <w:tcW w:w="1837" w:type="pct"/>
                  <w:tcBorders>
                    <w:tl2br w:val="nil"/>
                    <w:tr2bl w:val="nil"/>
                  </w:tcBorders>
                  <w:noWrap w:val="0"/>
                  <w:vAlign w:val="center"/>
                </w:tcPr>
                <w:p w14:paraId="659B0D4D">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企业中载有气态VOCs物料、液态VOCs物料的设备与管线组件的密封点≥2000个，应开展泄漏检测与修复工作</w:t>
                  </w:r>
                  <w:r>
                    <w:rPr>
                      <w:rFonts w:hint="default" w:ascii="Times New Roman" w:hAnsi="Times New Roman" w:eastAsia="仿宋" w:cs="Times New Roman"/>
                      <w:color w:val="auto"/>
                      <w:sz w:val="21"/>
                      <w:szCs w:val="21"/>
                      <w:highlight w:val="none"/>
                      <w:lang w:eastAsia="zh-CN"/>
                    </w:rPr>
                    <w:t>。</w:t>
                  </w:r>
                </w:p>
              </w:tc>
              <w:tc>
                <w:tcPr>
                  <w:tcW w:w="1449" w:type="pct"/>
                  <w:tcBorders>
                    <w:tl2br w:val="nil"/>
                    <w:tr2bl w:val="nil"/>
                  </w:tcBorders>
                  <w:noWrap w:val="0"/>
                  <w:vAlign w:val="center"/>
                </w:tcPr>
                <w:p w14:paraId="4DD47583">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本项目无气态VOC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物料，无液态VOC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物料的设备与管线组件</w:t>
                  </w:r>
                  <w:r>
                    <w:rPr>
                      <w:rFonts w:hint="default" w:ascii="Times New Roman" w:hAnsi="Times New Roman" w:eastAsia="仿宋" w:cs="Times New Roman"/>
                      <w:color w:val="auto"/>
                      <w:sz w:val="21"/>
                      <w:szCs w:val="21"/>
                      <w:highlight w:val="none"/>
                      <w:lang w:eastAsia="zh-CN"/>
                    </w:rPr>
                    <w:t>。</w:t>
                  </w:r>
                </w:p>
              </w:tc>
              <w:tc>
                <w:tcPr>
                  <w:tcW w:w="496" w:type="pct"/>
                  <w:tcBorders>
                    <w:tl2br w:val="nil"/>
                    <w:tr2bl w:val="nil"/>
                  </w:tcBorders>
                  <w:noWrap w:val="0"/>
                  <w:vAlign w:val="center"/>
                </w:tcPr>
                <w:p w14:paraId="38DBCC70">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7BB47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tcBorders>
                    <w:tl2br w:val="nil"/>
                    <w:tr2bl w:val="nil"/>
                  </w:tcBorders>
                  <w:noWrap w:val="0"/>
                  <w:vAlign w:val="center"/>
                </w:tcPr>
                <w:p w14:paraId="18C2F002">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w:t>
                  </w:r>
                </w:p>
              </w:tc>
              <w:tc>
                <w:tcPr>
                  <w:tcW w:w="757" w:type="pct"/>
                  <w:tcBorders>
                    <w:tl2br w:val="nil"/>
                    <w:tr2bl w:val="nil"/>
                  </w:tcBorders>
                  <w:noWrap w:val="0"/>
                  <w:vAlign w:val="center"/>
                </w:tcPr>
                <w:p w14:paraId="26B9109B">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敞开液面VOC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无组织排放控制要求</w:t>
                  </w:r>
                </w:p>
              </w:tc>
              <w:tc>
                <w:tcPr>
                  <w:tcW w:w="1837" w:type="pct"/>
                  <w:tcBorders>
                    <w:tl2br w:val="nil"/>
                    <w:tr2bl w:val="nil"/>
                  </w:tcBorders>
                  <w:noWrap w:val="0"/>
                  <w:vAlign w:val="center"/>
                </w:tcPr>
                <w:p w14:paraId="3EC3FABA">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工艺过程中排放的含VOC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废水集输系统需符合标准中9.1、9.2、9.3要求</w:t>
                  </w:r>
                  <w:r>
                    <w:rPr>
                      <w:rFonts w:hint="default" w:ascii="Times New Roman" w:hAnsi="Times New Roman" w:eastAsia="仿宋" w:cs="Times New Roman"/>
                      <w:color w:val="auto"/>
                      <w:sz w:val="21"/>
                      <w:szCs w:val="21"/>
                      <w:highlight w:val="none"/>
                      <w:lang w:eastAsia="zh-CN"/>
                    </w:rPr>
                    <w:t>。</w:t>
                  </w:r>
                </w:p>
              </w:tc>
              <w:tc>
                <w:tcPr>
                  <w:tcW w:w="1449" w:type="pct"/>
                  <w:tcBorders>
                    <w:tl2br w:val="nil"/>
                    <w:tr2bl w:val="nil"/>
                  </w:tcBorders>
                  <w:noWrap w:val="0"/>
                  <w:vAlign w:val="center"/>
                </w:tcPr>
                <w:p w14:paraId="7BC7B9EB">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本</w:t>
                  </w:r>
                  <w:r>
                    <w:rPr>
                      <w:rFonts w:hint="default" w:ascii="Times New Roman" w:hAnsi="Times New Roman" w:eastAsia="仿宋" w:cs="Times New Roman"/>
                      <w:color w:val="auto"/>
                      <w:sz w:val="21"/>
                      <w:szCs w:val="21"/>
                      <w:highlight w:val="none"/>
                    </w:rPr>
                    <w:t>项目无含VOC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废水产生</w:t>
                  </w:r>
                  <w:r>
                    <w:rPr>
                      <w:rFonts w:hint="default" w:ascii="Times New Roman" w:hAnsi="Times New Roman" w:eastAsia="仿宋" w:cs="Times New Roman"/>
                      <w:color w:val="auto"/>
                      <w:sz w:val="21"/>
                      <w:szCs w:val="21"/>
                      <w:highlight w:val="none"/>
                      <w:lang w:eastAsia="zh-CN"/>
                    </w:rPr>
                    <w:t>。</w:t>
                  </w:r>
                </w:p>
              </w:tc>
              <w:tc>
                <w:tcPr>
                  <w:tcW w:w="496" w:type="pct"/>
                  <w:tcBorders>
                    <w:tl2br w:val="nil"/>
                    <w:tr2bl w:val="nil"/>
                  </w:tcBorders>
                  <w:noWrap w:val="0"/>
                  <w:vAlign w:val="center"/>
                </w:tcPr>
                <w:p w14:paraId="0FE68442">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相符</w:t>
                  </w:r>
                </w:p>
              </w:tc>
            </w:tr>
            <w:tr w14:paraId="2934A2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vMerge w:val="restart"/>
                  <w:tcBorders>
                    <w:tl2br w:val="nil"/>
                    <w:tr2bl w:val="nil"/>
                  </w:tcBorders>
                  <w:noWrap w:val="0"/>
                  <w:vAlign w:val="center"/>
                </w:tcPr>
                <w:p w14:paraId="7F3A06C5">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w:t>
                  </w:r>
                </w:p>
              </w:tc>
              <w:tc>
                <w:tcPr>
                  <w:tcW w:w="757" w:type="pct"/>
                  <w:vMerge w:val="restart"/>
                  <w:tcBorders>
                    <w:tl2br w:val="nil"/>
                    <w:tr2bl w:val="nil"/>
                  </w:tcBorders>
                  <w:noWrap w:val="0"/>
                  <w:vAlign w:val="center"/>
                </w:tcPr>
                <w:p w14:paraId="2E9B92BF">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无组织排放废气收集处理系统要求</w:t>
                  </w:r>
                </w:p>
              </w:tc>
              <w:tc>
                <w:tcPr>
                  <w:tcW w:w="1837" w:type="pct"/>
                  <w:tcBorders>
                    <w:tl2br w:val="nil"/>
                    <w:tr2bl w:val="nil"/>
                  </w:tcBorders>
                  <w:noWrap w:val="0"/>
                  <w:vAlign w:val="center"/>
                </w:tcPr>
                <w:p w14:paraId="6EF1D912">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废气收集处理系统应与生产工艺设备同步运行。VOC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废气收集处理系统发生故障或检修时，对应的生产工艺设备应停止运行，待检修完毕后同步投入使用；生产工艺设备不能停止运行或不能及时停止运行的，应设置废气应急处理设施或采取其他替代措施</w:t>
                  </w:r>
                  <w:r>
                    <w:rPr>
                      <w:rFonts w:hint="default" w:ascii="Times New Roman" w:hAnsi="Times New Roman" w:eastAsia="仿宋" w:cs="Times New Roman"/>
                      <w:color w:val="auto"/>
                      <w:sz w:val="21"/>
                      <w:szCs w:val="21"/>
                      <w:highlight w:val="none"/>
                      <w:lang w:eastAsia="zh-CN"/>
                    </w:rPr>
                    <w:t>。</w:t>
                  </w:r>
                </w:p>
              </w:tc>
              <w:tc>
                <w:tcPr>
                  <w:tcW w:w="1449" w:type="pct"/>
                  <w:vMerge w:val="restart"/>
                  <w:tcBorders>
                    <w:tl2br w:val="nil"/>
                    <w:tr2bl w:val="nil"/>
                  </w:tcBorders>
                  <w:noWrap w:val="0"/>
                  <w:vAlign w:val="center"/>
                </w:tcPr>
                <w:p w14:paraId="0EF439B1">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本项目拟设置废气收集处理系统与工艺设备同步运行，废气收集系统发生故障或检修时，对应的工艺设备能够停止运行，待检修完毕后同步投入使用。且本项目废气收集系统的输送管道密闭</w:t>
                  </w:r>
                  <w:r>
                    <w:rPr>
                      <w:rFonts w:hint="default" w:ascii="Times New Roman" w:hAnsi="Times New Roman" w:eastAsia="仿宋" w:cs="Times New Roman"/>
                      <w:color w:val="auto"/>
                      <w:sz w:val="21"/>
                      <w:szCs w:val="21"/>
                      <w:highlight w:val="none"/>
                      <w:lang w:eastAsia="zh-CN"/>
                    </w:rPr>
                    <w:t>。</w:t>
                  </w:r>
                </w:p>
              </w:tc>
              <w:tc>
                <w:tcPr>
                  <w:tcW w:w="496" w:type="pct"/>
                  <w:vMerge w:val="restart"/>
                  <w:tcBorders>
                    <w:tl2br w:val="nil"/>
                    <w:tr2bl w:val="nil"/>
                  </w:tcBorders>
                  <w:noWrap w:val="0"/>
                  <w:vAlign w:val="center"/>
                </w:tcPr>
                <w:p w14:paraId="76D624E5">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相符</w:t>
                  </w:r>
                </w:p>
              </w:tc>
            </w:tr>
            <w:tr w14:paraId="5A06B6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vMerge w:val="continue"/>
                  <w:tcBorders>
                    <w:tl2br w:val="nil"/>
                    <w:tr2bl w:val="nil"/>
                  </w:tcBorders>
                  <w:noWrap w:val="0"/>
                  <w:vAlign w:val="center"/>
                </w:tcPr>
                <w:p w14:paraId="20CBE082">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p>
              </w:tc>
              <w:tc>
                <w:tcPr>
                  <w:tcW w:w="757" w:type="pct"/>
                  <w:vMerge w:val="continue"/>
                  <w:tcBorders>
                    <w:tl2br w:val="nil"/>
                    <w:tr2bl w:val="nil"/>
                  </w:tcBorders>
                  <w:noWrap w:val="0"/>
                  <w:vAlign w:val="center"/>
                </w:tcPr>
                <w:p w14:paraId="17139D48">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p>
              </w:tc>
              <w:tc>
                <w:tcPr>
                  <w:tcW w:w="1837" w:type="pct"/>
                  <w:tcBorders>
                    <w:tl2br w:val="nil"/>
                    <w:tr2bl w:val="nil"/>
                  </w:tcBorders>
                  <w:noWrap w:val="0"/>
                  <w:vAlign w:val="center"/>
                </w:tcPr>
                <w:p w14:paraId="03944B08">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废气收集系统的输送管道应密闭</w:t>
                  </w:r>
                  <w:r>
                    <w:rPr>
                      <w:rFonts w:hint="default" w:ascii="Times New Roman" w:hAnsi="Times New Roman" w:eastAsia="仿宋" w:cs="Times New Roman"/>
                      <w:color w:val="auto"/>
                      <w:sz w:val="21"/>
                      <w:szCs w:val="21"/>
                      <w:highlight w:val="none"/>
                      <w:lang w:eastAsia="zh-CN"/>
                    </w:rPr>
                    <w:t>。</w:t>
                  </w:r>
                </w:p>
              </w:tc>
              <w:tc>
                <w:tcPr>
                  <w:tcW w:w="1449" w:type="pct"/>
                  <w:vMerge w:val="continue"/>
                  <w:tcBorders>
                    <w:tl2br w:val="nil"/>
                    <w:tr2bl w:val="nil"/>
                  </w:tcBorders>
                  <w:noWrap w:val="0"/>
                  <w:vAlign w:val="center"/>
                </w:tcPr>
                <w:p w14:paraId="45D9B768">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p>
              </w:tc>
              <w:tc>
                <w:tcPr>
                  <w:tcW w:w="496" w:type="pct"/>
                  <w:vMerge w:val="continue"/>
                  <w:tcBorders>
                    <w:tl2br w:val="nil"/>
                    <w:tr2bl w:val="nil"/>
                  </w:tcBorders>
                  <w:noWrap w:val="0"/>
                  <w:vAlign w:val="center"/>
                </w:tcPr>
                <w:p w14:paraId="408DD748">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p>
              </w:tc>
            </w:tr>
            <w:tr w14:paraId="19089E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vMerge w:val="continue"/>
                  <w:tcBorders>
                    <w:tl2br w:val="nil"/>
                    <w:tr2bl w:val="nil"/>
                  </w:tcBorders>
                  <w:noWrap w:val="0"/>
                  <w:vAlign w:val="center"/>
                </w:tcPr>
                <w:p w14:paraId="5E377AC9">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p>
              </w:tc>
              <w:tc>
                <w:tcPr>
                  <w:tcW w:w="757" w:type="pct"/>
                  <w:vMerge w:val="continue"/>
                  <w:tcBorders>
                    <w:tl2br w:val="nil"/>
                    <w:tr2bl w:val="nil"/>
                  </w:tcBorders>
                  <w:noWrap w:val="0"/>
                  <w:vAlign w:val="center"/>
                </w:tcPr>
                <w:p w14:paraId="76B3F8B0">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p>
              </w:tc>
              <w:tc>
                <w:tcPr>
                  <w:tcW w:w="1837" w:type="pct"/>
                  <w:tcBorders>
                    <w:tl2br w:val="nil"/>
                    <w:tr2bl w:val="nil"/>
                  </w:tcBorders>
                  <w:noWrap w:val="0"/>
                  <w:vAlign w:val="center"/>
                </w:tcPr>
                <w:p w14:paraId="6C481910">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废气收集处理系统污染物排放应符合GB</w:t>
                  </w:r>
                  <w:r>
                    <w:rPr>
                      <w:rFonts w:hint="default" w:ascii="Times New Roman" w:hAnsi="Times New Roman"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rPr>
                    <w:t>16297-1996或相关行业排放标准</w:t>
                  </w:r>
                </w:p>
              </w:tc>
              <w:tc>
                <w:tcPr>
                  <w:tcW w:w="1449" w:type="pct"/>
                  <w:tcBorders>
                    <w:tl2br w:val="nil"/>
                    <w:tr2bl w:val="nil"/>
                  </w:tcBorders>
                  <w:noWrap w:val="0"/>
                  <w:vAlign w:val="center"/>
                </w:tcPr>
                <w:p w14:paraId="79962C1A">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w:t>
                  </w:r>
                  <w:r>
                    <w:rPr>
                      <w:rFonts w:hint="eastAsia" w:eastAsia="仿宋" w:cs="Times New Roman"/>
                      <w:color w:val="auto"/>
                      <w:sz w:val="21"/>
                      <w:szCs w:val="21"/>
                      <w:highlight w:val="none"/>
                      <w:lang w:val="en-US" w:eastAsia="zh-CN"/>
                    </w:rPr>
                    <w:t>机加工</w:t>
                  </w:r>
                  <w:r>
                    <w:rPr>
                      <w:rFonts w:hint="default" w:ascii="Times New Roman" w:hAnsi="Times New Roman" w:eastAsia="仿宋" w:cs="Times New Roman"/>
                      <w:color w:val="auto"/>
                      <w:sz w:val="21"/>
                      <w:szCs w:val="21"/>
                      <w:highlight w:val="none"/>
                      <w:lang w:val="en-US" w:eastAsia="zh-CN"/>
                    </w:rPr>
                    <w:t>废气经油雾净化器处理后在车间无组织排放</w:t>
                  </w:r>
                  <w:r>
                    <w:rPr>
                      <w:rFonts w:hint="eastAsia" w:cs="Times New Roman"/>
                      <w:color w:val="auto"/>
                      <w:sz w:val="21"/>
                      <w:szCs w:val="21"/>
                      <w:highlight w:val="none"/>
                      <w:lang w:val="en-US" w:eastAsia="zh-CN"/>
                    </w:rPr>
                    <w:t>。</w:t>
                  </w:r>
                </w:p>
              </w:tc>
              <w:tc>
                <w:tcPr>
                  <w:tcW w:w="496" w:type="pct"/>
                  <w:tcBorders>
                    <w:tl2br w:val="nil"/>
                    <w:tr2bl w:val="nil"/>
                  </w:tcBorders>
                  <w:noWrap w:val="0"/>
                  <w:vAlign w:val="center"/>
                </w:tcPr>
                <w:p w14:paraId="4919977D">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相符</w:t>
                  </w:r>
                </w:p>
              </w:tc>
            </w:tr>
            <w:tr w14:paraId="41A8CA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vMerge w:val="continue"/>
                  <w:tcBorders>
                    <w:tl2br w:val="nil"/>
                    <w:tr2bl w:val="nil"/>
                  </w:tcBorders>
                  <w:noWrap w:val="0"/>
                  <w:vAlign w:val="center"/>
                </w:tcPr>
                <w:p w14:paraId="672FAB46">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p>
              </w:tc>
              <w:tc>
                <w:tcPr>
                  <w:tcW w:w="757" w:type="pct"/>
                  <w:vMerge w:val="continue"/>
                  <w:tcBorders>
                    <w:tl2br w:val="nil"/>
                    <w:tr2bl w:val="nil"/>
                  </w:tcBorders>
                  <w:noWrap w:val="0"/>
                  <w:vAlign w:val="center"/>
                </w:tcPr>
                <w:p w14:paraId="49759F76">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p>
              </w:tc>
              <w:tc>
                <w:tcPr>
                  <w:tcW w:w="1837" w:type="pct"/>
                  <w:tcBorders>
                    <w:tl2br w:val="nil"/>
                    <w:tr2bl w:val="nil"/>
                  </w:tcBorders>
                  <w:noWrap w:val="0"/>
                  <w:vAlign w:val="center"/>
                </w:tcPr>
                <w:p w14:paraId="70CE441C">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收集的废气中NMHC初始排放速率≥3</w:t>
                  </w:r>
                  <w:r>
                    <w:rPr>
                      <w:rFonts w:hint="default" w:ascii="Times New Roman" w:hAnsi="Times New Roman"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rPr>
                    <w:t>kg/h时，应配置VOC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处理设施，处理效率不应低于80%；对于重点地区，收集的废气中NMHC初始排放速率&gt;2</w:t>
                  </w:r>
                  <w:r>
                    <w:rPr>
                      <w:rFonts w:hint="default" w:ascii="Times New Roman" w:hAnsi="Times New Roman"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rPr>
                    <w:t>kg/h时，应配置VOC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处理设施，处理效率不应低于80%；采用的原辅材料符合国家有关低VOC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含量产品规定的除外。</w:t>
                  </w:r>
                </w:p>
              </w:tc>
              <w:tc>
                <w:tcPr>
                  <w:tcW w:w="1449" w:type="pct"/>
                  <w:tcBorders>
                    <w:tl2br w:val="nil"/>
                    <w:tr2bl w:val="nil"/>
                  </w:tcBorders>
                  <w:noWrap w:val="0"/>
                  <w:vAlign w:val="center"/>
                </w:tcPr>
                <w:p w14:paraId="0158C059">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企业位于重点地区，</w:t>
                  </w:r>
                  <w:r>
                    <w:rPr>
                      <w:rFonts w:hint="eastAsia" w:cs="Times New Roman"/>
                      <w:color w:val="auto"/>
                      <w:sz w:val="21"/>
                      <w:szCs w:val="21"/>
                      <w:highlight w:val="none"/>
                      <w:lang w:val="en-US" w:eastAsia="zh-CN"/>
                    </w:rPr>
                    <w:t>废气产生量较少，本次仅定性分析</w:t>
                  </w:r>
                  <w:r>
                    <w:rPr>
                      <w:rFonts w:hint="default" w:ascii="Times New Roman" w:hAnsi="Times New Roman" w:eastAsia="仿宋" w:cs="Times New Roman"/>
                      <w:color w:val="auto"/>
                      <w:sz w:val="21"/>
                      <w:szCs w:val="21"/>
                      <w:highlight w:val="none"/>
                      <w:lang w:eastAsia="zh-CN"/>
                    </w:rPr>
                    <w:t>。</w:t>
                  </w:r>
                </w:p>
              </w:tc>
              <w:tc>
                <w:tcPr>
                  <w:tcW w:w="496" w:type="pct"/>
                  <w:tcBorders>
                    <w:tl2br w:val="nil"/>
                    <w:tr2bl w:val="nil"/>
                  </w:tcBorders>
                  <w:noWrap w:val="0"/>
                  <w:vAlign w:val="center"/>
                </w:tcPr>
                <w:p w14:paraId="11F655BB">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相符</w:t>
                  </w:r>
                </w:p>
              </w:tc>
            </w:tr>
            <w:tr w14:paraId="62727F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vMerge w:val="continue"/>
                  <w:tcBorders>
                    <w:tl2br w:val="nil"/>
                    <w:tr2bl w:val="nil"/>
                  </w:tcBorders>
                  <w:noWrap w:val="0"/>
                  <w:vAlign w:val="center"/>
                </w:tcPr>
                <w:p w14:paraId="49A7DCE7">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p>
              </w:tc>
              <w:tc>
                <w:tcPr>
                  <w:tcW w:w="757" w:type="pct"/>
                  <w:vMerge w:val="continue"/>
                  <w:tcBorders>
                    <w:tl2br w:val="nil"/>
                    <w:tr2bl w:val="nil"/>
                  </w:tcBorders>
                  <w:noWrap w:val="0"/>
                  <w:vAlign w:val="center"/>
                </w:tcPr>
                <w:p w14:paraId="751B7C8C">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p>
              </w:tc>
              <w:tc>
                <w:tcPr>
                  <w:tcW w:w="1837" w:type="pct"/>
                  <w:tcBorders>
                    <w:tl2br w:val="nil"/>
                    <w:tr2bl w:val="nil"/>
                  </w:tcBorders>
                  <w:noWrap w:val="0"/>
                  <w:vAlign w:val="center"/>
                </w:tcPr>
                <w:p w14:paraId="4396BEC8">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企业应建立台账，记录废气收集系统、VOC</w:t>
                  </w:r>
                  <w:r>
                    <w:rPr>
                      <w:rFonts w:hint="default" w:ascii="Times New Roman" w:hAnsi="Times New Roman" w:eastAsia="仿宋" w:cs="Times New Roman"/>
                      <w:color w:val="auto"/>
                      <w:sz w:val="21"/>
                      <w:szCs w:val="21"/>
                      <w:highlight w:val="none"/>
                      <w:vertAlign w:val="subscript"/>
                      <w:lang w:val="en-US" w:eastAsia="zh-CN"/>
                    </w:rPr>
                    <w:t>S</w:t>
                  </w:r>
                  <w:r>
                    <w:rPr>
                      <w:rFonts w:hint="default" w:ascii="Times New Roman" w:hAnsi="Times New Roman" w:eastAsia="仿宋" w:cs="Times New Roman"/>
                      <w:color w:val="auto"/>
                      <w:sz w:val="21"/>
                      <w:szCs w:val="21"/>
                      <w:highlight w:val="none"/>
                    </w:rPr>
                    <w:t>处理设施的主要运行和维护信息，如运行时间、废气处理量、操作温度、停留时间、吸附剂再生/更换周期和更换量、催化剂更换周期和更换量、吸收液pH值等关键运行参数。台账保存期限不少于3年。</w:t>
                  </w:r>
                </w:p>
              </w:tc>
              <w:tc>
                <w:tcPr>
                  <w:tcW w:w="1449" w:type="pct"/>
                  <w:tcBorders>
                    <w:tl2br w:val="nil"/>
                    <w:tr2bl w:val="nil"/>
                  </w:tcBorders>
                  <w:noWrap w:val="0"/>
                  <w:vAlign w:val="center"/>
                </w:tcPr>
                <w:p w14:paraId="754F6302">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本项目建成后，企业将建立台账，记录相关信息，并按要求保存台账不少于3年</w:t>
                  </w:r>
                  <w:r>
                    <w:rPr>
                      <w:rFonts w:hint="default" w:ascii="Times New Roman" w:hAnsi="Times New Roman" w:eastAsia="仿宋" w:cs="Times New Roman"/>
                      <w:color w:val="auto"/>
                      <w:sz w:val="21"/>
                      <w:szCs w:val="21"/>
                      <w:highlight w:val="none"/>
                      <w:lang w:eastAsia="zh-CN"/>
                    </w:rPr>
                    <w:t>。</w:t>
                  </w:r>
                </w:p>
              </w:tc>
              <w:tc>
                <w:tcPr>
                  <w:tcW w:w="496" w:type="pct"/>
                  <w:tcBorders>
                    <w:tl2br w:val="nil"/>
                    <w:tr2bl w:val="nil"/>
                  </w:tcBorders>
                  <w:noWrap w:val="0"/>
                  <w:vAlign w:val="center"/>
                </w:tcPr>
                <w:p w14:paraId="59DF23F1">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相符</w:t>
                  </w:r>
                </w:p>
              </w:tc>
            </w:tr>
            <w:tr w14:paraId="44C18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9" w:type="pct"/>
                  <w:tcBorders>
                    <w:tl2br w:val="nil"/>
                    <w:tr2bl w:val="nil"/>
                  </w:tcBorders>
                  <w:noWrap w:val="0"/>
                  <w:vAlign w:val="center"/>
                </w:tcPr>
                <w:p w14:paraId="710D9CB5">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7</w:t>
                  </w:r>
                </w:p>
              </w:tc>
              <w:tc>
                <w:tcPr>
                  <w:tcW w:w="757" w:type="pct"/>
                  <w:tcBorders>
                    <w:tl2br w:val="nil"/>
                    <w:tr2bl w:val="nil"/>
                  </w:tcBorders>
                  <w:noWrap w:val="0"/>
                  <w:vAlign w:val="center"/>
                </w:tcPr>
                <w:p w14:paraId="72A5DF20">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企业厂区内及周边污染监控要求</w:t>
                  </w:r>
                </w:p>
              </w:tc>
              <w:tc>
                <w:tcPr>
                  <w:tcW w:w="1837" w:type="pct"/>
                  <w:tcBorders>
                    <w:tl2br w:val="nil"/>
                    <w:tr2bl w:val="nil"/>
                  </w:tcBorders>
                  <w:noWrap w:val="0"/>
                  <w:vAlign w:val="center"/>
                </w:tcPr>
                <w:p w14:paraId="06F470CC">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建立企业监测制度，制定监测方案，对污染物排放状况开展自行监测，保存原始监测记录，并公布监测结果</w:t>
                  </w:r>
                  <w:r>
                    <w:rPr>
                      <w:rFonts w:hint="default" w:ascii="Times New Roman" w:hAnsi="Times New Roman" w:eastAsia="仿宋" w:cs="Times New Roman"/>
                      <w:color w:val="auto"/>
                      <w:sz w:val="21"/>
                      <w:szCs w:val="21"/>
                      <w:highlight w:val="none"/>
                      <w:lang w:eastAsia="zh-CN"/>
                    </w:rPr>
                    <w:t>。</w:t>
                  </w:r>
                </w:p>
              </w:tc>
              <w:tc>
                <w:tcPr>
                  <w:tcW w:w="1449" w:type="pct"/>
                  <w:tcBorders>
                    <w:tl2br w:val="nil"/>
                    <w:tr2bl w:val="nil"/>
                  </w:tcBorders>
                  <w:noWrap w:val="0"/>
                  <w:vAlign w:val="center"/>
                </w:tcPr>
                <w:p w14:paraId="3089E9FB">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本项目建成后，将建立环境监测计划，由于企业不具备环境监测资质，故委托有资质的环境监测单位在项目建设完成后根据《排污单位自行监测技术指南 总则》（HJ</w:t>
                  </w:r>
                  <w:r>
                    <w:rPr>
                      <w:rFonts w:hint="default" w:ascii="Times New Roman" w:hAnsi="Times New Roman"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rPr>
                    <w:t>819-2017）中规定的监测分析方法对</w:t>
                  </w:r>
                  <w:r>
                    <w:rPr>
                      <w:rFonts w:hint="eastAsia" w:eastAsia="仿宋" w:cs="Times New Roman"/>
                      <w:color w:val="auto"/>
                      <w:sz w:val="21"/>
                      <w:szCs w:val="21"/>
                      <w:highlight w:val="none"/>
                      <w:lang w:val="en-US" w:eastAsia="zh-CN"/>
                    </w:rPr>
                    <w:t>本项目废气</w:t>
                  </w:r>
                  <w:r>
                    <w:rPr>
                      <w:rFonts w:hint="default" w:ascii="Times New Roman" w:hAnsi="Times New Roman" w:eastAsia="仿宋" w:cs="Times New Roman"/>
                      <w:color w:val="auto"/>
                      <w:sz w:val="21"/>
                      <w:szCs w:val="21"/>
                      <w:highlight w:val="none"/>
                    </w:rPr>
                    <w:t>进行例行监测</w:t>
                  </w:r>
                  <w:r>
                    <w:rPr>
                      <w:rFonts w:hint="default" w:ascii="Times New Roman" w:hAnsi="Times New Roman" w:eastAsia="仿宋" w:cs="Times New Roman"/>
                      <w:color w:val="auto"/>
                      <w:sz w:val="21"/>
                      <w:szCs w:val="21"/>
                      <w:highlight w:val="none"/>
                      <w:lang w:eastAsia="zh-CN"/>
                    </w:rPr>
                    <w:t>。</w:t>
                  </w:r>
                </w:p>
              </w:tc>
              <w:tc>
                <w:tcPr>
                  <w:tcW w:w="496" w:type="pct"/>
                  <w:tcBorders>
                    <w:tl2br w:val="nil"/>
                    <w:tr2bl w:val="nil"/>
                  </w:tcBorders>
                  <w:noWrap w:val="0"/>
                  <w:vAlign w:val="center"/>
                </w:tcPr>
                <w:p w14:paraId="521349EE">
                  <w:pPr>
                    <w:pStyle w:val="3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相符</w:t>
                  </w:r>
                </w:p>
              </w:tc>
            </w:tr>
          </w:tbl>
          <w:p w14:paraId="6F331FDA">
            <w:pPr>
              <w:pStyle w:val="6"/>
              <w:numPr>
                <w:ilvl w:val="0"/>
                <w:numId w:val="0"/>
              </w:numPr>
              <w:spacing w:before="0" w:after="0" w:line="360" w:lineRule="auto"/>
              <w:ind w:right="113"/>
              <w:rPr>
                <w:rFonts w:hint="default" w:ascii="Times New Roman" w:hAnsi="Times New Roman" w:eastAsia="宋体" w:cs="Times New Roman"/>
                <w:b/>
                <w:bCs/>
                <w:color w:val="auto"/>
                <w:kern w:val="2"/>
                <w:sz w:val="24"/>
                <w:szCs w:val="24"/>
                <w:highlight w:val="none"/>
                <w:lang w:val="en-US" w:eastAsia="zh-CN"/>
              </w:rPr>
            </w:pPr>
            <w:r>
              <w:rPr>
                <w:rFonts w:hint="default" w:ascii="Times New Roman" w:hAnsi="Times New Roman" w:eastAsia="宋体" w:cs="Times New Roman"/>
                <w:b/>
                <w:bCs/>
                <w:color w:val="auto"/>
                <w:kern w:val="2"/>
                <w:sz w:val="24"/>
                <w:szCs w:val="24"/>
                <w:highlight w:val="none"/>
                <w:lang w:val="en-US" w:eastAsia="zh-CN"/>
              </w:rPr>
              <w:t>1</w:t>
            </w:r>
            <w:r>
              <w:rPr>
                <w:rFonts w:hint="eastAsia" w:cs="Times New Roman"/>
                <w:b/>
                <w:bCs/>
                <w:color w:val="auto"/>
                <w:kern w:val="2"/>
                <w:sz w:val="24"/>
                <w:szCs w:val="24"/>
                <w:highlight w:val="none"/>
                <w:lang w:val="en-US" w:eastAsia="zh-CN"/>
              </w:rPr>
              <w:t>4</w:t>
            </w:r>
            <w:r>
              <w:rPr>
                <w:rFonts w:hint="default" w:ascii="Times New Roman" w:hAnsi="Times New Roman" w:eastAsia="宋体" w:cs="Times New Roman"/>
                <w:b/>
                <w:bCs/>
                <w:color w:val="auto"/>
                <w:kern w:val="2"/>
                <w:sz w:val="24"/>
                <w:szCs w:val="24"/>
                <w:highlight w:val="none"/>
                <w:lang w:val="en-US" w:eastAsia="zh-CN"/>
              </w:rPr>
              <w:t>、与《关于深入打好污染防治攻坚战的工作方案》（苏委发〔2022〕33号）相符性分析</w:t>
            </w:r>
          </w:p>
          <w:p w14:paraId="5F588D5E">
            <w:pPr>
              <w:autoSpaceDE w:val="0"/>
              <w:autoSpaceDN w:val="0"/>
              <w:adjustRightInd w:val="0"/>
              <w:snapToGrid w:val="0"/>
              <w:spacing w:line="360" w:lineRule="auto"/>
              <w:ind w:firstLine="480" w:firstLineChars="200"/>
              <w:rPr>
                <w:rFonts w:hint="default"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kern w:val="0"/>
                <w:sz w:val="24"/>
                <w:highlight w:val="none"/>
              </w:rPr>
              <w:t>①强化生态环境分区管控。完善</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三线一单</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生态环境分区管控体系，衔接国土空间规划分区和用途管制要求。落实以环评制度为基础的源头预防体系，严格规划环评审查和项目环评准入。开展国土空间规划环境影响评价，在符合国土空间规划的基础上，科学布局生态环境基础设施</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图斑</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eastAsia="zh-CN"/>
              </w:rPr>
              <w:t>。</w:t>
            </w:r>
          </w:p>
          <w:p w14:paraId="56B35EC6">
            <w:pPr>
              <w:autoSpaceDE w:val="0"/>
              <w:autoSpaceDN w:val="0"/>
              <w:adjustRightInd w:val="0"/>
              <w:snapToGrid w:val="0"/>
              <w:spacing w:line="360" w:lineRule="auto"/>
              <w:ind w:firstLine="482" w:firstLineChars="200"/>
              <w:rPr>
                <w:rFonts w:hint="default" w:ascii="Times New Roman" w:hAnsi="Times New Roman" w:eastAsia="宋体" w:cs="Times New Roman"/>
                <w:color w:val="auto"/>
                <w:kern w:val="0"/>
                <w:sz w:val="24"/>
                <w:highlight w:val="none"/>
                <w:lang w:eastAsia="zh-CN"/>
              </w:rPr>
            </w:pPr>
            <w:r>
              <w:rPr>
                <w:rFonts w:hint="default" w:ascii="Times New Roman" w:hAnsi="Times New Roman" w:eastAsia="宋体" w:cs="Times New Roman"/>
                <w:b/>
                <w:bCs/>
                <w:color w:val="auto"/>
                <w:kern w:val="0"/>
                <w:sz w:val="24"/>
                <w:highlight w:val="none"/>
              </w:rPr>
              <w:t>本项目</w:t>
            </w:r>
            <w:r>
              <w:rPr>
                <w:rFonts w:hint="default" w:ascii="Times New Roman" w:hAnsi="Times New Roman" w:eastAsia="宋体" w:cs="Times New Roman"/>
                <w:color w:val="auto"/>
                <w:kern w:val="0"/>
                <w:sz w:val="24"/>
                <w:highlight w:val="none"/>
              </w:rPr>
              <w:t>位于</w:t>
            </w:r>
            <w:r>
              <w:rPr>
                <w:rFonts w:hint="eastAsia" w:ascii="Times New Roman" w:hAnsi="Times New Roman" w:eastAsia="宋体" w:cs="Times New Roman"/>
                <w:color w:val="auto"/>
                <w:kern w:val="0"/>
                <w:sz w:val="24"/>
                <w:highlight w:val="none"/>
              </w:rPr>
              <w:t>苏州市漕湖街道永昌路28号A栋11单元</w:t>
            </w:r>
            <w:r>
              <w:rPr>
                <w:rFonts w:hint="default" w:ascii="Times New Roman" w:hAnsi="Times New Roman" w:eastAsia="宋体" w:cs="Times New Roman"/>
                <w:color w:val="auto"/>
                <w:kern w:val="0"/>
                <w:sz w:val="24"/>
                <w:highlight w:val="none"/>
              </w:rPr>
              <w:t>，</w:t>
            </w:r>
            <w:r>
              <w:rPr>
                <w:rFonts w:hint="default" w:ascii="Times New Roman" w:hAnsi="Times New Roman" w:eastAsia="宋体" w:cs="Times New Roman"/>
                <w:color w:val="auto"/>
                <w:kern w:val="0"/>
                <w:sz w:val="24"/>
                <w:highlight w:val="none"/>
                <w:lang w:val="en-US" w:eastAsia="zh-CN"/>
              </w:rPr>
              <w:t>该地块为工业用地</w:t>
            </w:r>
            <w:r>
              <w:rPr>
                <w:rFonts w:hint="default" w:ascii="Times New Roman" w:hAnsi="Times New Roman" w:eastAsia="宋体" w:cs="Times New Roman"/>
                <w:color w:val="auto"/>
                <w:kern w:val="0"/>
                <w:sz w:val="24"/>
                <w:highlight w:val="none"/>
              </w:rPr>
              <w:t>，符合</w:t>
            </w:r>
            <w:r>
              <w:rPr>
                <w:rFonts w:hint="default" w:ascii="Times New Roman" w:hAnsi="Times New Roman" w:eastAsia="宋体" w:cs="Times New Roman"/>
                <w:color w:val="auto"/>
                <w:kern w:val="0"/>
                <w:sz w:val="24"/>
                <w:highlight w:val="none"/>
                <w:lang w:val="en-US" w:eastAsia="zh-CN"/>
              </w:rPr>
              <w:t>国土空间规划</w:t>
            </w:r>
            <w:r>
              <w:rPr>
                <w:rFonts w:hint="default" w:ascii="Times New Roman" w:hAnsi="Times New Roman" w:eastAsia="宋体" w:cs="Times New Roman"/>
                <w:color w:val="auto"/>
                <w:kern w:val="0"/>
                <w:sz w:val="24"/>
                <w:highlight w:val="none"/>
              </w:rPr>
              <w:t>相应要求</w:t>
            </w:r>
            <w:r>
              <w:rPr>
                <w:rFonts w:hint="default" w:ascii="Times New Roman" w:hAnsi="Times New Roman" w:eastAsia="宋体" w:cs="Times New Roman"/>
                <w:color w:val="auto"/>
                <w:kern w:val="0"/>
                <w:sz w:val="24"/>
                <w:highlight w:val="none"/>
                <w:lang w:eastAsia="zh-CN"/>
              </w:rPr>
              <w:t>。</w:t>
            </w:r>
          </w:p>
          <w:p w14:paraId="7E0EDBA6">
            <w:pPr>
              <w:autoSpaceDE w:val="0"/>
              <w:autoSpaceDN w:val="0"/>
              <w:adjustRightInd w:val="0"/>
              <w:snapToGrid w:val="0"/>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②巩固</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散乱污</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企业（作坊）整治成效。建立健全长效管理措施，建立已取缔</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散</w:t>
            </w:r>
            <w:r>
              <w:rPr>
                <w:rFonts w:hint="default" w:ascii="Times New Roman" w:hAnsi="Times New Roman" w:eastAsia="宋体" w:cs="Times New Roman"/>
                <w:color w:val="auto"/>
                <w:sz w:val="24"/>
                <w:szCs w:val="32"/>
                <w:highlight w:val="none"/>
              </w:rPr>
              <w:t>乱污</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企业（作坊）厂房再租赁报备制度，明确对新租赁企业的相关要求，防止</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散乱污</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企业（作坊）反弹。常态化开展明</w:t>
            </w:r>
            <w:r>
              <w:rPr>
                <w:rFonts w:hint="default" w:ascii="Times New Roman" w:hAnsi="Times New Roman" w:eastAsia="宋体" w:cs="Times New Roman"/>
                <w:color w:val="auto"/>
                <w:kern w:val="0"/>
                <w:sz w:val="24"/>
                <w:highlight w:val="none"/>
                <w:lang w:val="en-US" w:eastAsia="zh-CN"/>
              </w:rPr>
              <w:t>查</w:t>
            </w:r>
            <w:r>
              <w:rPr>
                <w:rFonts w:hint="default" w:ascii="Times New Roman" w:hAnsi="Times New Roman" w:eastAsia="宋体" w:cs="Times New Roman"/>
                <w:color w:val="auto"/>
                <w:kern w:val="0"/>
                <w:sz w:val="24"/>
                <w:highlight w:val="none"/>
              </w:rPr>
              <w:t>暗访曝光督办，利用污染防治监管平台线索摸排</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散乱污</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企业（作坊）。加大对</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散乱污</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企业（作坊）的执法力度，倒逼企业转型升级。</w:t>
            </w:r>
          </w:p>
          <w:p w14:paraId="26B55B69">
            <w:pPr>
              <w:autoSpaceDE w:val="0"/>
              <w:autoSpaceDN w:val="0"/>
              <w:adjustRightInd w:val="0"/>
              <w:snapToGrid w:val="0"/>
              <w:spacing w:line="360" w:lineRule="auto"/>
              <w:ind w:firstLine="482"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b/>
                <w:bCs/>
                <w:color w:val="auto"/>
                <w:kern w:val="0"/>
                <w:sz w:val="24"/>
                <w:highlight w:val="none"/>
              </w:rPr>
              <w:t>本项目</w:t>
            </w:r>
            <w:r>
              <w:rPr>
                <w:rFonts w:hint="default" w:ascii="Times New Roman" w:hAnsi="Times New Roman" w:eastAsia="宋体" w:cs="Times New Roman"/>
                <w:color w:val="auto"/>
                <w:kern w:val="0"/>
                <w:sz w:val="24"/>
                <w:highlight w:val="none"/>
              </w:rPr>
              <w:t>为</w:t>
            </w:r>
            <w:r>
              <w:rPr>
                <w:rFonts w:hint="eastAsia" w:ascii="Times New Roman" w:hAnsi="Times New Roman" w:eastAsia="宋体" w:cs="Times New Roman"/>
                <w:color w:val="auto"/>
                <w:kern w:val="0"/>
                <w:sz w:val="24"/>
                <w:highlight w:val="none"/>
                <w:lang w:val="en-US" w:eastAsia="zh-CN"/>
              </w:rPr>
              <w:t>租赁</w:t>
            </w:r>
            <w:r>
              <w:rPr>
                <w:rFonts w:hint="default" w:ascii="Times New Roman" w:hAnsi="Times New Roman" w:eastAsia="宋体" w:cs="Times New Roman"/>
                <w:color w:val="auto"/>
                <w:kern w:val="0"/>
                <w:sz w:val="24"/>
                <w:highlight w:val="none"/>
              </w:rPr>
              <w:t>厂房，</w:t>
            </w:r>
            <w:r>
              <w:rPr>
                <w:rFonts w:hint="eastAsia" w:cs="Times New Roman"/>
                <w:color w:val="auto"/>
                <w:kern w:val="0"/>
                <w:sz w:val="24"/>
                <w:highlight w:val="none"/>
                <w:lang w:val="en-US" w:eastAsia="zh-CN"/>
              </w:rPr>
              <w:t>租赁厂房于2023年1月16日取得特殊建设工程消防验收意见书（苏相住建消备字</w:t>
            </w:r>
            <w:r>
              <w:rPr>
                <w:rFonts w:hint="default" w:ascii="Times New Roman" w:hAnsi="Times New Roman" w:eastAsia="宋体" w:cs="Times New Roman"/>
                <w:color w:val="auto"/>
                <w:sz w:val="24"/>
                <w:szCs w:val="32"/>
                <w:highlight w:val="none"/>
              </w:rPr>
              <w:t>〔202</w:t>
            </w:r>
            <w:r>
              <w:rPr>
                <w:rFonts w:hint="eastAsia" w:cs="Times New Roman"/>
                <w:color w:val="auto"/>
                <w:sz w:val="24"/>
                <w:szCs w:val="32"/>
                <w:highlight w:val="none"/>
                <w:lang w:val="en-US" w:eastAsia="zh-CN"/>
              </w:rPr>
              <w:t>3</w:t>
            </w:r>
            <w:r>
              <w:rPr>
                <w:rFonts w:hint="default" w:ascii="Times New Roman" w:hAnsi="Times New Roman" w:eastAsia="宋体" w:cs="Times New Roman"/>
                <w:color w:val="auto"/>
                <w:sz w:val="24"/>
                <w:szCs w:val="32"/>
                <w:highlight w:val="none"/>
              </w:rPr>
              <w:t>〕</w:t>
            </w:r>
            <w:r>
              <w:rPr>
                <w:rFonts w:hint="eastAsia" w:cs="Times New Roman"/>
                <w:color w:val="auto"/>
                <w:sz w:val="24"/>
                <w:szCs w:val="32"/>
                <w:highlight w:val="none"/>
                <w:lang w:val="en-US" w:eastAsia="zh-CN"/>
              </w:rPr>
              <w:t>第0011号</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rPr>
              <w:t>符合相关要求。</w:t>
            </w:r>
          </w:p>
          <w:p w14:paraId="7E2C5C7F">
            <w:pPr>
              <w:autoSpaceDE w:val="0"/>
              <w:autoSpaceDN w:val="0"/>
              <w:adjustRightInd w:val="0"/>
              <w:snapToGrid w:val="0"/>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③加大重点行业污染治理力度，强化多污染物协同控制，推进PM</w:t>
            </w:r>
            <w:r>
              <w:rPr>
                <w:rFonts w:hint="default" w:ascii="Times New Roman" w:hAnsi="Times New Roman" w:eastAsia="宋体" w:cs="Times New Roman"/>
                <w:color w:val="auto"/>
                <w:kern w:val="0"/>
                <w:sz w:val="24"/>
                <w:highlight w:val="none"/>
                <w:vertAlign w:val="subscript"/>
              </w:rPr>
              <w:t>2.5</w:t>
            </w:r>
            <w:r>
              <w:rPr>
                <w:rFonts w:hint="default" w:ascii="Times New Roman" w:hAnsi="Times New Roman" w:eastAsia="宋体" w:cs="Times New Roman"/>
                <w:color w:val="auto"/>
                <w:kern w:val="0"/>
                <w:sz w:val="24"/>
                <w:highlight w:val="none"/>
              </w:rPr>
              <w:t>和臭氧浓度</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双控双减</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重点推进工业企业深度提标、挥发性有机物（VOCs）深度治理、车辆和机械污染减排、扬尘污染控制、生活源污染控制等一系列重点任务，每年排定一批重点治气项目，推动项目减排。加大烟花爆竹燃放管理，制定进一步扩大烟花爆竹禁放范围或春节、元宵等重点时段限时全域禁放等政策措施。严格落实重污染天气</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省级预警、市级响应</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，优化完善重污染天气应急管控措施和应急减排清单，培育一批本地豁免企业。做好重大活动、重点时段</w:t>
            </w:r>
            <w:r>
              <w:rPr>
                <w:rFonts w:hint="default" w:ascii="Times New Roman" w:hAnsi="Times New Roman" w:eastAsia="宋体" w:cs="Times New Roman"/>
                <w:color w:val="auto"/>
                <w:kern w:val="0"/>
                <w:sz w:val="24"/>
                <w:highlight w:val="none"/>
                <w:lang w:eastAsia="zh-CN"/>
              </w:rPr>
              <w:t>、重</w:t>
            </w:r>
            <w:r>
              <w:rPr>
                <w:rFonts w:hint="default" w:ascii="Times New Roman" w:hAnsi="Times New Roman" w:eastAsia="宋体" w:cs="Times New Roman"/>
                <w:color w:val="auto"/>
                <w:kern w:val="0"/>
                <w:sz w:val="24"/>
                <w:highlight w:val="none"/>
              </w:rPr>
              <w:t>污染天气过程空气质量保障。基本消除重污染天气，坚决守护</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苏州蓝</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w:t>
            </w:r>
          </w:p>
          <w:p w14:paraId="402770BB">
            <w:pPr>
              <w:keepNext w:val="0"/>
              <w:keepLines w:val="0"/>
              <w:suppressLineNumbers w:val="0"/>
              <w:adjustRightInd/>
              <w:snapToGrid/>
              <w:spacing w:before="0" w:beforeAutospacing="0" w:after="0" w:afterAutospacing="0" w:line="360" w:lineRule="auto"/>
              <w:ind w:left="0" w:right="0" w:firstLine="482"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b/>
                <w:bCs/>
                <w:color w:val="auto"/>
                <w:sz w:val="24"/>
                <w:szCs w:val="32"/>
                <w:highlight w:val="none"/>
              </w:rPr>
              <w:t>本项目</w:t>
            </w:r>
            <w:r>
              <w:rPr>
                <w:rFonts w:hint="default" w:ascii="Times New Roman" w:hAnsi="Times New Roman" w:eastAsia="宋体" w:cs="Times New Roman"/>
                <w:color w:val="auto"/>
                <w:sz w:val="24"/>
                <w:szCs w:val="32"/>
                <w:highlight w:val="none"/>
              </w:rPr>
              <w:t>生产工序中产生少量的</w:t>
            </w:r>
            <w:r>
              <w:rPr>
                <w:rFonts w:hint="eastAsia" w:cs="Times New Roman"/>
                <w:color w:val="auto"/>
                <w:sz w:val="24"/>
                <w:szCs w:val="32"/>
                <w:highlight w:val="none"/>
                <w:lang w:val="en-US" w:eastAsia="zh-CN"/>
              </w:rPr>
              <w:t>机加工废气</w:t>
            </w:r>
            <w:r>
              <w:rPr>
                <w:rFonts w:hint="eastAsia" w:ascii="Times New Roman" w:hAnsi="Times New Roman" w:eastAsia="宋体" w:cs="Times New Roman"/>
                <w:color w:val="auto"/>
                <w:sz w:val="24"/>
                <w:szCs w:val="32"/>
                <w:highlight w:val="none"/>
                <w:lang w:val="en-US" w:eastAsia="zh-CN"/>
              </w:rPr>
              <w:t>，</w:t>
            </w:r>
            <w:r>
              <w:rPr>
                <w:rFonts w:hint="eastAsia" w:cs="Times New Roman"/>
                <w:color w:val="auto"/>
                <w:sz w:val="24"/>
                <w:szCs w:val="32"/>
                <w:highlight w:val="none"/>
                <w:lang w:val="en-US" w:eastAsia="zh-CN"/>
              </w:rPr>
              <w:t>机加工废气经油雾净化装置处理后在车间无组织排放</w:t>
            </w:r>
            <w:r>
              <w:rPr>
                <w:rFonts w:hint="default" w:ascii="Times New Roman" w:hAnsi="Times New Roman" w:eastAsia="宋体" w:cs="Times New Roman"/>
                <w:color w:val="auto"/>
                <w:sz w:val="24"/>
                <w:szCs w:val="32"/>
                <w:highlight w:val="none"/>
              </w:rPr>
              <w:t>。符合相关政策要求。</w:t>
            </w:r>
          </w:p>
          <w:p w14:paraId="182842DB">
            <w:pPr>
              <w:keepNext w:val="0"/>
              <w:keepLines w:val="0"/>
              <w:suppressLineNumbers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④强化危险废物全生命周期监管。加强危险废物源头管控，严格项目准入，科学鉴定评价危险废物。提升全市飞灰收集处置和医疗废物应急处置能力，健全危险废物集中收集体系，实施危险废物经营单位退出机制，从严打击非法转运、倾倒、填埋、利用处置危险废物等环境违法犯罪行为，保障市场公平有序。规范应用危险废物全生命周期监控系统，实现全市危险废物</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来源可查、去向可追、全程留痕</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的管理目标。医疗废物和生活垃圾焚烧飞灰收集处置能力满足实际需求，医疗废物和飞灰无害化处置率保持100%。</w:t>
            </w:r>
          </w:p>
          <w:p w14:paraId="3F3A5642">
            <w:pPr>
              <w:keepNext w:val="0"/>
              <w:keepLines w:val="0"/>
              <w:suppressLineNumbers w:val="0"/>
              <w:adjustRightInd/>
              <w:snapToGrid/>
              <w:spacing w:before="0" w:beforeAutospacing="0" w:after="0" w:afterAutospacing="0" w:line="360" w:lineRule="auto"/>
              <w:ind w:left="0" w:right="0" w:firstLine="482"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b/>
                <w:bCs/>
                <w:color w:val="auto"/>
                <w:sz w:val="24"/>
                <w:szCs w:val="32"/>
                <w:highlight w:val="none"/>
              </w:rPr>
              <w:t>本项目</w:t>
            </w:r>
            <w:r>
              <w:rPr>
                <w:rFonts w:hint="default" w:ascii="Times New Roman" w:hAnsi="Times New Roman" w:eastAsia="宋体" w:cs="Times New Roman"/>
                <w:color w:val="auto"/>
                <w:sz w:val="24"/>
                <w:szCs w:val="32"/>
                <w:highlight w:val="none"/>
              </w:rPr>
              <w:t>产</w:t>
            </w:r>
            <w:r>
              <w:rPr>
                <w:rFonts w:hint="default" w:ascii="Times New Roman" w:hAnsi="Times New Roman" w:eastAsia="宋体" w:cs="Times New Roman"/>
                <w:color w:val="auto"/>
                <w:sz w:val="24"/>
                <w:szCs w:val="32"/>
                <w:highlight w:val="none"/>
                <w:lang w:eastAsia="zh-CN"/>
              </w:rPr>
              <w:t>生的</w:t>
            </w:r>
            <w:r>
              <w:rPr>
                <w:rFonts w:hint="default" w:ascii="Times New Roman" w:hAnsi="Times New Roman" w:eastAsia="宋体" w:cs="Times New Roman"/>
                <w:color w:val="auto"/>
                <w:sz w:val="24"/>
                <w:szCs w:val="32"/>
                <w:highlight w:val="none"/>
              </w:rPr>
              <w:t>危险废物将委托有资质单位进行转运及处置。</w:t>
            </w:r>
          </w:p>
          <w:p w14:paraId="5F04D15F">
            <w:pPr>
              <w:keepNext w:val="0"/>
              <w:keepLines w:val="0"/>
              <w:suppressLineNumbers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⑤完善市、县级市（区）两级环境应急指挥体系，健全跨区域、跨部门突发生态环境事件联防联控机制。学习推广</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南阳实践</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经验，落实苏州市突发水污染事件应急防范体系建设实施方案，建成河流突发水污染事件应急防范体系和重点园区</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三级防控</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体系。强化区域环境风险防范，督促涉危涉重企业、化工园区等重点领域完善环境风险调查评估，常态化推进环境风险企业隐患排查。评估区域环境应急物资调集使用水平，建立园区及企业代储、第三方服务支持、物资生产企业保障的多形式储备共享体系，不断提高突发环境事件应急处置水平。</w:t>
            </w:r>
          </w:p>
          <w:p w14:paraId="05EEE273">
            <w:pPr>
              <w:keepNext w:val="0"/>
              <w:keepLines w:val="0"/>
              <w:suppressLineNumbers w:val="0"/>
              <w:adjustRightInd/>
              <w:snapToGrid/>
              <w:spacing w:before="0" w:beforeAutospacing="0" w:after="0" w:afterAutospacing="0" w:line="360" w:lineRule="auto"/>
              <w:ind w:left="0" w:right="0" w:firstLine="482"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b/>
                <w:bCs/>
                <w:color w:val="auto"/>
                <w:sz w:val="24"/>
                <w:szCs w:val="32"/>
                <w:highlight w:val="none"/>
              </w:rPr>
              <w:t>本项目</w:t>
            </w:r>
            <w:r>
              <w:rPr>
                <w:rFonts w:hint="default" w:ascii="Times New Roman" w:hAnsi="Times New Roman" w:eastAsia="宋体" w:cs="Times New Roman"/>
                <w:color w:val="auto"/>
                <w:sz w:val="24"/>
                <w:szCs w:val="32"/>
                <w:highlight w:val="none"/>
              </w:rPr>
              <w:t>基础的应急物资已配备，在取得环评批文后依法对应急预案进行</w:t>
            </w:r>
            <w:r>
              <w:rPr>
                <w:rFonts w:hint="eastAsia" w:cs="Times New Roman"/>
                <w:color w:val="auto"/>
                <w:sz w:val="24"/>
                <w:szCs w:val="32"/>
                <w:highlight w:val="none"/>
                <w:lang w:val="en-US" w:eastAsia="zh-CN"/>
              </w:rPr>
              <w:t>编制</w:t>
            </w:r>
            <w:r>
              <w:rPr>
                <w:rFonts w:hint="default" w:ascii="Times New Roman" w:hAnsi="Times New Roman" w:eastAsia="宋体" w:cs="Times New Roman"/>
                <w:color w:val="auto"/>
                <w:sz w:val="24"/>
                <w:szCs w:val="32"/>
                <w:highlight w:val="none"/>
              </w:rPr>
              <w:t>，完善相关应急措施，查漏补缺，提升应急能力。</w:t>
            </w:r>
          </w:p>
          <w:p w14:paraId="6AF8115A">
            <w:pPr>
              <w:keepNext w:val="0"/>
              <w:keepLines w:val="0"/>
              <w:suppressLineNumbers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⑥实施噪声污染防治行动，各地按要求开展声环境功能区评估调整，强化声环境功能区管理。合理规划交通干线走向及沿线噪声敏感点布局，划定噪声防护距离，加强交通运输噪声污染防控。强化夜间施工噪声管控，加强文化娱乐、商业经营噪声监管和集中治理，营造宁静休息空间。到2025年，城市建成区全面实现功能区声环境质量自动监测，夜间达标率达到省下达目标要求。</w:t>
            </w:r>
          </w:p>
          <w:p w14:paraId="2D1BD2FF">
            <w:pPr>
              <w:keepNext w:val="0"/>
              <w:keepLines w:val="0"/>
              <w:suppressLineNumbers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lang w:eastAsia="zh-CN"/>
              </w:rPr>
            </w:pPr>
            <w:r>
              <w:rPr>
                <w:rFonts w:hint="default" w:ascii="Times New Roman" w:hAnsi="Times New Roman" w:eastAsia="宋体" w:cs="Times New Roman"/>
                <w:color w:val="auto"/>
                <w:sz w:val="24"/>
                <w:szCs w:val="32"/>
                <w:highlight w:val="none"/>
              </w:rPr>
              <w:t>根据《202</w:t>
            </w:r>
            <w:r>
              <w:rPr>
                <w:rFonts w:hint="eastAsia" w:cs="Times New Roman"/>
                <w:color w:val="auto"/>
                <w:sz w:val="24"/>
                <w:szCs w:val="32"/>
                <w:highlight w:val="none"/>
                <w:lang w:val="en-US" w:eastAsia="zh-CN"/>
              </w:rPr>
              <w:t>5</w:t>
            </w:r>
            <w:r>
              <w:rPr>
                <w:rFonts w:hint="default" w:ascii="Times New Roman" w:hAnsi="Times New Roman" w:eastAsia="宋体" w:cs="Times New Roman"/>
                <w:color w:val="auto"/>
                <w:sz w:val="24"/>
                <w:szCs w:val="32"/>
                <w:highlight w:val="none"/>
              </w:rPr>
              <w:t>年度苏州市生态环境状况》，本项目所在区域声环境总体水平等级为</w:t>
            </w:r>
            <w:r>
              <w:rPr>
                <w:rFonts w:hint="default" w:ascii="Times New Roman" w:hAnsi="Times New Roman" w:eastAsia="宋体" w:cs="Times New Roman"/>
                <w:color w:val="auto"/>
                <w:sz w:val="24"/>
                <w:szCs w:val="32"/>
                <w:highlight w:val="none"/>
                <w:lang w:val="en-US" w:eastAsia="zh-CN"/>
              </w:rPr>
              <w:t>二</w:t>
            </w:r>
            <w:r>
              <w:rPr>
                <w:rFonts w:hint="default" w:ascii="Times New Roman" w:hAnsi="Times New Roman" w:eastAsia="宋体" w:cs="Times New Roman"/>
                <w:color w:val="auto"/>
                <w:sz w:val="24"/>
                <w:szCs w:val="32"/>
                <w:highlight w:val="none"/>
              </w:rPr>
              <w:t>级，本项目建成后不改变现状</w:t>
            </w:r>
            <w:r>
              <w:rPr>
                <w:rFonts w:hint="default" w:ascii="Times New Roman" w:hAnsi="Times New Roman" w:eastAsia="宋体" w:cs="Times New Roman"/>
                <w:color w:val="auto"/>
                <w:sz w:val="24"/>
                <w:szCs w:val="32"/>
                <w:highlight w:val="none"/>
                <w:lang w:eastAsia="zh-CN"/>
              </w:rPr>
              <w:t>。</w:t>
            </w:r>
          </w:p>
          <w:p w14:paraId="6DF7E5FD">
            <w:pPr>
              <w:keepNext w:val="0"/>
              <w:keepLines w:val="0"/>
              <w:suppressLineNumbers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color w:val="auto"/>
                <w:sz w:val="24"/>
                <w:szCs w:val="32"/>
                <w:highlight w:val="none"/>
              </w:rPr>
              <w:t>⑦全面推行排污许可</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一证式</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管理</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强化排污许可证后监管，组织开展排污许可证后管理专项检查，加强对排放污染物种类、许可排放浓度、主要污染物年许可排放量、自行监测、执行报告和台账记录等方面的监督管理，督促排污单位依证履行主体责任。将排污许可证作为生态环境执法监管的主要依据，加大对无证排污、未按证排污等违法违规行为的查处力度。对偷排偷放、自行监测数据弄虚作假和故意不正常运行污染防治设施等恶意违法行为，综合运用停产整治、按日连续处罚、吊销排污许可证等手段依法严惩重罚。情节严重的，报经有批准权的人民政府批准，责令停业、关闭。构成犯罪的，依法追究刑事责任。加大典型违法案件公开曝光力度，形成强大震慑。加快构建立体、垂直、精准、规范、高效的现代化生态环境执法体系。建立全市生态环境指挥调度体系，执行江苏省环境指挥调度中心的调度指令。健全信息共享、案情互通、案件移送制度，加大环境污染刑事案件办理力度。加强行政执法与刑事司法衔接，建立联合办案模式。完善生态环境现场执法监管方式，制度化落实</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双随机、一公开</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执法检查和差异化监管措施，开展跨部门联合</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双随机</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执法监管，综合运用污染源自动监控、用电监控、视频监控等系统开展</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非现场执法监管</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，提升环境监管科学化、精准化水平，提高执法监管效能。探索以政府购买方式委托第三方开展相关辅助服务。</w:t>
            </w:r>
          </w:p>
          <w:p w14:paraId="424C6C1E">
            <w:pPr>
              <w:keepNext w:val="0"/>
              <w:keepLines w:val="0"/>
              <w:suppressLineNumbers w:val="0"/>
              <w:adjustRightInd/>
              <w:snapToGrid/>
              <w:spacing w:before="0" w:beforeAutospacing="0" w:after="0" w:afterAutospacing="0" w:line="360" w:lineRule="auto"/>
              <w:ind w:left="0" w:right="0" w:firstLine="482" w:firstLineChars="200"/>
              <w:rPr>
                <w:rFonts w:hint="default" w:ascii="Times New Roman" w:hAnsi="Times New Roman" w:eastAsia="宋体" w:cs="Times New Roman"/>
                <w:color w:val="auto"/>
                <w:sz w:val="24"/>
                <w:szCs w:val="32"/>
                <w:highlight w:val="none"/>
              </w:rPr>
            </w:pPr>
            <w:r>
              <w:rPr>
                <w:rFonts w:hint="default" w:ascii="Times New Roman" w:hAnsi="Times New Roman" w:eastAsia="宋体" w:cs="Times New Roman"/>
                <w:b/>
                <w:bCs/>
                <w:color w:val="auto"/>
                <w:sz w:val="24"/>
                <w:szCs w:val="32"/>
                <w:highlight w:val="none"/>
              </w:rPr>
              <w:t>本项目</w:t>
            </w:r>
            <w:r>
              <w:rPr>
                <w:rFonts w:hint="default" w:ascii="Times New Roman" w:hAnsi="Times New Roman" w:eastAsia="宋体" w:cs="Times New Roman"/>
                <w:color w:val="auto"/>
                <w:sz w:val="24"/>
                <w:szCs w:val="32"/>
                <w:highlight w:val="none"/>
              </w:rPr>
              <w:t>在取得环评批文后会依照要求开展排污许可申报工作。</w:t>
            </w:r>
          </w:p>
          <w:p w14:paraId="33570774">
            <w:pPr>
              <w:numPr>
                <w:ilvl w:val="0"/>
                <w:numId w:val="0"/>
              </w:numPr>
              <w:spacing w:line="360" w:lineRule="auto"/>
              <w:ind w:firstLine="480" w:firstLineChars="200"/>
              <w:rPr>
                <w:rFonts w:ascii="Times New Roman" w:cs="Times New Roman"/>
                <w:bCs/>
                <w:color w:val="auto"/>
                <w:sz w:val="21"/>
                <w:szCs w:val="21"/>
                <w:highlight w:val="none"/>
              </w:rPr>
            </w:pPr>
            <w:r>
              <w:rPr>
                <w:rFonts w:hint="default" w:ascii="Times New Roman" w:hAnsi="Times New Roman" w:eastAsia="宋体" w:cs="Times New Roman"/>
                <w:color w:val="auto"/>
                <w:sz w:val="24"/>
                <w:szCs w:val="32"/>
                <w:highlight w:val="none"/>
              </w:rPr>
              <w:t>综上，本项目符合《关于深入打好污染防治攻坚战的工作方案》（苏委发〔2022〕33号）相关要求</w:t>
            </w:r>
            <w:r>
              <w:rPr>
                <w:rFonts w:hint="default" w:ascii="Times New Roman" w:hAnsi="Times New Roman" w:eastAsia="宋体" w:cs="Times New Roman"/>
                <w:color w:val="auto"/>
                <w:sz w:val="24"/>
                <w:szCs w:val="32"/>
                <w:highlight w:val="none"/>
                <w:lang w:eastAsia="zh-CN"/>
              </w:rPr>
              <w:t>。</w:t>
            </w:r>
          </w:p>
        </w:tc>
      </w:tr>
    </w:tbl>
    <w:p w14:paraId="1B42BB76">
      <w:pPr>
        <w:spacing w:line="360" w:lineRule="auto"/>
        <w:outlineLvl w:val="0"/>
        <w:rPr>
          <w:color w:val="auto"/>
          <w:sz w:val="30"/>
          <w:highlight w:val="none"/>
        </w:rPr>
        <w:sectPr>
          <w:footerReference r:id="rId5" w:type="default"/>
          <w:pgSz w:w="11906" w:h="16838"/>
          <w:pgMar w:top="1440" w:right="1080" w:bottom="1440" w:left="1080" w:header="851" w:footer="1077" w:gutter="0"/>
          <w:pgBorders>
            <w:top w:val="none" w:sz="0" w:space="0"/>
            <w:left w:val="none" w:sz="0" w:space="0"/>
            <w:bottom w:val="none" w:sz="0" w:space="0"/>
            <w:right w:val="none" w:sz="0" w:space="0"/>
          </w:pgBorders>
          <w:pgNumType w:start="1"/>
          <w:cols w:space="720" w:num="1"/>
          <w:docGrid w:linePitch="312" w:charSpace="0"/>
        </w:sectPr>
      </w:pPr>
    </w:p>
    <w:p w14:paraId="0411A14C">
      <w:pPr>
        <w:pStyle w:val="19"/>
        <w:spacing w:before="0" w:beforeAutospacing="0" w:after="0" w:afterAutospacing="0" w:line="360" w:lineRule="auto"/>
        <w:jc w:val="center"/>
        <w:outlineLvl w:val="0"/>
        <w:rPr>
          <w:rFonts w:ascii="黑体" w:hAnsi="黑体" w:eastAsia="黑体"/>
          <w:snapToGrid w:val="0"/>
          <w:color w:val="auto"/>
          <w:sz w:val="30"/>
          <w:szCs w:val="30"/>
          <w:highlight w:val="none"/>
        </w:rPr>
      </w:pPr>
      <w:bookmarkStart w:id="6" w:name="_Toc10731"/>
      <w:bookmarkStart w:id="7" w:name="_Toc29637"/>
      <w:r>
        <w:rPr>
          <w:rFonts w:ascii="黑体" w:hAnsi="黑体" w:eastAsia="黑体"/>
          <w:snapToGrid w:val="0"/>
          <w:color w:val="auto"/>
          <w:sz w:val="30"/>
          <w:szCs w:val="30"/>
          <w:highlight w:val="none"/>
        </w:rPr>
        <w:t>二、建设项目工程分析</w:t>
      </w:r>
      <w:bookmarkEnd w:id="6"/>
      <w:bookmarkEnd w:id="7"/>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9507"/>
      </w:tblGrid>
      <w:tr w14:paraId="204DB1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216" w:hRule="atLeast"/>
          <w:jc w:val="center"/>
        </w:trPr>
        <w:tc>
          <w:tcPr>
            <w:tcW w:w="228" w:type="pct"/>
            <w:vAlign w:val="center"/>
          </w:tcPr>
          <w:p w14:paraId="1D952E6A">
            <w:pPr>
              <w:pStyle w:val="19"/>
              <w:adjustRightInd w:val="0"/>
              <w:snapToGrid w:val="0"/>
              <w:spacing w:before="0" w:beforeAutospacing="0" w:after="0" w:afterAutospacing="0"/>
              <w:jc w:val="center"/>
              <w:rPr>
                <w:rFonts w:ascii="Times New Roman" w:hAnsi="Times New Roman"/>
                <w:color w:val="auto"/>
                <w:sz w:val="21"/>
                <w:szCs w:val="21"/>
                <w:highlight w:val="none"/>
              </w:rPr>
            </w:pPr>
            <w:r>
              <w:rPr>
                <w:rFonts w:ascii="Times New Roman" w:hAnsi="Times New Roman"/>
                <w:color w:val="auto"/>
                <w:sz w:val="24"/>
                <w:szCs w:val="24"/>
                <w:highlight w:val="none"/>
              </w:rPr>
              <w:t>建设内容</w:t>
            </w:r>
          </w:p>
        </w:tc>
        <w:tc>
          <w:tcPr>
            <w:tcW w:w="4771" w:type="pct"/>
          </w:tcPr>
          <w:p w14:paraId="053573F9">
            <w:pPr>
              <w:adjustRightInd w:val="0"/>
              <w:snapToGrid w:val="0"/>
              <w:spacing w:line="360" w:lineRule="auto"/>
              <w:jc w:val="left"/>
              <w:rPr>
                <w:b/>
                <w:color w:val="auto"/>
                <w:sz w:val="24"/>
                <w:szCs w:val="24"/>
                <w:highlight w:val="none"/>
              </w:rPr>
            </w:pPr>
            <w:r>
              <w:rPr>
                <w:rFonts w:hint="eastAsia"/>
                <w:b/>
                <w:color w:val="auto"/>
                <w:sz w:val="24"/>
                <w:szCs w:val="24"/>
                <w:highlight w:val="none"/>
                <w:lang w:val="en-US" w:eastAsia="zh-CN"/>
              </w:rPr>
              <w:t>1、</w:t>
            </w:r>
            <w:r>
              <w:rPr>
                <w:b/>
                <w:color w:val="auto"/>
                <w:sz w:val="24"/>
                <w:szCs w:val="24"/>
                <w:highlight w:val="none"/>
              </w:rPr>
              <w:t>项目由来</w:t>
            </w:r>
          </w:p>
          <w:p w14:paraId="05C985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联佳科技</w:t>
            </w:r>
            <w:r>
              <w:rPr>
                <w:rFonts w:hint="eastAsia" w:cs="Times New Roman"/>
                <w:bCs/>
                <w:color w:val="auto"/>
                <w:sz w:val="24"/>
                <w:szCs w:val="24"/>
                <w:highlight w:val="none"/>
                <w:lang w:val="en-US" w:eastAsia="zh-CN"/>
              </w:rPr>
              <w:t>（</w:t>
            </w:r>
            <w:r>
              <w:rPr>
                <w:rFonts w:hint="eastAsia" w:ascii="Times New Roman" w:hAnsi="Times New Roman" w:eastAsia="宋体" w:cs="Times New Roman"/>
                <w:bCs/>
                <w:color w:val="auto"/>
                <w:sz w:val="24"/>
                <w:szCs w:val="24"/>
                <w:highlight w:val="none"/>
                <w:lang w:val="en-US" w:eastAsia="zh-CN"/>
              </w:rPr>
              <w:t>苏州</w:t>
            </w:r>
            <w:r>
              <w:rPr>
                <w:rFonts w:hint="eastAsia" w:cs="Times New Roman"/>
                <w:bCs/>
                <w:color w:val="auto"/>
                <w:sz w:val="24"/>
                <w:szCs w:val="24"/>
                <w:highlight w:val="none"/>
                <w:lang w:val="en-US" w:eastAsia="zh-CN"/>
              </w:rPr>
              <w:t>）股份</w:t>
            </w:r>
            <w:r>
              <w:rPr>
                <w:rFonts w:hint="eastAsia" w:ascii="Times New Roman" w:hAnsi="Times New Roman" w:eastAsia="宋体" w:cs="Times New Roman"/>
                <w:bCs/>
                <w:color w:val="auto"/>
                <w:sz w:val="24"/>
                <w:szCs w:val="24"/>
                <w:highlight w:val="none"/>
                <w:lang w:val="en-US" w:eastAsia="zh-CN"/>
              </w:rPr>
              <w:t>有限公司</w:t>
            </w:r>
            <w:r>
              <w:rPr>
                <w:rFonts w:hint="eastAsia" w:cs="Times New Roman"/>
                <w:bCs/>
                <w:color w:val="auto"/>
                <w:sz w:val="24"/>
                <w:szCs w:val="24"/>
                <w:highlight w:val="none"/>
                <w:lang w:val="en-US" w:eastAsia="zh-CN"/>
              </w:rPr>
              <w:t>（曾用名：联佳科技（苏州）有限公司，苏州市联佳精密机械有限公司）</w:t>
            </w:r>
            <w:r>
              <w:rPr>
                <w:rFonts w:hint="eastAsia" w:ascii="Times New Roman" w:hAnsi="Times New Roman" w:eastAsia="宋体" w:cs="Times New Roman"/>
                <w:bCs/>
                <w:color w:val="auto"/>
                <w:sz w:val="24"/>
                <w:szCs w:val="24"/>
                <w:highlight w:val="none"/>
                <w:lang w:val="en-US" w:eastAsia="zh-CN"/>
              </w:rPr>
              <w:t>创立于2004年，</w:t>
            </w:r>
            <w:r>
              <w:rPr>
                <w:rFonts w:hint="eastAsia" w:cs="Times New Roman"/>
                <w:bCs/>
                <w:color w:val="auto"/>
                <w:sz w:val="24"/>
                <w:szCs w:val="24"/>
                <w:highlight w:val="none"/>
                <w:lang w:val="en-US" w:eastAsia="zh-CN"/>
              </w:rPr>
              <w:t>注册地位于</w:t>
            </w:r>
            <w:r>
              <w:rPr>
                <w:rFonts w:hint="eastAsia" w:ascii="Times New Roman" w:hAnsi="Times New Roman" w:eastAsia="宋体" w:cs="Times New Roman"/>
                <w:bCs/>
                <w:color w:val="auto"/>
                <w:sz w:val="24"/>
                <w:szCs w:val="24"/>
                <w:highlight w:val="none"/>
                <w:lang w:val="en-US" w:eastAsia="zh-CN"/>
              </w:rPr>
              <w:t>江苏省苏州市漕湖街道由巷路3号，经营范围包括许可项目：民用航空器零部件设计和生产；民用航空器（发动机、螺旋桨）生产（依法须经批准的项目，经相关部门批准后方可开展经营活动，具体经营项目以审批结果为准）一般项目：技术服务、技术开发、技术咨询、技术交流、技术转让、技术推广；智能无人飞行器制造；半导体器件专用设备制造；第一类医疗器械生产；汽车零部件及配件制造；高性能纤维及复合材料制造；金属结构制造；机械零件、零部件加工；金属表面处理及热处理加工；半导体器件专用设备销售；第一类医疗器械销售；高性能纤维及复合材料销售；合成材料销售；金属结构销售；机械零件、零部件销售；货物进出口；技术进出口；进出口代理（除依法须经批准的项目外，凭营业执照依法自主开展经营活动）</w:t>
            </w:r>
            <w:r>
              <w:rPr>
                <w:rFonts w:hint="eastAsia" w:cs="Times New Roman"/>
                <w:bCs/>
                <w:color w:val="auto"/>
                <w:sz w:val="24"/>
                <w:szCs w:val="24"/>
                <w:highlight w:val="none"/>
                <w:lang w:val="en-US" w:eastAsia="zh-CN"/>
              </w:rPr>
              <w:t>。</w:t>
            </w:r>
          </w:p>
          <w:p w14:paraId="5D3C12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bCs/>
                <w:color w:val="auto"/>
                <w:kern w:val="2"/>
                <w:sz w:val="24"/>
                <w:szCs w:val="24"/>
                <w:highlight w:val="none"/>
                <w:lang w:val="en-US" w:eastAsia="zh-CN" w:bidi="ar"/>
              </w:rPr>
              <w:t>联佳科技（苏州）股份有限公司一共申报1个项目，即</w:t>
            </w:r>
            <w:r>
              <w:rPr>
                <w:rFonts w:hint="eastAsia" w:ascii="Times New Roman" w:hAnsi="Times New Roman" w:eastAsia="宋体" w:cs="Times New Roman"/>
                <w:bCs/>
                <w:color w:val="auto"/>
                <w:kern w:val="2"/>
                <w:sz w:val="24"/>
                <w:szCs w:val="24"/>
                <w:highlight w:val="none"/>
                <w:lang w:val="en-US" w:eastAsia="zh-CN" w:bidi="ar"/>
              </w:rPr>
              <w:t>《苏州市联佳精密机械有限公司航空航天精密零部件生产新建项目》</w:t>
            </w:r>
            <w:r>
              <w:rPr>
                <w:rFonts w:hint="eastAsia" w:cs="Times New Roman"/>
                <w:bCs/>
                <w:color w:val="auto"/>
                <w:kern w:val="2"/>
                <w:sz w:val="24"/>
                <w:szCs w:val="24"/>
                <w:highlight w:val="none"/>
                <w:lang w:val="en-US" w:eastAsia="zh-CN" w:bidi="ar"/>
              </w:rPr>
              <w:t>，该项目于2024年6月27日取得苏州相城经济技术开发区管理委员会的批复（相开环建</w:t>
            </w:r>
            <w:r>
              <w:rPr>
                <w:rFonts w:hint="eastAsia" w:ascii="Times New Roman" w:hAnsi="Times New Roman" w:eastAsia="宋体" w:cs="Times New Roman"/>
                <w:bCs/>
                <w:color w:val="auto"/>
                <w:kern w:val="2"/>
                <w:sz w:val="24"/>
                <w:szCs w:val="24"/>
                <w:highlight w:val="none"/>
                <w:lang w:val="en-US" w:eastAsia="zh-CN" w:bidi="ar"/>
              </w:rPr>
              <w:t>〔2024〕</w:t>
            </w:r>
            <w:r>
              <w:rPr>
                <w:rFonts w:hint="eastAsia" w:cs="Times New Roman"/>
                <w:bCs/>
                <w:color w:val="auto"/>
                <w:kern w:val="2"/>
                <w:sz w:val="24"/>
                <w:szCs w:val="24"/>
                <w:highlight w:val="none"/>
                <w:lang w:val="en-US" w:eastAsia="zh-CN" w:bidi="ar"/>
              </w:rPr>
              <w:t>第2001号）</w:t>
            </w:r>
            <w:r>
              <w:rPr>
                <w:rFonts w:hint="eastAsia" w:ascii="Times New Roman" w:hAnsi="Times New Roman" w:eastAsia="宋体" w:cs="Times New Roman"/>
                <w:bCs/>
                <w:color w:val="auto"/>
                <w:kern w:val="2"/>
                <w:sz w:val="24"/>
                <w:szCs w:val="24"/>
                <w:highlight w:val="none"/>
                <w:lang w:val="en-US" w:eastAsia="zh-CN" w:bidi="ar"/>
              </w:rPr>
              <w:t>，</w:t>
            </w:r>
            <w:r>
              <w:rPr>
                <w:rFonts w:hint="eastAsia"/>
                <w:bCs/>
                <w:color w:val="auto"/>
                <w:sz w:val="24"/>
                <w:highlight w:val="none"/>
                <w:lang w:val="en-US" w:eastAsia="zh-CN" w:bidi="ar"/>
              </w:rPr>
              <w:t>于2025年4月24日完成自主竣工环保验收，建设地点为</w:t>
            </w:r>
            <w:r>
              <w:rPr>
                <w:rFonts w:hint="eastAsia" w:ascii="Times New Roman" w:hAnsi="Times New Roman" w:eastAsia="宋体" w:cs="Times New Roman"/>
                <w:bCs/>
                <w:color w:val="auto"/>
                <w:sz w:val="24"/>
                <w:szCs w:val="24"/>
                <w:highlight w:val="none"/>
                <w:lang w:val="en-US" w:eastAsia="zh-CN"/>
              </w:rPr>
              <w:t>苏州市漕湖街道由巷路3号</w:t>
            </w:r>
            <w:r>
              <w:rPr>
                <w:rFonts w:hint="eastAsia" w:cs="Times New Roman"/>
                <w:bCs/>
                <w:color w:val="auto"/>
                <w:sz w:val="24"/>
                <w:szCs w:val="24"/>
                <w:highlight w:val="none"/>
                <w:lang w:val="en-US" w:eastAsia="zh-CN"/>
              </w:rPr>
              <w:t>，</w:t>
            </w:r>
            <w:r>
              <w:rPr>
                <w:rFonts w:hint="eastAsia"/>
                <w:bCs/>
                <w:color w:val="auto"/>
                <w:sz w:val="24"/>
                <w:highlight w:val="none"/>
                <w:lang w:val="en-US" w:eastAsia="zh-CN" w:bidi="ar"/>
              </w:rPr>
              <w:t>目前正常生产。</w:t>
            </w:r>
          </w:p>
          <w:p w14:paraId="173F3C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bCs/>
                <w:color w:val="auto"/>
                <w:sz w:val="24"/>
                <w:highlight w:val="none"/>
                <w:lang w:val="en-US" w:eastAsia="zh-CN"/>
              </w:rPr>
            </w:pPr>
            <w:r>
              <w:rPr>
                <w:rFonts w:hint="eastAsia"/>
                <w:bCs/>
                <w:color w:val="auto"/>
                <w:sz w:val="24"/>
                <w:highlight w:val="none"/>
                <w:lang w:val="en-US" w:eastAsia="zh-CN"/>
              </w:rPr>
              <w:t>为了适应市场需求，公司新租赁苏州易相精密机械有限公司所属位于苏州市漕湖街道永昌路28号A栋11单元进行改扩建，租赁建筑面积约4738.27平方米，用于生产航空航天精密零部件和其他精密零部件。项目预计新购置立式加工中心、高精度数控机床等智能数控设备约80台（套）。项目已取建得苏州工业园区行政审批局备案，</w:t>
            </w:r>
            <w:r>
              <w:rPr>
                <w:rFonts w:hint="eastAsia"/>
                <w:bCs/>
                <w:color w:val="auto"/>
                <w:sz w:val="24"/>
                <w:highlight w:val="none"/>
                <w:lang w:val="en-US" w:eastAsia="zh-CN"/>
              </w:rPr>
              <w:t>备案证号：苏园行审技备〔2026〕268号，</w:t>
            </w:r>
            <w:r>
              <w:rPr>
                <w:rFonts w:hint="eastAsia"/>
                <w:bCs/>
                <w:color w:val="auto"/>
                <w:sz w:val="24"/>
                <w:highlight w:val="none"/>
                <w:lang w:val="en-US" w:eastAsia="zh-CN"/>
              </w:rPr>
              <w:t>项目代设码为2607-320571-89-02-850912，建设完成后，新增航空航天精密零部件100万件/a，其他精密零部件10万件/年。</w:t>
            </w:r>
          </w:p>
          <w:p w14:paraId="381AF1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bCs/>
                <w:color w:val="auto"/>
                <w:sz w:val="24"/>
                <w:highlight w:val="none"/>
                <w:lang w:val="en-US" w:eastAsia="zh-CN"/>
              </w:rPr>
            </w:pPr>
            <w:r>
              <w:rPr>
                <w:rFonts w:hint="default"/>
                <w:bCs/>
                <w:color w:val="auto"/>
                <w:sz w:val="24"/>
                <w:highlight w:val="none"/>
                <w:lang w:val="en-US" w:eastAsia="zh-CN"/>
              </w:rPr>
              <w:t>本项目建设均</w:t>
            </w:r>
            <w:r>
              <w:rPr>
                <w:rFonts w:hint="eastAsia"/>
                <w:bCs/>
                <w:color w:val="auto"/>
                <w:sz w:val="24"/>
                <w:highlight w:val="none"/>
                <w:lang w:val="en-US" w:eastAsia="zh-CN"/>
              </w:rPr>
              <w:t>在</w:t>
            </w:r>
            <w:r>
              <w:rPr>
                <w:rFonts w:hint="default"/>
                <w:bCs/>
                <w:color w:val="auto"/>
                <w:sz w:val="24"/>
                <w:highlight w:val="none"/>
                <w:lang w:val="en-US" w:eastAsia="zh-CN"/>
              </w:rPr>
              <w:t>新厂区实施，与原有厂区完全无依托。同时原有厂区生产内容、生产工艺、原料、设备及人员等均不变，故原有项目产排污情况不变，因此两个项目为独立的项目</w:t>
            </w:r>
            <w:r>
              <w:rPr>
                <w:rFonts w:hint="eastAsia"/>
                <w:bCs/>
                <w:color w:val="auto"/>
                <w:sz w:val="24"/>
                <w:highlight w:val="none"/>
                <w:lang w:val="en-US" w:eastAsia="zh-CN"/>
              </w:rPr>
              <w:t>。</w:t>
            </w:r>
          </w:p>
          <w:p w14:paraId="7D0F74EC">
            <w:pPr>
              <w:adjustRightInd w:val="0"/>
              <w:snapToGrid w:val="0"/>
              <w:spacing w:line="360" w:lineRule="auto"/>
              <w:ind w:firstLine="480" w:firstLineChars="200"/>
              <w:rPr>
                <w:bCs/>
                <w:color w:val="auto"/>
                <w:sz w:val="24"/>
                <w:szCs w:val="24"/>
                <w:highlight w:val="none"/>
              </w:rPr>
            </w:pPr>
            <w:r>
              <w:rPr>
                <w:rFonts w:hint="default"/>
                <w:bCs/>
                <w:color w:val="auto"/>
                <w:sz w:val="24"/>
                <w:szCs w:val="24"/>
                <w:highlight w:val="none"/>
                <w:lang w:val="en-US" w:eastAsia="zh-CN"/>
              </w:rPr>
              <w:t>依据《国民经济行业分类》（GB/T4754-2017）及国家统计局《关于执行国民经济行业分类第1号修改单的通知》（国统字〔2019〕66号），项目属于</w:t>
            </w:r>
            <w:r>
              <w:rPr>
                <w:rFonts w:hint="eastAsia"/>
                <w:bCs/>
                <w:color w:val="auto"/>
                <w:sz w:val="24"/>
                <w:szCs w:val="24"/>
                <w:highlight w:val="none"/>
                <w:lang w:val="en-US" w:eastAsia="zh-CN"/>
              </w:rPr>
              <w:t>“</w:t>
            </w:r>
            <w:r>
              <w:rPr>
                <w:rFonts w:hint="eastAsia"/>
                <w:color w:val="auto"/>
                <w:sz w:val="24"/>
                <w:szCs w:val="24"/>
                <w:highlight w:val="none"/>
                <w:lang w:eastAsia="zh-CN"/>
              </w:rPr>
              <w:t>C33</w:t>
            </w:r>
            <w:r>
              <w:rPr>
                <w:rFonts w:hint="eastAsia"/>
                <w:color w:val="auto"/>
                <w:sz w:val="24"/>
                <w:szCs w:val="24"/>
                <w:highlight w:val="none"/>
                <w:lang w:val="en-US" w:eastAsia="zh-CN"/>
              </w:rPr>
              <w:t>11金属结构</w:t>
            </w:r>
            <w:r>
              <w:rPr>
                <w:rFonts w:hint="eastAsia"/>
                <w:color w:val="auto"/>
                <w:sz w:val="24"/>
                <w:szCs w:val="24"/>
                <w:highlight w:val="none"/>
                <w:lang w:eastAsia="zh-CN"/>
              </w:rPr>
              <w:t>制造、</w:t>
            </w:r>
            <w:r>
              <w:rPr>
                <w:rFonts w:hint="eastAsia"/>
                <w:color w:val="auto"/>
                <w:sz w:val="24"/>
                <w:szCs w:val="24"/>
                <w:highlight w:val="none"/>
                <w:lang w:val="en-US" w:eastAsia="zh-CN"/>
              </w:rPr>
              <w:t>C3741飞机制造</w:t>
            </w:r>
            <w:r>
              <w:rPr>
                <w:rFonts w:hint="eastAsia"/>
                <w:bCs/>
                <w:color w:val="auto"/>
                <w:sz w:val="24"/>
                <w:szCs w:val="24"/>
                <w:highlight w:val="none"/>
                <w:lang w:val="en-US" w:eastAsia="zh-CN"/>
              </w:rPr>
              <w:t>”</w:t>
            </w:r>
            <w:r>
              <w:rPr>
                <w:rFonts w:hint="default"/>
                <w:bCs/>
                <w:color w:val="auto"/>
                <w:sz w:val="24"/>
                <w:szCs w:val="24"/>
                <w:highlight w:val="none"/>
                <w:lang w:val="en-US" w:eastAsia="zh-CN"/>
              </w:rPr>
              <w:t>；根据《建设项目环境影响评价分类管理名录》（2021年版），本项目属于</w:t>
            </w:r>
            <w:r>
              <w:rPr>
                <w:rFonts w:hint="eastAsia"/>
                <w:bCs/>
                <w:color w:val="auto"/>
                <w:sz w:val="24"/>
                <w:szCs w:val="24"/>
                <w:highlight w:val="none"/>
                <w:lang w:val="en-US" w:eastAsia="zh-CN"/>
              </w:rPr>
              <w:t>“三十、金属制品业33 66结构性金属制品制造331”和“三十四、铁路、船舶、航空航天和其他运输设备制造业37 74航空、航天器及设备制造374“其他（年用非溶剂型低VOCs含量涂料10吨以下的除外）”</w:t>
            </w:r>
            <w:r>
              <w:rPr>
                <w:rFonts w:hint="default"/>
                <w:bCs/>
                <w:color w:val="auto"/>
                <w:sz w:val="24"/>
                <w:szCs w:val="24"/>
                <w:highlight w:val="none"/>
                <w:lang w:val="en-US" w:eastAsia="zh-CN"/>
              </w:rPr>
              <w:t>，因此，本项目需编制环境影响报告表</w:t>
            </w:r>
            <w:r>
              <w:rPr>
                <w:rFonts w:hint="eastAsia"/>
                <w:bCs/>
                <w:color w:val="auto"/>
                <w:sz w:val="24"/>
                <w:szCs w:val="24"/>
                <w:highlight w:val="none"/>
                <w:lang w:val="en-US" w:eastAsia="zh-CN"/>
              </w:rPr>
              <w:t>。</w:t>
            </w:r>
          </w:p>
          <w:p w14:paraId="194C08E6">
            <w:pPr>
              <w:adjustRightInd w:val="0"/>
              <w:snapToGrid w:val="0"/>
              <w:spacing w:line="360" w:lineRule="auto"/>
              <w:jc w:val="left"/>
              <w:rPr>
                <w:b/>
                <w:color w:val="auto"/>
                <w:sz w:val="24"/>
                <w:szCs w:val="24"/>
                <w:highlight w:val="none"/>
              </w:rPr>
            </w:pPr>
            <w:r>
              <w:rPr>
                <w:rFonts w:hint="eastAsia"/>
                <w:b/>
                <w:color w:val="auto"/>
                <w:sz w:val="24"/>
                <w:szCs w:val="24"/>
                <w:highlight w:val="none"/>
                <w:lang w:val="en-US" w:eastAsia="zh-CN"/>
              </w:rPr>
              <w:t>2、</w:t>
            </w:r>
            <w:r>
              <w:rPr>
                <w:b/>
                <w:color w:val="auto"/>
                <w:sz w:val="24"/>
                <w:szCs w:val="24"/>
                <w:highlight w:val="none"/>
              </w:rPr>
              <w:t>项目概况</w:t>
            </w:r>
          </w:p>
          <w:p w14:paraId="52DE32CC">
            <w:pPr>
              <w:adjustRightInd w:val="0"/>
              <w:snapToGrid w:val="0"/>
              <w:spacing w:line="360" w:lineRule="auto"/>
              <w:ind w:firstLine="480" w:firstLineChars="200"/>
              <w:jc w:val="left"/>
              <w:rPr>
                <w:bCs/>
                <w:color w:val="auto"/>
                <w:sz w:val="24"/>
                <w:szCs w:val="24"/>
                <w:highlight w:val="none"/>
              </w:rPr>
            </w:pPr>
            <w:r>
              <w:rPr>
                <w:bCs/>
                <w:color w:val="auto"/>
                <w:sz w:val="24"/>
                <w:szCs w:val="24"/>
                <w:highlight w:val="none"/>
              </w:rPr>
              <w:t>项目名称：</w:t>
            </w:r>
            <w:r>
              <w:rPr>
                <w:rFonts w:hint="eastAsia"/>
                <w:bCs/>
                <w:color w:val="auto"/>
                <w:sz w:val="24"/>
                <w:szCs w:val="24"/>
                <w:highlight w:val="none"/>
              </w:rPr>
              <w:t>联佳科技</w:t>
            </w:r>
            <w:r>
              <w:rPr>
                <w:rFonts w:hint="eastAsia"/>
                <w:bCs/>
                <w:color w:val="auto"/>
                <w:sz w:val="24"/>
                <w:szCs w:val="24"/>
                <w:highlight w:val="none"/>
                <w:lang w:eastAsia="zh-CN"/>
              </w:rPr>
              <w:t>（</w:t>
            </w:r>
            <w:r>
              <w:rPr>
                <w:rFonts w:hint="eastAsia"/>
                <w:bCs/>
                <w:color w:val="auto"/>
                <w:sz w:val="24"/>
                <w:szCs w:val="24"/>
                <w:highlight w:val="none"/>
              </w:rPr>
              <w:t>苏州</w:t>
            </w:r>
            <w:r>
              <w:rPr>
                <w:rFonts w:hint="eastAsia"/>
                <w:bCs/>
                <w:color w:val="auto"/>
                <w:sz w:val="24"/>
                <w:szCs w:val="24"/>
                <w:highlight w:val="none"/>
                <w:lang w:eastAsia="zh-CN"/>
              </w:rPr>
              <w:t>）</w:t>
            </w:r>
            <w:r>
              <w:rPr>
                <w:rFonts w:hint="eastAsia"/>
                <w:bCs/>
                <w:color w:val="auto"/>
                <w:sz w:val="24"/>
                <w:szCs w:val="24"/>
                <w:highlight w:val="none"/>
              </w:rPr>
              <w:t>股份有限公司航空航天精密零部件和其他精密零部件改扩建项目；</w:t>
            </w:r>
          </w:p>
          <w:p w14:paraId="2D65BA03">
            <w:pPr>
              <w:adjustRightInd w:val="0"/>
              <w:snapToGrid w:val="0"/>
              <w:spacing w:line="360" w:lineRule="auto"/>
              <w:ind w:firstLine="480" w:firstLineChars="200"/>
              <w:jc w:val="left"/>
              <w:rPr>
                <w:bCs/>
                <w:color w:val="auto"/>
                <w:sz w:val="24"/>
                <w:szCs w:val="24"/>
                <w:highlight w:val="none"/>
              </w:rPr>
            </w:pPr>
            <w:r>
              <w:rPr>
                <w:bCs/>
                <w:color w:val="auto"/>
                <w:sz w:val="24"/>
                <w:szCs w:val="24"/>
                <w:highlight w:val="none"/>
              </w:rPr>
              <w:t>建设单位</w:t>
            </w:r>
            <w:r>
              <w:rPr>
                <w:rFonts w:hint="eastAsia"/>
                <w:bCs/>
                <w:color w:val="auto"/>
                <w:sz w:val="24"/>
                <w:szCs w:val="24"/>
                <w:highlight w:val="none"/>
                <w:lang w:eastAsia="zh-CN"/>
              </w:rPr>
              <w:t>：联佳科技（苏州）股份有限公司</w:t>
            </w:r>
            <w:r>
              <w:rPr>
                <w:rFonts w:hint="eastAsia"/>
                <w:bCs/>
                <w:color w:val="auto"/>
                <w:sz w:val="24"/>
                <w:szCs w:val="24"/>
                <w:highlight w:val="none"/>
              </w:rPr>
              <w:t>；</w:t>
            </w:r>
          </w:p>
          <w:p w14:paraId="2774F176">
            <w:pPr>
              <w:adjustRightInd w:val="0"/>
              <w:snapToGrid w:val="0"/>
              <w:spacing w:line="360" w:lineRule="auto"/>
              <w:ind w:firstLine="480" w:firstLineChars="200"/>
              <w:jc w:val="left"/>
              <w:rPr>
                <w:bCs/>
                <w:color w:val="auto"/>
                <w:sz w:val="24"/>
                <w:szCs w:val="24"/>
                <w:highlight w:val="none"/>
              </w:rPr>
            </w:pPr>
            <w:r>
              <w:rPr>
                <w:bCs/>
                <w:color w:val="auto"/>
                <w:sz w:val="24"/>
                <w:szCs w:val="24"/>
                <w:highlight w:val="none"/>
              </w:rPr>
              <w:t>建设地点：</w:t>
            </w:r>
            <w:r>
              <w:rPr>
                <w:rFonts w:hint="eastAsia"/>
                <w:color w:val="auto"/>
                <w:sz w:val="24"/>
                <w:szCs w:val="24"/>
                <w:highlight w:val="none"/>
              </w:rPr>
              <w:t>苏州市漕湖街道永昌路28号A栋11单元；</w:t>
            </w:r>
          </w:p>
          <w:p w14:paraId="52DEE445">
            <w:pPr>
              <w:adjustRightInd w:val="0"/>
              <w:snapToGrid w:val="0"/>
              <w:spacing w:line="360" w:lineRule="auto"/>
              <w:ind w:firstLine="480" w:firstLineChars="200"/>
              <w:jc w:val="left"/>
              <w:rPr>
                <w:bCs/>
                <w:color w:val="auto"/>
                <w:sz w:val="24"/>
                <w:szCs w:val="24"/>
                <w:highlight w:val="none"/>
              </w:rPr>
            </w:pPr>
            <w:r>
              <w:rPr>
                <w:bCs/>
                <w:color w:val="auto"/>
                <w:sz w:val="24"/>
                <w:szCs w:val="24"/>
                <w:highlight w:val="none"/>
              </w:rPr>
              <w:t>建设性质：</w:t>
            </w:r>
            <w:r>
              <w:rPr>
                <w:rFonts w:hint="eastAsia"/>
                <w:bCs/>
                <w:color w:val="auto"/>
                <w:sz w:val="24"/>
                <w:szCs w:val="24"/>
                <w:highlight w:val="none"/>
                <w:lang w:val="en-US" w:eastAsia="zh-CN"/>
              </w:rPr>
              <w:t>其他（扩建）</w:t>
            </w:r>
            <w:r>
              <w:rPr>
                <w:rFonts w:hint="eastAsia"/>
                <w:bCs/>
                <w:color w:val="auto"/>
                <w:sz w:val="24"/>
                <w:szCs w:val="24"/>
                <w:highlight w:val="none"/>
              </w:rPr>
              <w:t>；</w:t>
            </w:r>
          </w:p>
          <w:p w14:paraId="200EDAD5">
            <w:pPr>
              <w:adjustRightInd w:val="0"/>
              <w:snapToGrid w:val="0"/>
              <w:spacing w:line="360" w:lineRule="auto"/>
              <w:ind w:firstLine="480" w:firstLineChars="200"/>
              <w:jc w:val="both"/>
              <w:rPr>
                <w:bCs/>
                <w:color w:val="auto"/>
                <w:sz w:val="24"/>
                <w:szCs w:val="24"/>
                <w:highlight w:val="none"/>
              </w:rPr>
            </w:pPr>
            <w:r>
              <w:rPr>
                <w:bCs/>
                <w:color w:val="auto"/>
                <w:sz w:val="24"/>
                <w:szCs w:val="24"/>
                <w:highlight w:val="none"/>
              </w:rPr>
              <w:t>建设规模</w:t>
            </w:r>
            <w:r>
              <w:rPr>
                <w:rFonts w:hint="eastAsia"/>
                <w:bCs/>
                <w:color w:val="auto"/>
                <w:sz w:val="24"/>
                <w:szCs w:val="24"/>
                <w:highlight w:val="none"/>
                <w:lang w:val="en-US" w:eastAsia="zh-CN"/>
              </w:rPr>
              <w:t>及内容</w:t>
            </w:r>
            <w:r>
              <w:rPr>
                <w:bCs/>
                <w:color w:val="auto"/>
                <w:sz w:val="24"/>
                <w:szCs w:val="24"/>
                <w:highlight w:val="none"/>
              </w:rPr>
              <w:t>：</w:t>
            </w:r>
            <w:r>
              <w:rPr>
                <w:rFonts w:hint="eastAsia"/>
                <w:bCs/>
                <w:color w:val="auto"/>
                <w:sz w:val="24"/>
                <w:szCs w:val="24"/>
                <w:highlight w:val="none"/>
              </w:rPr>
              <w:t>项目建成后年生产航空航天精密零部件</w:t>
            </w:r>
            <w:r>
              <w:rPr>
                <w:rFonts w:hint="eastAsia"/>
                <w:bCs/>
                <w:color w:val="auto"/>
                <w:sz w:val="24"/>
                <w:szCs w:val="24"/>
                <w:highlight w:val="none"/>
                <w:lang w:val="en-US" w:eastAsia="zh-CN"/>
              </w:rPr>
              <w:t>100万件、其他精密零部件10万件</w:t>
            </w:r>
            <w:r>
              <w:rPr>
                <w:rFonts w:hint="eastAsia"/>
                <w:bCs/>
                <w:color w:val="auto"/>
                <w:sz w:val="24"/>
                <w:szCs w:val="24"/>
                <w:highlight w:val="none"/>
              </w:rPr>
              <w:t>；</w:t>
            </w:r>
          </w:p>
          <w:p w14:paraId="3B9929B3">
            <w:pPr>
              <w:adjustRightInd w:val="0"/>
              <w:snapToGrid w:val="0"/>
              <w:spacing w:line="360" w:lineRule="auto"/>
              <w:ind w:firstLine="480" w:firstLineChars="200"/>
              <w:jc w:val="left"/>
              <w:rPr>
                <w:bCs/>
                <w:color w:val="auto"/>
                <w:sz w:val="24"/>
                <w:szCs w:val="24"/>
                <w:highlight w:val="none"/>
              </w:rPr>
            </w:pPr>
            <w:r>
              <w:rPr>
                <w:bCs/>
                <w:color w:val="auto"/>
                <w:sz w:val="24"/>
                <w:szCs w:val="24"/>
                <w:highlight w:val="none"/>
              </w:rPr>
              <w:t>总投资：</w:t>
            </w:r>
            <w:r>
              <w:rPr>
                <w:rFonts w:hint="eastAsia"/>
                <w:bCs/>
                <w:color w:val="auto"/>
                <w:sz w:val="24"/>
                <w:szCs w:val="24"/>
                <w:highlight w:val="none"/>
                <w:lang w:val="en-US" w:eastAsia="zh-CN"/>
              </w:rPr>
              <w:t>本</w:t>
            </w:r>
            <w:r>
              <w:rPr>
                <w:bCs/>
                <w:color w:val="auto"/>
                <w:sz w:val="24"/>
                <w:szCs w:val="24"/>
                <w:highlight w:val="none"/>
              </w:rPr>
              <w:t>项目总投</w:t>
            </w:r>
            <w:r>
              <w:rPr>
                <w:rFonts w:hint="eastAsia"/>
                <w:bCs/>
                <w:color w:val="auto"/>
                <w:sz w:val="24"/>
                <w:szCs w:val="24"/>
                <w:highlight w:val="none"/>
                <w:lang w:val="en-US" w:eastAsia="zh-CN"/>
              </w:rPr>
              <w:t>资3500万元，其中环保投</w:t>
            </w:r>
            <w:r>
              <w:rPr>
                <w:rFonts w:hint="eastAsia"/>
                <w:b w:val="0"/>
                <w:bCs/>
                <w:color w:val="auto"/>
                <w:sz w:val="24"/>
                <w:szCs w:val="24"/>
                <w:highlight w:val="none"/>
                <w:lang w:val="en-US" w:eastAsia="zh-CN"/>
              </w:rPr>
              <w:t>资</w:t>
            </w:r>
            <w:r>
              <w:rPr>
                <w:rFonts w:hint="eastAsia"/>
                <w:b w:val="0"/>
                <w:bCs/>
                <w:color w:val="auto"/>
                <w:sz w:val="24"/>
                <w:szCs w:val="24"/>
                <w:highlight w:val="none"/>
                <w:lang w:val="en-US" w:eastAsia="zh-CN"/>
              </w:rPr>
              <w:t>300</w:t>
            </w:r>
            <w:r>
              <w:rPr>
                <w:rFonts w:hint="eastAsia"/>
                <w:bCs/>
                <w:color w:val="auto"/>
                <w:sz w:val="24"/>
                <w:szCs w:val="24"/>
                <w:highlight w:val="none"/>
                <w:lang w:val="en-US" w:eastAsia="zh-CN"/>
              </w:rPr>
              <w:t>万元</w:t>
            </w:r>
            <w:r>
              <w:rPr>
                <w:rFonts w:hint="eastAsia"/>
                <w:bCs/>
                <w:color w:val="auto"/>
                <w:sz w:val="24"/>
                <w:szCs w:val="24"/>
                <w:highlight w:val="none"/>
              </w:rPr>
              <w:t>；</w:t>
            </w:r>
          </w:p>
          <w:p w14:paraId="3E8B4659">
            <w:pPr>
              <w:adjustRightInd w:val="0"/>
              <w:snapToGrid w:val="0"/>
              <w:spacing w:line="360" w:lineRule="auto"/>
              <w:ind w:firstLine="480" w:firstLineChars="200"/>
              <w:jc w:val="left"/>
              <w:rPr>
                <w:bCs/>
                <w:color w:val="auto"/>
                <w:sz w:val="24"/>
                <w:szCs w:val="24"/>
                <w:highlight w:val="none"/>
              </w:rPr>
            </w:pPr>
            <w:r>
              <w:rPr>
                <w:bCs/>
                <w:color w:val="auto"/>
                <w:sz w:val="24"/>
                <w:szCs w:val="24"/>
                <w:highlight w:val="none"/>
              </w:rPr>
              <w:t>员工人数和工作制度</w:t>
            </w:r>
            <w:r>
              <w:rPr>
                <w:rFonts w:hint="eastAsia"/>
                <w:bCs/>
                <w:color w:val="auto"/>
                <w:sz w:val="24"/>
                <w:szCs w:val="24"/>
                <w:highlight w:val="none"/>
              </w:rPr>
              <w:t>：</w:t>
            </w:r>
            <w:r>
              <w:rPr>
                <w:bCs/>
                <w:color w:val="auto"/>
                <w:sz w:val="24"/>
                <w:szCs w:val="24"/>
                <w:highlight w:val="none"/>
              </w:rPr>
              <w:t>本项目</w:t>
            </w:r>
            <w:r>
              <w:rPr>
                <w:rFonts w:hint="eastAsia"/>
                <w:bCs/>
                <w:color w:val="auto"/>
                <w:sz w:val="24"/>
                <w:szCs w:val="24"/>
                <w:highlight w:val="none"/>
                <w:lang w:val="en-US" w:eastAsia="zh-CN"/>
              </w:rPr>
              <w:t>劳动定员25人，</w:t>
            </w:r>
            <w:r>
              <w:rPr>
                <w:bCs/>
                <w:color w:val="auto"/>
                <w:sz w:val="24"/>
                <w:szCs w:val="24"/>
                <w:highlight w:val="none"/>
              </w:rPr>
              <w:t>全年工作</w:t>
            </w:r>
            <w:r>
              <w:rPr>
                <w:rFonts w:hint="eastAsia"/>
                <w:bCs/>
                <w:color w:val="auto"/>
                <w:sz w:val="24"/>
                <w:szCs w:val="24"/>
                <w:highlight w:val="none"/>
                <w:lang w:val="en-US" w:eastAsia="zh-CN"/>
              </w:rPr>
              <w:t>300</w:t>
            </w:r>
            <w:r>
              <w:rPr>
                <w:bCs/>
                <w:color w:val="auto"/>
                <w:sz w:val="24"/>
                <w:szCs w:val="24"/>
                <w:highlight w:val="none"/>
              </w:rPr>
              <w:t>天，实行</w:t>
            </w:r>
            <w:r>
              <w:rPr>
                <w:rFonts w:hint="eastAsia"/>
                <w:bCs/>
                <w:color w:val="auto"/>
                <w:sz w:val="24"/>
                <w:szCs w:val="24"/>
                <w:highlight w:val="none"/>
                <w:lang w:val="en-US" w:eastAsia="zh-CN"/>
              </w:rPr>
              <w:t>两</w:t>
            </w:r>
            <w:r>
              <w:rPr>
                <w:bCs/>
                <w:color w:val="auto"/>
                <w:sz w:val="24"/>
                <w:szCs w:val="24"/>
                <w:highlight w:val="none"/>
              </w:rPr>
              <w:t>班</w:t>
            </w:r>
            <w:r>
              <w:rPr>
                <w:rFonts w:hint="eastAsia"/>
                <w:bCs/>
                <w:color w:val="auto"/>
                <w:sz w:val="24"/>
                <w:szCs w:val="24"/>
                <w:highlight w:val="none"/>
                <w:lang w:val="en-US" w:eastAsia="zh-CN"/>
              </w:rPr>
              <w:t>制</w:t>
            </w:r>
            <w:r>
              <w:rPr>
                <w:bCs/>
                <w:color w:val="auto"/>
                <w:sz w:val="24"/>
                <w:szCs w:val="24"/>
                <w:highlight w:val="none"/>
              </w:rPr>
              <w:t>工作制度，每班工作</w:t>
            </w:r>
            <w:r>
              <w:rPr>
                <w:rFonts w:hint="eastAsia"/>
                <w:bCs/>
                <w:color w:val="auto"/>
                <w:sz w:val="24"/>
                <w:szCs w:val="24"/>
                <w:highlight w:val="none"/>
                <w:lang w:val="en-US" w:eastAsia="zh-CN"/>
              </w:rPr>
              <w:t>12</w:t>
            </w:r>
            <w:r>
              <w:rPr>
                <w:bCs/>
                <w:color w:val="auto"/>
                <w:sz w:val="24"/>
                <w:szCs w:val="24"/>
                <w:highlight w:val="none"/>
              </w:rPr>
              <w:t>小时</w:t>
            </w:r>
            <w:r>
              <w:rPr>
                <w:rFonts w:hint="eastAsia"/>
                <w:bCs/>
                <w:color w:val="auto"/>
                <w:sz w:val="24"/>
                <w:szCs w:val="24"/>
                <w:highlight w:val="none"/>
                <w:lang w:eastAsia="zh-CN"/>
              </w:rPr>
              <w:t>，</w:t>
            </w:r>
            <w:r>
              <w:rPr>
                <w:rFonts w:hint="eastAsia"/>
                <w:bCs/>
                <w:color w:val="auto"/>
                <w:sz w:val="24"/>
                <w:szCs w:val="24"/>
                <w:highlight w:val="none"/>
              </w:rPr>
              <w:t>厂区内不设置食堂，不设置住宿</w:t>
            </w:r>
            <w:r>
              <w:rPr>
                <w:bCs/>
                <w:color w:val="auto"/>
                <w:sz w:val="24"/>
                <w:szCs w:val="24"/>
                <w:highlight w:val="none"/>
              </w:rPr>
              <w:t>。</w:t>
            </w:r>
          </w:p>
          <w:p w14:paraId="3E84AD41">
            <w:pPr>
              <w:numPr>
                <w:ilvl w:val="0"/>
                <w:numId w:val="0"/>
              </w:numPr>
              <w:adjustRightInd w:val="0"/>
              <w:snapToGrid w:val="0"/>
              <w:spacing w:line="360" w:lineRule="auto"/>
              <w:jc w:val="left"/>
              <w:rPr>
                <w:b/>
                <w:bCs/>
                <w:color w:val="auto"/>
                <w:sz w:val="24"/>
                <w:szCs w:val="24"/>
                <w:highlight w:val="none"/>
              </w:rPr>
            </w:pPr>
            <w:r>
              <w:rPr>
                <w:rFonts w:ascii="Times New Roman" w:hAnsi="Times New Roman" w:eastAsia="宋体" w:cs="Times New Roman"/>
                <w:b/>
                <w:bCs/>
                <w:color w:val="auto"/>
                <w:kern w:val="2"/>
                <w:sz w:val="24"/>
                <w:szCs w:val="24"/>
                <w:highlight w:val="none"/>
                <w:lang w:val="en-US" w:eastAsia="zh-CN" w:bidi="ar-SA"/>
              </w:rPr>
              <w:t>3、</w:t>
            </w:r>
            <w:r>
              <w:rPr>
                <w:b/>
                <w:bCs/>
                <w:color w:val="auto"/>
                <w:sz w:val="24"/>
                <w:szCs w:val="24"/>
                <w:highlight w:val="none"/>
              </w:rPr>
              <w:t>建设内容</w:t>
            </w:r>
          </w:p>
          <w:p w14:paraId="15591E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本项目租赁</w:t>
            </w:r>
            <w:r>
              <w:rPr>
                <w:rFonts w:hint="eastAsia" w:cs="Times New Roman"/>
                <w:i w:val="0"/>
                <w:iCs w:val="0"/>
                <w:caps w:val="0"/>
                <w:color w:val="auto"/>
                <w:spacing w:val="0"/>
                <w:sz w:val="24"/>
                <w:szCs w:val="24"/>
                <w:highlight w:val="none"/>
                <w:shd w:val="clear" w:color="auto" w:fill="FFFFFF"/>
                <w:lang w:val="en-US" w:eastAsia="zh-CN"/>
              </w:rPr>
              <w:t>苏州易相精密机械有限公司</w:t>
            </w:r>
            <w:r>
              <w:rPr>
                <w:rFonts w:ascii="Times New Roman" w:hAnsi="Times New Roman" w:eastAsia="宋体" w:cs="Times New Roman"/>
                <w:color w:val="auto"/>
                <w:sz w:val="24"/>
                <w:szCs w:val="24"/>
                <w:highlight w:val="none"/>
              </w:rPr>
              <w:t>内已建标准厂房，厂区内现有标准厂房分布情况见</w:t>
            </w:r>
            <w:r>
              <w:rPr>
                <w:rFonts w:hint="eastAsia" w:cs="Times New Roman"/>
                <w:color w:val="auto"/>
                <w:sz w:val="24"/>
                <w:szCs w:val="24"/>
                <w:highlight w:val="none"/>
                <w:lang w:val="en-US" w:eastAsia="zh-CN"/>
              </w:rPr>
              <w:t>下表</w:t>
            </w:r>
            <w:r>
              <w:rPr>
                <w:rFonts w:ascii="Times New Roman" w:hAnsi="Times New Roman" w:eastAsia="宋体" w:cs="Times New Roman"/>
                <w:color w:val="auto"/>
                <w:sz w:val="24"/>
                <w:szCs w:val="24"/>
                <w:highlight w:val="none"/>
              </w:rPr>
              <w:t>。</w:t>
            </w:r>
          </w:p>
          <w:p w14:paraId="4800242C">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kern w:val="2"/>
                <w:sz w:val="24"/>
                <w:szCs w:val="24"/>
                <w:highlight w:val="none"/>
                <w:lang w:val="en-US" w:eastAsia="zh-CN" w:bidi="ar"/>
              </w:rPr>
              <w:t>本租赁厂区内建筑物分布情况</w:t>
            </w:r>
          </w:p>
          <w:tbl>
            <w:tblPr>
              <w:tblStyle w:val="23"/>
              <w:tblW w:w="9286" w:type="dxa"/>
              <w:tblInd w:w="-75"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600"/>
              <w:gridCol w:w="812"/>
              <w:gridCol w:w="1215"/>
              <w:gridCol w:w="1109"/>
              <w:gridCol w:w="944"/>
              <w:gridCol w:w="1024"/>
              <w:gridCol w:w="2582"/>
            </w:tblGrid>
            <w:tr w14:paraId="2AA19D9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861" w:type="pct"/>
                  <w:tcBorders>
                    <w:tl2br w:val="nil"/>
                    <w:tr2bl w:val="nil"/>
                  </w:tcBorders>
                  <w:noWrap w:val="0"/>
                  <w:vAlign w:val="center"/>
                </w:tcPr>
                <w:p w14:paraId="66056956">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bCs w:val="0"/>
                      <w:color w:val="auto"/>
                      <w:sz w:val="21"/>
                      <w:szCs w:val="21"/>
                      <w:highlight w:val="none"/>
                      <w:vertAlign w:val="baseline"/>
                      <w:lang w:val="en-US" w:eastAsia="zh-CN"/>
                    </w:rPr>
                  </w:pPr>
                  <w:r>
                    <w:rPr>
                      <w:rFonts w:hint="default" w:ascii="Times New Roman" w:hAnsi="Times New Roman" w:eastAsia="仿宋" w:cs="Times New Roman"/>
                      <w:b/>
                      <w:bCs w:val="0"/>
                      <w:color w:val="auto"/>
                      <w:sz w:val="21"/>
                      <w:szCs w:val="21"/>
                      <w:highlight w:val="none"/>
                      <w:vertAlign w:val="baseline"/>
                      <w:lang w:val="en-US" w:eastAsia="zh-CN"/>
                    </w:rPr>
                    <w:t>建筑幢号</w:t>
                  </w:r>
                </w:p>
              </w:tc>
              <w:tc>
                <w:tcPr>
                  <w:tcW w:w="437" w:type="pct"/>
                  <w:tcBorders>
                    <w:tl2br w:val="nil"/>
                    <w:tr2bl w:val="nil"/>
                  </w:tcBorders>
                  <w:noWrap w:val="0"/>
                  <w:vAlign w:val="center"/>
                </w:tcPr>
                <w:p w14:paraId="153790E2">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bCs w:val="0"/>
                      <w:color w:val="auto"/>
                      <w:sz w:val="21"/>
                      <w:szCs w:val="21"/>
                      <w:highlight w:val="none"/>
                      <w:vertAlign w:val="baseline"/>
                      <w:lang w:val="en-US" w:eastAsia="zh-CN"/>
                    </w:rPr>
                  </w:pPr>
                  <w:r>
                    <w:rPr>
                      <w:rFonts w:hint="default" w:ascii="Times New Roman" w:hAnsi="Times New Roman" w:eastAsia="仿宋" w:cs="Times New Roman"/>
                      <w:b/>
                      <w:bCs w:val="0"/>
                      <w:color w:val="auto"/>
                      <w:sz w:val="21"/>
                      <w:szCs w:val="21"/>
                      <w:highlight w:val="none"/>
                      <w:vertAlign w:val="baseline"/>
                      <w:lang w:val="en-US" w:eastAsia="zh-CN"/>
                    </w:rPr>
                    <w:t>总层数</w:t>
                  </w:r>
                </w:p>
              </w:tc>
              <w:tc>
                <w:tcPr>
                  <w:tcW w:w="654" w:type="pct"/>
                  <w:tcBorders>
                    <w:tl2br w:val="nil"/>
                    <w:tr2bl w:val="nil"/>
                  </w:tcBorders>
                  <w:noWrap w:val="0"/>
                  <w:vAlign w:val="center"/>
                </w:tcPr>
                <w:p w14:paraId="2F6F713B">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bCs w:val="0"/>
                      <w:color w:val="auto"/>
                      <w:sz w:val="21"/>
                      <w:szCs w:val="21"/>
                      <w:highlight w:val="none"/>
                      <w:vertAlign w:val="baseline"/>
                      <w:lang w:val="en-US" w:eastAsia="zh-CN"/>
                    </w:rPr>
                  </w:pPr>
                  <w:r>
                    <w:rPr>
                      <w:rFonts w:hint="default" w:ascii="Times New Roman" w:hAnsi="Times New Roman" w:eastAsia="仿宋" w:cs="Times New Roman"/>
                      <w:b/>
                      <w:bCs w:val="0"/>
                      <w:color w:val="auto"/>
                      <w:sz w:val="21"/>
                      <w:szCs w:val="21"/>
                      <w:highlight w:val="none"/>
                      <w:vertAlign w:val="baseline"/>
                      <w:lang w:val="en-US" w:eastAsia="zh-CN"/>
                    </w:rPr>
                    <w:t>建筑面积（m</w:t>
                  </w:r>
                  <w:r>
                    <w:rPr>
                      <w:rFonts w:hint="default" w:ascii="Times New Roman" w:hAnsi="Times New Roman" w:eastAsia="仿宋" w:cs="Times New Roman"/>
                      <w:b/>
                      <w:bCs w:val="0"/>
                      <w:color w:val="auto"/>
                      <w:sz w:val="21"/>
                      <w:szCs w:val="21"/>
                      <w:highlight w:val="none"/>
                      <w:vertAlign w:val="superscript"/>
                      <w:lang w:val="en-US" w:eastAsia="zh-CN"/>
                    </w:rPr>
                    <w:t>2</w:t>
                  </w:r>
                  <w:r>
                    <w:rPr>
                      <w:rFonts w:hint="default" w:ascii="Times New Roman" w:hAnsi="Times New Roman" w:eastAsia="仿宋" w:cs="Times New Roman"/>
                      <w:b/>
                      <w:bCs w:val="0"/>
                      <w:color w:val="auto"/>
                      <w:sz w:val="21"/>
                      <w:szCs w:val="21"/>
                      <w:highlight w:val="none"/>
                      <w:vertAlign w:val="baseline"/>
                      <w:lang w:val="en-US" w:eastAsia="zh-CN"/>
                    </w:rPr>
                    <w:t>）</w:t>
                  </w:r>
                </w:p>
              </w:tc>
              <w:tc>
                <w:tcPr>
                  <w:tcW w:w="597" w:type="pct"/>
                  <w:tcBorders>
                    <w:tl2br w:val="nil"/>
                    <w:tr2bl w:val="nil"/>
                  </w:tcBorders>
                  <w:noWrap w:val="0"/>
                  <w:vAlign w:val="center"/>
                </w:tcPr>
                <w:p w14:paraId="0C07E78E">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bCs w:val="0"/>
                      <w:color w:val="auto"/>
                      <w:sz w:val="21"/>
                      <w:szCs w:val="21"/>
                      <w:highlight w:val="none"/>
                      <w:vertAlign w:val="baseline"/>
                      <w:lang w:val="en-US" w:eastAsia="zh-CN"/>
                    </w:rPr>
                  </w:pPr>
                  <w:r>
                    <w:rPr>
                      <w:rFonts w:hint="default" w:ascii="Times New Roman" w:hAnsi="Times New Roman" w:eastAsia="仿宋" w:cs="Times New Roman"/>
                      <w:b/>
                      <w:bCs w:val="0"/>
                      <w:color w:val="auto"/>
                      <w:sz w:val="21"/>
                      <w:szCs w:val="21"/>
                      <w:highlight w:val="none"/>
                      <w:vertAlign w:val="baseline"/>
                      <w:lang w:val="en-US" w:eastAsia="zh-CN"/>
                    </w:rPr>
                    <w:t>建筑高度（m）</w:t>
                  </w:r>
                </w:p>
              </w:tc>
              <w:tc>
                <w:tcPr>
                  <w:tcW w:w="508" w:type="pct"/>
                  <w:tcBorders>
                    <w:tl2br w:val="nil"/>
                    <w:tr2bl w:val="nil"/>
                  </w:tcBorders>
                  <w:noWrap w:val="0"/>
                  <w:vAlign w:val="center"/>
                </w:tcPr>
                <w:p w14:paraId="0D092F3B">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bCs w:val="0"/>
                      <w:color w:val="auto"/>
                      <w:sz w:val="21"/>
                      <w:szCs w:val="21"/>
                      <w:highlight w:val="none"/>
                      <w:vertAlign w:val="baseline"/>
                      <w:lang w:val="en-US" w:eastAsia="zh-CN"/>
                    </w:rPr>
                  </w:pPr>
                  <w:r>
                    <w:rPr>
                      <w:rFonts w:hint="default" w:ascii="Times New Roman" w:hAnsi="Times New Roman" w:eastAsia="仿宋" w:cs="Times New Roman"/>
                      <w:b/>
                      <w:bCs w:val="0"/>
                      <w:color w:val="auto"/>
                      <w:sz w:val="21"/>
                      <w:szCs w:val="21"/>
                      <w:highlight w:val="none"/>
                      <w:vertAlign w:val="baseline"/>
                      <w:lang w:val="en-US" w:eastAsia="zh-CN"/>
                    </w:rPr>
                    <w:t>耐火等级</w:t>
                  </w:r>
                </w:p>
              </w:tc>
              <w:tc>
                <w:tcPr>
                  <w:tcW w:w="551" w:type="pct"/>
                  <w:tcBorders>
                    <w:tl2br w:val="nil"/>
                    <w:tr2bl w:val="nil"/>
                  </w:tcBorders>
                  <w:noWrap w:val="0"/>
                  <w:vAlign w:val="center"/>
                </w:tcPr>
                <w:p w14:paraId="6633F5BB">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bCs w:val="0"/>
                      <w:color w:val="auto"/>
                      <w:sz w:val="21"/>
                      <w:szCs w:val="21"/>
                      <w:highlight w:val="none"/>
                      <w:vertAlign w:val="baseline"/>
                      <w:lang w:val="en-US" w:eastAsia="zh-CN"/>
                    </w:rPr>
                  </w:pPr>
                  <w:r>
                    <w:rPr>
                      <w:rFonts w:hint="default" w:ascii="Times New Roman" w:hAnsi="Times New Roman" w:eastAsia="仿宋" w:cs="Times New Roman"/>
                      <w:b/>
                      <w:bCs w:val="0"/>
                      <w:color w:val="auto"/>
                      <w:sz w:val="21"/>
                      <w:szCs w:val="21"/>
                      <w:highlight w:val="none"/>
                      <w:vertAlign w:val="baseline"/>
                      <w:lang w:val="en-US" w:eastAsia="zh-CN"/>
                    </w:rPr>
                    <w:t>火灾危险性</w:t>
                  </w:r>
                </w:p>
              </w:tc>
              <w:tc>
                <w:tcPr>
                  <w:tcW w:w="1389" w:type="pct"/>
                  <w:tcBorders>
                    <w:tl2br w:val="nil"/>
                    <w:tr2bl w:val="nil"/>
                  </w:tcBorders>
                  <w:noWrap w:val="0"/>
                  <w:vAlign w:val="center"/>
                </w:tcPr>
                <w:p w14:paraId="1B78BC1C">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bCs w:val="0"/>
                      <w:color w:val="auto"/>
                      <w:sz w:val="21"/>
                      <w:szCs w:val="21"/>
                      <w:highlight w:val="none"/>
                      <w:vertAlign w:val="baseline"/>
                      <w:lang w:val="en-US" w:eastAsia="zh-CN"/>
                    </w:rPr>
                  </w:pPr>
                  <w:r>
                    <w:rPr>
                      <w:rFonts w:hint="default" w:ascii="Times New Roman" w:hAnsi="Times New Roman" w:eastAsia="仿宋" w:cs="Times New Roman"/>
                      <w:b/>
                      <w:bCs w:val="0"/>
                      <w:color w:val="auto"/>
                      <w:sz w:val="21"/>
                      <w:szCs w:val="21"/>
                      <w:highlight w:val="none"/>
                      <w:vertAlign w:val="baseline"/>
                      <w:lang w:val="en-US" w:eastAsia="zh-CN"/>
                    </w:rPr>
                    <w:t>备注</w:t>
                  </w:r>
                </w:p>
              </w:tc>
            </w:tr>
            <w:tr w14:paraId="1FEEA00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61" w:type="pct"/>
                  <w:tcBorders>
                    <w:tl2br w:val="nil"/>
                    <w:tr2bl w:val="nil"/>
                  </w:tcBorders>
                  <w:noWrap w:val="0"/>
                  <w:vAlign w:val="center"/>
                </w:tcPr>
                <w:p w14:paraId="28A6C6D2">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rPr>
                  </w:pPr>
                  <w:r>
                    <w:rPr>
                      <w:rFonts w:hint="eastAsia" w:eastAsia="仿宋" w:cs="Times New Roman"/>
                      <w:bCs/>
                      <w:color w:val="auto"/>
                      <w:sz w:val="21"/>
                      <w:szCs w:val="21"/>
                      <w:highlight w:val="none"/>
                      <w:vertAlign w:val="baseline"/>
                      <w:lang w:val="en-US" w:eastAsia="zh-CN"/>
                    </w:rPr>
                    <w:t>1#厂房</w:t>
                  </w:r>
                </w:p>
              </w:tc>
              <w:tc>
                <w:tcPr>
                  <w:tcW w:w="437" w:type="pct"/>
                  <w:tcBorders>
                    <w:tl2br w:val="nil"/>
                    <w:tr2bl w:val="nil"/>
                  </w:tcBorders>
                  <w:noWrap w:val="0"/>
                  <w:vAlign w:val="center"/>
                </w:tcPr>
                <w:p w14:paraId="094E0AAB">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rPr>
                  </w:pPr>
                  <w:r>
                    <w:rPr>
                      <w:rFonts w:hint="eastAsia" w:eastAsia="仿宋" w:cs="Times New Roman"/>
                      <w:bCs/>
                      <w:color w:val="auto"/>
                      <w:sz w:val="21"/>
                      <w:szCs w:val="21"/>
                      <w:highlight w:val="none"/>
                      <w:vertAlign w:val="baseline"/>
                      <w:lang w:val="en-US" w:eastAsia="zh-CN"/>
                    </w:rPr>
                    <w:t>4</w:t>
                  </w:r>
                </w:p>
              </w:tc>
              <w:tc>
                <w:tcPr>
                  <w:tcW w:w="654" w:type="pct"/>
                  <w:tcBorders>
                    <w:tl2br w:val="nil"/>
                    <w:tr2bl w:val="nil"/>
                  </w:tcBorders>
                  <w:noWrap w:val="0"/>
                  <w:vAlign w:val="center"/>
                </w:tcPr>
                <w:p w14:paraId="539F956B">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66999.21</w:t>
                  </w:r>
                </w:p>
              </w:tc>
              <w:tc>
                <w:tcPr>
                  <w:tcW w:w="597" w:type="pct"/>
                  <w:tcBorders>
                    <w:tl2br w:val="nil"/>
                    <w:tr2bl w:val="nil"/>
                  </w:tcBorders>
                  <w:noWrap w:val="0"/>
                  <w:vAlign w:val="center"/>
                </w:tcPr>
                <w:p w14:paraId="0619AFE2">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40</w:t>
                  </w:r>
                </w:p>
              </w:tc>
              <w:tc>
                <w:tcPr>
                  <w:tcW w:w="508" w:type="pct"/>
                  <w:tcBorders>
                    <w:tl2br w:val="nil"/>
                    <w:tr2bl w:val="nil"/>
                  </w:tcBorders>
                  <w:noWrap w:val="0"/>
                  <w:vAlign w:val="center"/>
                </w:tcPr>
                <w:p w14:paraId="13AAE931">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一级</w:t>
                  </w:r>
                </w:p>
              </w:tc>
              <w:tc>
                <w:tcPr>
                  <w:tcW w:w="551" w:type="pct"/>
                  <w:tcBorders>
                    <w:tl2br w:val="nil"/>
                    <w:tr2bl w:val="nil"/>
                  </w:tcBorders>
                  <w:noWrap w:val="0"/>
                  <w:vAlign w:val="center"/>
                </w:tcPr>
                <w:p w14:paraId="31FDF1DA">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仿宋" w:cs="Times New Roman"/>
                      <w:bCs/>
                      <w:color w:val="auto"/>
                      <w:sz w:val="21"/>
                      <w:szCs w:val="21"/>
                      <w:highlight w:val="none"/>
                      <w:vertAlign w:val="baseline"/>
                      <w:lang w:val="en-US" w:eastAsia="zh-CN"/>
                    </w:rPr>
                    <w:t>丙类</w:t>
                  </w:r>
                </w:p>
              </w:tc>
              <w:tc>
                <w:tcPr>
                  <w:tcW w:w="1389" w:type="pct"/>
                  <w:tcBorders>
                    <w:tl2br w:val="nil"/>
                    <w:tr2bl w:val="nil"/>
                  </w:tcBorders>
                  <w:noWrap w:val="0"/>
                  <w:vAlign w:val="center"/>
                </w:tcPr>
                <w:p w14:paraId="573334EB">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出租</w:t>
                  </w:r>
                </w:p>
              </w:tc>
            </w:tr>
            <w:tr w14:paraId="4DA5D4A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61" w:type="pct"/>
                  <w:tcBorders>
                    <w:tl2br w:val="nil"/>
                    <w:tr2bl w:val="nil"/>
                  </w:tcBorders>
                  <w:noWrap w:val="0"/>
                  <w:vAlign w:val="center"/>
                </w:tcPr>
                <w:p w14:paraId="5206C368">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仿宋" w:cs="Times New Roman"/>
                      <w:bCs/>
                      <w:color w:val="auto"/>
                      <w:sz w:val="21"/>
                      <w:szCs w:val="21"/>
                      <w:highlight w:val="none"/>
                      <w:vertAlign w:val="baseline"/>
                      <w:lang w:val="en-US" w:eastAsia="zh-CN"/>
                    </w:rPr>
                    <w:t>2</w:t>
                  </w:r>
                  <w:r>
                    <w:rPr>
                      <w:rFonts w:hint="eastAsia" w:eastAsia="仿宋" w:cs="Times New Roman"/>
                      <w:bCs/>
                      <w:color w:val="auto"/>
                      <w:sz w:val="21"/>
                      <w:szCs w:val="21"/>
                      <w:highlight w:val="none"/>
                      <w:vertAlign w:val="baseline"/>
                      <w:lang w:val="en-US" w:eastAsia="zh-CN"/>
                    </w:rPr>
                    <w:t>#厂房</w:t>
                  </w:r>
                </w:p>
              </w:tc>
              <w:tc>
                <w:tcPr>
                  <w:tcW w:w="437" w:type="pct"/>
                  <w:tcBorders>
                    <w:tl2br w:val="nil"/>
                    <w:tr2bl w:val="nil"/>
                  </w:tcBorders>
                  <w:noWrap w:val="0"/>
                  <w:vAlign w:val="center"/>
                </w:tcPr>
                <w:p w14:paraId="05817ED0">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4</w:t>
                  </w:r>
                </w:p>
              </w:tc>
              <w:tc>
                <w:tcPr>
                  <w:tcW w:w="654" w:type="pct"/>
                  <w:tcBorders>
                    <w:tl2br w:val="nil"/>
                    <w:tr2bl w:val="nil"/>
                  </w:tcBorders>
                  <w:noWrap w:val="0"/>
                  <w:vAlign w:val="center"/>
                </w:tcPr>
                <w:p w14:paraId="61F723A8">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65457.4</w:t>
                  </w:r>
                </w:p>
              </w:tc>
              <w:tc>
                <w:tcPr>
                  <w:tcW w:w="597" w:type="pct"/>
                  <w:tcBorders>
                    <w:tl2br w:val="nil"/>
                    <w:tr2bl w:val="nil"/>
                  </w:tcBorders>
                  <w:noWrap w:val="0"/>
                  <w:vAlign w:val="center"/>
                </w:tcPr>
                <w:p w14:paraId="486D27DA">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40</w:t>
                  </w:r>
                </w:p>
              </w:tc>
              <w:tc>
                <w:tcPr>
                  <w:tcW w:w="508" w:type="pct"/>
                  <w:tcBorders>
                    <w:tl2br w:val="nil"/>
                    <w:tr2bl w:val="nil"/>
                  </w:tcBorders>
                  <w:noWrap w:val="0"/>
                  <w:vAlign w:val="center"/>
                </w:tcPr>
                <w:p w14:paraId="1987BC33">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一级</w:t>
                  </w:r>
                </w:p>
              </w:tc>
              <w:tc>
                <w:tcPr>
                  <w:tcW w:w="551" w:type="pct"/>
                  <w:tcBorders>
                    <w:tl2br w:val="nil"/>
                    <w:tr2bl w:val="nil"/>
                  </w:tcBorders>
                  <w:noWrap w:val="0"/>
                  <w:vAlign w:val="center"/>
                </w:tcPr>
                <w:p w14:paraId="787F0786">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仿宋" w:cs="Times New Roman"/>
                      <w:bCs/>
                      <w:color w:val="auto"/>
                      <w:sz w:val="21"/>
                      <w:szCs w:val="21"/>
                      <w:highlight w:val="none"/>
                      <w:vertAlign w:val="baseline"/>
                      <w:lang w:val="en-US" w:eastAsia="zh-CN"/>
                    </w:rPr>
                    <w:t>丙类</w:t>
                  </w:r>
                </w:p>
              </w:tc>
              <w:tc>
                <w:tcPr>
                  <w:tcW w:w="1389" w:type="pct"/>
                  <w:tcBorders>
                    <w:tl2br w:val="nil"/>
                    <w:tr2bl w:val="nil"/>
                  </w:tcBorders>
                  <w:noWrap w:val="0"/>
                  <w:vAlign w:val="center"/>
                </w:tcPr>
                <w:p w14:paraId="2EEB8A70">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出租</w:t>
                  </w:r>
                </w:p>
              </w:tc>
            </w:tr>
            <w:tr w14:paraId="1656E9B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61" w:type="pct"/>
                  <w:tcBorders>
                    <w:tl2br w:val="nil"/>
                    <w:tr2bl w:val="nil"/>
                  </w:tcBorders>
                  <w:noWrap w:val="0"/>
                  <w:vAlign w:val="center"/>
                </w:tcPr>
                <w:p w14:paraId="7885A986">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3#厂房</w:t>
                  </w:r>
                </w:p>
              </w:tc>
              <w:tc>
                <w:tcPr>
                  <w:tcW w:w="437" w:type="pct"/>
                  <w:tcBorders>
                    <w:tl2br w:val="nil"/>
                    <w:tr2bl w:val="nil"/>
                  </w:tcBorders>
                  <w:noWrap w:val="0"/>
                  <w:vAlign w:val="center"/>
                </w:tcPr>
                <w:p w14:paraId="40EC2B53">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4</w:t>
                  </w:r>
                </w:p>
              </w:tc>
              <w:tc>
                <w:tcPr>
                  <w:tcW w:w="654" w:type="pct"/>
                  <w:tcBorders>
                    <w:tl2br w:val="nil"/>
                    <w:tr2bl w:val="nil"/>
                  </w:tcBorders>
                  <w:noWrap w:val="0"/>
                  <w:vAlign w:val="center"/>
                </w:tcPr>
                <w:p w14:paraId="2732BC36">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43510.42</w:t>
                  </w:r>
                </w:p>
              </w:tc>
              <w:tc>
                <w:tcPr>
                  <w:tcW w:w="597" w:type="pct"/>
                  <w:tcBorders>
                    <w:tl2br w:val="nil"/>
                    <w:tr2bl w:val="nil"/>
                  </w:tcBorders>
                  <w:noWrap w:val="0"/>
                  <w:vAlign w:val="center"/>
                </w:tcPr>
                <w:p w14:paraId="0570B3C2">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40</w:t>
                  </w:r>
                </w:p>
              </w:tc>
              <w:tc>
                <w:tcPr>
                  <w:tcW w:w="508" w:type="pct"/>
                  <w:tcBorders>
                    <w:tl2br w:val="nil"/>
                    <w:tr2bl w:val="nil"/>
                  </w:tcBorders>
                  <w:noWrap w:val="0"/>
                  <w:vAlign w:val="center"/>
                </w:tcPr>
                <w:p w14:paraId="71CD948C">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一级</w:t>
                  </w:r>
                </w:p>
              </w:tc>
              <w:tc>
                <w:tcPr>
                  <w:tcW w:w="551" w:type="pct"/>
                  <w:tcBorders>
                    <w:tl2br w:val="nil"/>
                    <w:tr2bl w:val="nil"/>
                  </w:tcBorders>
                  <w:noWrap w:val="0"/>
                  <w:vAlign w:val="center"/>
                </w:tcPr>
                <w:p w14:paraId="08700F5B">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仿宋" w:cs="Times New Roman"/>
                      <w:bCs/>
                      <w:color w:val="auto"/>
                      <w:sz w:val="21"/>
                      <w:szCs w:val="21"/>
                      <w:highlight w:val="none"/>
                      <w:vertAlign w:val="baseline"/>
                      <w:lang w:val="en-US" w:eastAsia="zh-CN"/>
                    </w:rPr>
                    <w:t>丙类</w:t>
                  </w:r>
                </w:p>
              </w:tc>
              <w:tc>
                <w:tcPr>
                  <w:tcW w:w="1389" w:type="pct"/>
                  <w:tcBorders>
                    <w:tl2br w:val="nil"/>
                    <w:tr2bl w:val="nil"/>
                  </w:tcBorders>
                  <w:noWrap w:val="0"/>
                  <w:vAlign w:val="center"/>
                </w:tcPr>
                <w:p w14:paraId="1A58E802">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本项目租赁3#厂房3层11单元</w:t>
                  </w:r>
                  <w:r>
                    <w:rPr>
                      <w:rFonts w:hint="eastAsia" w:eastAsia="仿宋"/>
                      <w:bCs/>
                      <w:color w:val="auto"/>
                      <w:szCs w:val="21"/>
                      <w:highlight w:val="none"/>
                      <w:lang w:val="en-US" w:eastAsia="zh-CN"/>
                    </w:rPr>
                    <w:t>闲置厂房</w:t>
                  </w:r>
                </w:p>
              </w:tc>
            </w:tr>
            <w:tr w14:paraId="41D177D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61" w:type="pct"/>
                  <w:tcBorders>
                    <w:tl2br w:val="nil"/>
                    <w:tr2bl w:val="nil"/>
                  </w:tcBorders>
                  <w:noWrap w:val="0"/>
                  <w:vAlign w:val="center"/>
                </w:tcPr>
                <w:p w14:paraId="6E3D9676">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4#辅房</w:t>
                  </w:r>
                </w:p>
              </w:tc>
              <w:tc>
                <w:tcPr>
                  <w:tcW w:w="437" w:type="pct"/>
                  <w:tcBorders>
                    <w:tl2br w:val="nil"/>
                    <w:tr2bl w:val="nil"/>
                  </w:tcBorders>
                  <w:noWrap w:val="0"/>
                  <w:vAlign w:val="center"/>
                </w:tcPr>
                <w:p w14:paraId="14A85475">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1</w:t>
                  </w:r>
                </w:p>
              </w:tc>
              <w:tc>
                <w:tcPr>
                  <w:tcW w:w="654" w:type="pct"/>
                  <w:tcBorders>
                    <w:tl2br w:val="nil"/>
                    <w:tr2bl w:val="nil"/>
                  </w:tcBorders>
                  <w:noWrap w:val="0"/>
                  <w:vAlign w:val="center"/>
                </w:tcPr>
                <w:p w14:paraId="230DE55F">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800</w:t>
                  </w:r>
                </w:p>
              </w:tc>
              <w:tc>
                <w:tcPr>
                  <w:tcW w:w="597" w:type="pct"/>
                  <w:tcBorders>
                    <w:tl2br w:val="nil"/>
                    <w:tr2bl w:val="nil"/>
                  </w:tcBorders>
                  <w:noWrap w:val="0"/>
                  <w:vAlign w:val="center"/>
                </w:tcPr>
                <w:p w14:paraId="06E35434">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7.3</w:t>
                  </w:r>
                </w:p>
              </w:tc>
              <w:tc>
                <w:tcPr>
                  <w:tcW w:w="508" w:type="pct"/>
                  <w:tcBorders>
                    <w:tl2br w:val="nil"/>
                    <w:tr2bl w:val="nil"/>
                  </w:tcBorders>
                  <w:noWrap w:val="0"/>
                  <w:vAlign w:val="center"/>
                </w:tcPr>
                <w:p w14:paraId="6253F1E4">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w:t>
                  </w:r>
                </w:p>
              </w:tc>
              <w:tc>
                <w:tcPr>
                  <w:tcW w:w="551" w:type="pct"/>
                  <w:tcBorders>
                    <w:tl2br w:val="nil"/>
                    <w:tr2bl w:val="nil"/>
                  </w:tcBorders>
                  <w:noWrap w:val="0"/>
                  <w:vAlign w:val="center"/>
                </w:tcPr>
                <w:p w14:paraId="00064854">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w:t>
                  </w:r>
                </w:p>
              </w:tc>
              <w:tc>
                <w:tcPr>
                  <w:tcW w:w="1389" w:type="pct"/>
                  <w:tcBorders>
                    <w:tl2br w:val="nil"/>
                    <w:tr2bl w:val="nil"/>
                  </w:tcBorders>
                  <w:noWrap w:val="0"/>
                  <w:vAlign w:val="center"/>
                </w:tcPr>
                <w:p w14:paraId="2F3F92ED">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辅房</w:t>
                  </w:r>
                </w:p>
              </w:tc>
            </w:tr>
            <w:tr w14:paraId="2978FBA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61" w:type="pct"/>
                  <w:tcBorders>
                    <w:tl2br w:val="nil"/>
                    <w:tr2bl w:val="nil"/>
                  </w:tcBorders>
                  <w:noWrap w:val="0"/>
                  <w:vAlign w:val="center"/>
                </w:tcPr>
                <w:p w14:paraId="1E143DC2">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5#坡道</w:t>
                  </w:r>
                </w:p>
              </w:tc>
              <w:tc>
                <w:tcPr>
                  <w:tcW w:w="437" w:type="pct"/>
                  <w:tcBorders>
                    <w:tl2br w:val="nil"/>
                    <w:tr2bl w:val="nil"/>
                  </w:tcBorders>
                  <w:noWrap w:val="0"/>
                  <w:vAlign w:val="center"/>
                </w:tcPr>
                <w:p w14:paraId="028A1B2A">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3</w:t>
                  </w:r>
                </w:p>
              </w:tc>
              <w:tc>
                <w:tcPr>
                  <w:tcW w:w="654" w:type="pct"/>
                  <w:tcBorders>
                    <w:tl2br w:val="nil"/>
                    <w:tr2bl w:val="nil"/>
                  </w:tcBorders>
                  <w:noWrap w:val="0"/>
                  <w:vAlign w:val="center"/>
                </w:tcPr>
                <w:p w14:paraId="3A88D002">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11834.52</w:t>
                  </w:r>
                </w:p>
              </w:tc>
              <w:tc>
                <w:tcPr>
                  <w:tcW w:w="597" w:type="pct"/>
                  <w:tcBorders>
                    <w:tl2br w:val="nil"/>
                    <w:tr2bl w:val="nil"/>
                  </w:tcBorders>
                  <w:noWrap w:val="0"/>
                  <w:vAlign w:val="center"/>
                </w:tcPr>
                <w:p w14:paraId="63C0F242">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29.84</w:t>
                  </w:r>
                </w:p>
              </w:tc>
              <w:tc>
                <w:tcPr>
                  <w:tcW w:w="508" w:type="pct"/>
                  <w:tcBorders>
                    <w:tl2br w:val="nil"/>
                    <w:tr2bl w:val="nil"/>
                  </w:tcBorders>
                  <w:noWrap w:val="0"/>
                  <w:vAlign w:val="center"/>
                </w:tcPr>
                <w:p w14:paraId="79B6B5FA">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w:t>
                  </w:r>
                </w:p>
              </w:tc>
              <w:tc>
                <w:tcPr>
                  <w:tcW w:w="551" w:type="pct"/>
                  <w:tcBorders>
                    <w:tl2br w:val="nil"/>
                    <w:tr2bl w:val="nil"/>
                  </w:tcBorders>
                  <w:noWrap w:val="0"/>
                  <w:vAlign w:val="center"/>
                </w:tcPr>
                <w:p w14:paraId="53FF9D2E">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w:t>
                  </w:r>
                </w:p>
              </w:tc>
              <w:tc>
                <w:tcPr>
                  <w:tcW w:w="1389" w:type="pct"/>
                  <w:tcBorders>
                    <w:tl2br w:val="nil"/>
                    <w:tr2bl w:val="nil"/>
                  </w:tcBorders>
                  <w:noWrap w:val="0"/>
                  <w:vAlign w:val="center"/>
                </w:tcPr>
                <w:p w14:paraId="6E81E775">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坡道</w:t>
                  </w:r>
                </w:p>
              </w:tc>
            </w:tr>
          </w:tbl>
          <w:p w14:paraId="2FCE58ED">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项目建设内容</w:t>
            </w:r>
          </w:p>
          <w:tbl>
            <w:tblPr>
              <w:tblStyle w:val="22"/>
              <w:tblW w:w="4996"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1600"/>
              <w:gridCol w:w="2635"/>
              <w:gridCol w:w="2192"/>
              <w:gridCol w:w="2015"/>
            </w:tblGrid>
            <w:tr w14:paraId="6BB9C4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9" w:type="pct"/>
                  <w:tcBorders>
                    <w:tl2br w:val="nil"/>
                    <w:tr2bl w:val="nil"/>
                  </w:tcBorders>
                  <w:vAlign w:val="center"/>
                </w:tcPr>
                <w:p w14:paraId="0203F075">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类别</w:t>
                  </w:r>
                </w:p>
              </w:tc>
              <w:tc>
                <w:tcPr>
                  <w:tcW w:w="864" w:type="pct"/>
                  <w:tcBorders>
                    <w:tl2br w:val="nil"/>
                    <w:tr2bl w:val="nil"/>
                  </w:tcBorders>
                  <w:vAlign w:val="center"/>
                </w:tcPr>
                <w:p w14:paraId="127FED02">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工程名称</w:t>
                  </w:r>
                </w:p>
              </w:tc>
              <w:tc>
                <w:tcPr>
                  <w:tcW w:w="2607" w:type="pct"/>
                  <w:gridSpan w:val="2"/>
                  <w:tcBorders>
                    <w:tl2br w:val="nil"/>
                    <w:tr2bl w:val="nil"/>
                  </w:tcBorders>
                  <w:vAlign w:val="center"/>
                </w:tcPr>
                <w:p w14:paraId="510117CA">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主要建设内容</w:t>
                  </w:r>
                </w:p>
              </w:tc>
              <w:tc>
                <w:tcPr>
                  <w:tcW w:w="1088" w:type="pct"/>
                  <w:tcBorders>
                    <w:tl2br w:val="nil"/>
                    <w:tr2bl w:val="nil"/>
                  </w:tcBorders>
                  <w:vAlign w:val="center"/>
                </w:tcPr>
                <w:p w14:paraId="671E8C85">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
                      <w:color w:val="auto"/>
                      <w:sz w:val="21"/>
                      <w:szCs w:val="21"/>
                      <w:highlight w:val="none"/>
                      <w:lang w:val="en-US" w:eastAsia="zh-CN"/>
                    </w:rPr>
                  </w:pPr>
                  <w:r>
                    <w:rPr>
                      <w:rFonts w:hint="default" w:ascii="Times New Roman" w:hAnsi="Times New Roman" w:eastAsia="仿宋" w:cs="Times New Roman"/>
                      <w:b/>
                      <w:color w:val="auto"/>
                      <w:sz w:val="21"/>
                      <w:szCs w:val="21"/>
                      <w:highlight w:val="none"/>
                      <w:lang w:val="en-US" w:eastAsia="zh-CN"/>
                    </w:rPr>
                    <w:t>备注</w:t>
                  </w:r>
                </w:p>
              </w:tc>
            </w:tr>
            <w:tr w14:paraId="10945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439" w:type="pct"/>
                  <w:vMerge w:val="restart"/>
                  <w:tcBorders>
                    <w:tl2br w:val="nil"/>
                    <w:tr2bl w:val="nil"/>
                  </w:tcBorders>
                  <w:vAlign w:val="center"/>
                </w:tcPr>
                <w:p w14:paraId="2A02C212">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主体工程</w:t>
                  </w:r>
                </w:p>
              </w:tc>
              <w:tc>
                <w:tcPr>
                  <w:tcW w:w="864" w:type="pct"/>
                  <w:tcBorders>
                    <w:tl2br w:val="nil"/>
                    <w:tr2bl w:val="nil"/>
                  </w:tcBorders>
                  <w:vAlign w:val="center"/>
                </w:tcPr>
                <w:p w14:paraId="160C321F">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来料检验</w:t>
                  </w:r>
                </w:p>
              </w:tc>
              <w:tc>
                <w:tcPr>
                  <w:tcW w:w="2607" w:type="pct"/>
                  <w:gridSpan w:val="2"/>
                  <w:tcBorders>
                    <w:tl2br w:val="nil"/>
                    <w:tr2bl w:val="nil"/>
                  </w:tcBorders>
                  <w:vAlign w:val="center"/>
                </w:tcPr>
                <w:p w14:paraId="10F701A7">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eastAsia="仿宋"/>
                      <w:color w:val="auto"/>
                      <w:szCs w:val="21"/>
                      <w:highlight w:val="none"/>
                      <w:lang w:val="en-US"/>
                    </w:rPr>
                  </w:pPr>
                  <w:r>
                    <w:rPr>
                      <w:rFonts w:hint="eastAsia" w:eastAsia="仿宋"/>
                      <w:color w:val="auto"/>
                      <w:szCs w:val="21"/>
                      <w:highlight w:val="none"/>
                    </w:rPr>
                    <w:t>建筑面积</w:t>
                  </w:r>
                  <w:r>
                    <w:rPr>
                      <w:rFonts w:hint="eastAsia" w:eastAsia="仿宋"/>
                      <w:color w:val="auto"/>
                      <w:szCs w:val="21"/>
                      <w:highlight w:val="none"/>
                      <w:lang w:val="en-US" w:eastAsia="zh-CN"/>
                    </w:rPr>
                    <w:t>约122.8</w:t>
                  </w:r>
                  <w:r>
                    <w:rPr>
                      <w:rFonts w:hint="default" w:ascii="Times New Roman" w:hAnsi="Times New Roman" w:eastAsia="仿宋" w:cs="Times New Roman"/>
                      <w:i w:val="0"/>
                      <w:iCs w:val="0"/>
                      <w:caps w:val="0"/>
                      <w:color w:val="auto"/>
                      <w:spacing w:val="0"/>
                      <w:kern w:val="2"/>
                      <w:sz w:val="21"/>
                      <w:szCs w:val="21"/>
                      <w:highlight w:val="none"/>
                      <w:shd w:val="clear" w:color="auto" w:fill="FFFFFF"/>
                      <w:lang w:val="en-US" w:eastAsia="zh-CN" w:bidi="ar-SA"/>
                    </w:rPr>
                    <w:t>m</w:t>
                  </w:r>
                  <w:r>
                    <w:rPr>
                      <w:rFonts w:hint="default" w:ascii="Times New Roman" w:hAnsi="Times New Roman" w:eastAsia="仿宋" w:cs="Times New Roman"/>
                      <w:i w:val="0"/>
                      <w:iCs w:val="0"/>
                      <w:caps w:val="0"/>
                      <w:color w:val="auto"/>
                      <w:spacing w:val="0"/>
                      <w:kern w:val="2"/>
                      <w:sz w:val="21"/>
                      <w:szCs w:val="21"/>
                      <w:highlight w:val="none"/>
                      <w:shd w:val="clear" w:color="auto" w:fill="FFFFFF"/>
                      <w:vertAlign w:val="superscript"/>
                      <w:lang w:val="en-US" w:eastAsia="zh-CN" w:bidi="ar-SA"/>
                    </w:rPr>
                    <w:t>2</w:t>
                  </w:r>
                  <w:r>
                    <w:rPr>
                      <w:rFonts w:hint="eastAsia" w:eastAsia="仿宋"/>
                      <w:color w:val="auto"/>
                      <w:szCs w:val="21"/>
                      <w:highlight w:val="none"/>
                    </w:rPr>
                    <w:t>，位于</w:t>
                  </w:r>
                  <w:r>
                    <w:rPr>
                      <w:rFonts w:hint="eastAsia" w:eastAsia="仿宋"/>
                      <w:color w:val="auto"/>
                      <w:szCs w:val="21"/>
                      <w:highlight w:val="none"/>
                      <w:lang w:val="en-US" w:eastAsia="zh-CN"/>
                    </w:rPr>
                    <w:t>租赁车间西侧和南侧</w:t>
                  </w:r>
                </w:p>
              </w:tc>
              <w:tc>
                <w:tcPr>
                  <w:tcW w:w="1088" w:type="pct"/>
                  <w:tcBorders>
                    <w:tl2br w:val="nil"/>
                    <w:tr2bl w:val="nil"/>
                  </w:tcBorders>
                  <w:vAlign w:val="center"/>
                </w:tcPr>
                <w:p w14:paraId="05D2AC9D">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来料检验</w:t>
                  </w:r>
                </w:p>
              </w:tc>
            </w:tr>
            <w:tr w14:paraId="7A58C8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439" w:type="pct"/>
                  <w:vMerge w:val="continue"/>
                  <w:tcBorders>
                    <w:tl2br w:val="nil"/>
                    <w:tr2bl w:val="nil"/>
                  </w:tcBorders>
                  <w:vAlign w:val="center"/>
                </w:tcPr>
                <w:p w14:paraId="488587D3">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vAlign w:val="center"/>
                </w:tcPr>
                <w:p w14:paraId="49D75C7A">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机加工</w:t>
                  </w:r>
                </w:p>
              </w:tc>
              <w:tc>
                <w:tcPr>
                  <w:tcW w:w="2607" w:type="pct"/>
                  <w:gridSpan w:val="2"/>
                  <w:tcBorders>
                    <w:tl2br w:val="nil"/>
                    <w:tr2bl w:val="nil"/>
                  </w:tcBorders>
                  <w:vAlign w:val="center"/>
                </w:tcPr>
                <w:p w14:paraId="4CA54A04">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eastAsia" w:eastAsia="仿宋"/>
                      <w:color w:val="auto"/>
                      <w:szCs w:val="21"/>
                      <w:highlight w:val="none"/>
                    </w:rPr>
                    <w:t>建筑面积</w:t>
                  </w:r>
                  <w:r>
                    <w:rPr>
                      <w:rFonts w:hint="eastAsia" w:eastAsia="仿宋"/>
                      <w:color w:val="auto"/>
                      <w:szCs w:val="21"/>
                      <w:highlight w:val="none"/>
                      <w:lang w:val="en-US" w:eastAsia="zh-CN"/>
                    </w:rPr>
                    <w:t>约1980</w:t>
                  </w:r>
                  <w:r>
                    <w:rPr>
                      <w:rFonts w:hint="default" w:ascii="Times New Roman" w:hAnsi="Times New Roman" w:eastAsia="仿宋" w:cs="Times New Roman"/>
                      <w:i w:val="0"/>
                      <w:iCs w:val="0"/>
                      <w:caps w:val="0"/>
                      <w:color w:val="auto"/>
                      <w:spacing w:val="0"/>
                      <w:kern w:val="2"/>
                      <w:sz w:val="21"/>
                      <w:szCs w:val="21"/>
                      <w:highlight w:val="none"/>
                      <w:shd w:val="clear" w:color="auto" w:fill="FFFFFF"/>
                      <w:lang w:val="en-US" w:eastAsia="zh-CN" w:bidi="ar-SA"/>
                    </w:rPr>
                    <w:t>m</w:t>
                  </w:r>
                  <w:r>
                    <w:rPr>
                      <w:rFonts w:hint="default" w:ascii="Times New Roman" w:hAnsi="Times New Roman" w:eastAsia="仿宋" w:cs="Times New Roman"/>
                      <w:i w:val="0"/>
                      <w:iCs w:val="0"/>
                      <w:caps w:val="0"/>
                      <w:color w:val="auto"/>
                      <w:spacing w:val="0"/>
                      <w:kern w:val="2"/>
                      <w:sz w:val="21"/>
                      <w:szCs w:val="21"/>
                      <w:highlight w:val="none"/>
                      <w:shd w:val="clear" w:color="auto" w:fill="FFFFFF"/>
                      <w:vertAlign w:val="superscript"/>
                      <w:lang w:val="en-US" w:eastAsia="zh-CN" w:bidi="ar-SA"/>
                    </w:rPr>
                    <w:t>2</w:t>
                  </w:r>
                  <w:r>
                    <w:rPr>
                      <w:rFonts w:hint="eastAsia" w:eastAsia="仿宋"/>
                      <w:color w:val="auto"/>
                      <w:szCs w:val="21"/>
                      <w:highlight w:val="none"/>
                    </w:rPr>
                    <w:t>，位于</w:t>
                  </w:r>
                  <w:r>
                    <w:rPr>
                      <w:rFonts w:hint="eastAsia" w:eastAsia="仿宋"/>
                      <w:color w:val="auto"/>
                      <w:szCs w:val="21"/>
                      <w:highlight w:val="none"/>
                      <w:lang w:val="en-US" w:eastAsia="zh-CN"/>
                    </w:rPr>
                    <w:t>租赁车间中部</w:t>
                  </w:r>
                </w:p>
              </w:tc>
              <w:tc>
                <w:tcPr>
                  <w:tcW w:w="1088" w:type="pct"/>
                  <w:tcBorders>
                    <w:tl2br w:val="nil"/>
                    <w:tr2bl w:val="nil"/>
                  </w:tcBorders>
                  <w:vAlign w:val="center"/>
                </w:tcPr>
                <w:p w14:paraId="0853B91C">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机加工</w:t>
                  </w:r>
                </w:p>
              </w:tc>
            </w:tr>
            <w:tr w14:paraId="2084C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439" w:type="pct"/>
                  <w:vMerge w:val="continue"/>
                  <w:tcBorders>
                    <w:tl2br w:val="nil"/>
                    <w:tr2bl w:val="nil"/>
                  </w:tcBorders>
                  <w:vAlign w:val="center"/>
                </w:tcPr>
                <w:p w14:paraId="5329A88B">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vAlign w:val="center"/>
                </w:tcPr>
                <w:p w14:paraId="38AAA27E">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湿式去毛刺</w:t>
                  </w:r>
                </w:p>
              </w:tc>
              <w:tc>
                <w:tcPr>
                  <w:tcW w:w="2607" w:type="pct"/>
                  <w:gridSpan w:val="2"/>
                  <w:tcBorders>
                    <w:tl2br w:val="nil"/>
                    <w:tr2bl w:val="nil"/>
                  </w:tcBorders>
                  <w:vAlign w:val="center"/>
                </w:tcPr>
                <w:p w14:paraId="7B9F0A6C">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rPr>
                  </w:pPr>
                  <w:r>
                    <w:rPr>
                      <w:rFonts w:hint="eastAsia" w:eastAsia="仿宋"/>
                      <w:color w:val="auto"/>
                      <w:szCs w:val="21"/>
                      <w:highlight w:val="none"/>
                    </w:rPr>
                    <w:t>建筑面积</w:t>
                  </w:r>
                  <w:r>
                    <w:rPr>
                      <w:rFonts w:hint="eastAsia" w:eastAsia="仿宋"/>
                      <w:color w:val="auto"/>
                      <w:szCs w:val="21"/>
                      <w:highlight w:val="none"/>
                      <w:lang w:val="en-US" w:eastAsia="zh-CN"/>
                    </w:rPr>
                    <w:t>约132</w:t>
                  </w:r>
                  <w:r>
                    <w:rPr>
                      <w:rFonts w:hint="default" w:ascii="Times New Roman" w:hAnsi="Times New Roman" w:eastAsia="仿宋" w:cs="Times New Roman"/>
                      <w:i w:val="0"/>
                      <w:iCs w:val="0"/>
                      <w:caps w:val="0"/>
                      <w:color w:val="auto"/>
                      <w:spacing w:val="0"/>
                      <w:kern w:val="2"/>
                      <w:sz w:val="21"/>
                      <w:szCs w:val="21"/>
                      <w:highlight w:val="none"/>
                      <w:shd w:val="clear" w:color="auto" w:fill="FFFFFF"/>
                      <w:lang w:val="en-US" w:eastAsia="zh-CN" w:bidi="ar-SA"/>
                    </w:rPr>
                    <w:t>m</w:t>
                  </w:r>
                  <w:r>
                    <w:rPr>
                      <w:rFonts w:hint="default" w:ascii="Times New Roman" w:hAnsi="Times New Roman" w:eastAsia="仿宋" w:cs="Times New Roman"/>
                      <w:i w:val="0"/>
                      <w:iCs w:val="0"/>
                      <w:caps w:val="0"/>
                      <w:color w:val="auto"/>
                      <w:spacing w:val="0"/>
                      <w:kern w:val="2"/>
                      <w:sz w:val="21"/>
                      <w:szCs w:val="21"/>
                      <w:highlight w:val="none"/>
                      <w:shd w:val="clear" w:color="auto" w:fill="FFFFFF"/>
                      <w:vertAlign w:val="superscript"/>
                      <w:lang w:val="en-US" w:eastAsia="zh-CN" w:bidi="ar-SA"/>
                    </w:rPr>
                    <w:t>2</w:t>
                  </w:r>
                  <w:r>
                    <w:rPr>
                      <w:rFonts w:hint="eastAsia" w:eastAsia="仿宋"/>
                      <w:color w:val="auto"/>
                      <w:szCs w:val="21"/>
                      <w:highlight w:val="none"/>
                    </w:rPr>
                    <w:t>，位于</w:t>
                  </w:r>
                  <w:r>
                    <w:rPr>
                      <w:rFonts w:hint="eastAsia" w:eastAsia="仿宋"/>
                      <w:color w:val="auto"/>
                      <w:szCs w:val="21"/>
                      <w:highlight w:val="none"/>
                      <w:lang w:val="en-US" w:eastAsia="zh-CN"/>
                    </w:rPr>
                    <w:t>租赁车间东南角</w:t>
                  </w:r>
                </w:p>
              </w:tc>
              <w:tc>
                <w:tcPr>
                  <w:tcW w:w="1088" w:type="pct"/>
                  <w:tcBorders>
                    <w:tl2br w:val="nil"/>
                    <w:tr2bl w:val="nil"/>
                  </w:tcBorders>
                  <w:vAlign w:val="center"/>
                </w:tcPr>
                <w:p w14:paraId="177CA43E">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湿式去毛刺</w:t>
                  </w:r>
                </w:p>
              </w:tc>
            </w:tr>
            <w:tr w14:paraId="66F36B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439" w:type="pct"/>
                  <w:vMerge w:val="restart"/>
                  <w:tcBorders>
                    <w:tl2br w:val="nil"/>
                    <w:tr2bl w:val="nil"/>
                  </w:tcBorders>
                  <w:vAlign w:val="center"/>
                </w:tcPr>
                <w:p w14:paraId="645D86FB">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辅助工程</w:t>
                  </w:r>
                </w:p>
              </w:tc>
              <w:tc>
                <w:tcPr>
                  <w:tcW w:w="864" w:type="pct"/>
                  <w:tcBorders>
                    <w:tl2br w:val="nil"/>
                    <w:tr2bl w:val="nil"/>
                  </w:tcBorders>
                  <w:vAlign w:val="center"/>
                </w:tcPr>
                <w:p w14:paraId="707CA461">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办公区域</w:t>
                  </w:r>
                  <w:r>
                    <w:rPr>
                      <w:rFonts w:hint="eastAsia" w:eastAsia="仿宋" w:cs="Times New Roman"/>
                      <w:color w:val="auto"/>
                      <w:sz w:val="21"/>
                      <w:szCs w:val="21"/>
                      <w:highlight w:val="none"/>
                      <w:lang w:eastAsia="zh-CN"/>
                    </w:rPr>
                    <w:t>（</w:t>
                  </w:r>
                  <w:r>
                    <w:rPr>
                      <w:rFonts w:hint="eastAsia" w:eastAsia="仿宋" w:cs="Times New Roman"/>
                      <w:color w:val="auto"/>
                      <w:sz w:val="21"/>
                      <w:szCs w:val="21"/>
                      <w:highlight w:val="none"/>
                      <w:lang w:val="en-US" w:eastAsia="zh-CN"/>
                    </w:rPr>
                    <w:t>办公室、会议室）</w:t>
                  </w:r>
                </w:p>
              </w:tc>
              <w:tc>
                <w:tcPr>
                  <w:tcW w:w="2607" w:type="pct"/>
                  <w:gridSpan w:val="2"/>
                  <w:tcBorders>
                    <w:tl2br w:val="nil"/>
                    <w:tr2bl w:val="nil"/>
                  </w:tcBorders>
                  <w:vAlign w:val="center"/>
                </w:tcPr>
                <w:p w14:paraId="3D62A19F">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建筑面积约</w:t>
                  </w:r>
                  <w:r>
                    <w:rPr>
                      <w:rFonts w:hint="eastAsia" w:eastAsia="仿宋" w:cs="Times New Roman"/>
                      <w:i w:val="0"/>
                      <w:iCs w:val="0"/>
                      <w:caps w:val="0"/>
                      <w:color w:val="auto"/>
                      <w:spacing w:val="0"/>
                      <w:kern w:val="2"/>
                      <w:sz w:val="21"/>
                      <w:szCs w:val="21"/>
                      <w:highlight w:val="none"/>
                      <w:shd w:val="clear" w:color="auto" w:fill="FFFFFF"/>
                      <w:lang w:val="en-US" w:eastAsia="zh-CN" w:bidi="ar-SA"/>
                    </w:rPr>
                    <w:t>171.22</w:t>
                  </w:r>
                  <w:r>
                    <w:rPr>
                      <w:rFonts w:hint="default" w:ascii="Times New Roman" w:hAnsi="Times New Roman" w:eastAsia="仿宋" w:cs="Times New Roman"/>
                      <w:i w:val="0"/>
                      <w:iCs w:val="0"/>
                      <w:caps w:val="0"/>
                      <w:color w:val="auto"/>
                      <w:spacing w:val="0"/>
                      <w:kern w:val="2"/>
                      <w:sz w:val="21"/>
                      <w:szCs w:val="21"/>
                      <w:highlight w:val="none"/>
                      <w:shd w:val="clear" w:color="auto" w:fill="FFFFFF"/>
                      <w:lang w:val="en-US" w:eastAsia="zh-CN" w:bidi="ar-SA"/>
                    </w:rPr>
                    <w:t>m</w:t>
                  </w:r>
                  <w:r>
                    <w:rPr>
                      <w:rFonts w:hint="default" w:ascii="Times New Roman" w:hAnsi="Times New Roman" w:eastAsia="仿宋" w:cs="Times New Roman"/>
                      <w:i w:val="0"/>
                      <w:iCs w:val="0"/>
                      <w:caps w:val="0"/>
                      <w:color w:val="auto"/>
                      <w:spacing w:val="0"/>
                      <w:kern w:val="2"/>
                      <w:sz w:val="21"/>
                      <w:szCs w:val="21"/>
                      <w:highlight w:val="none"/>
                      <w:shd w:val="clear" w:color="auto" w:fill="FFFFFF"/>
                      <w:vertAlign w:val="superscript"/>
                      <w:lang w:val="en-US" w:eastAsia="zh-CN" w:bidi="ar-SA"/>
                    </w:rPr>
                    <w:t>2</w:t>
                  </w:r>
                </w:p>
              </w:tc>
              <w:tc>
                <w:tcPr>
                  <w:tcW w:w="1088" w:type="pct"/>
                  <w:tcBorders>
                    <w:tl2br w:val="nil"/>
                    <w:tr2bl w:val="nil"/>
                  </w:tcBorders>
                  <w:vAlign w:val="center"/>
                </w:tcPr>
                <w:p w14:paraId="4712DF60">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员工办公</w:t>
                  </w:r>
                </w:p>
              </w:tc>
            </w:tr>
            <w:tr w14:paraId="4310EC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439" w:type="pct"/>
                  <w:vMerge w:val="continue"/>
                  <w:tcBorders>
                    <w:tl2br w:val="nil"/>
                    <w:tr2bl w:val="nil"/>
                  </w:tcBorders>
                  <w:vAlign w:val="center"/>
                </w:tcPr>
                <w:p w14:paraId="3BA692FB">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vAlign w:val="center"/>
                </w:tcPr>
                <w:p w14:paraId="1382FF47">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保安室</w:t>
                  </w:r>
                </w:p>
              </w:tc>
              <w:tc>
                <w:tcPr>
                  <w:tcW w:w="2607" w:type="pct"/>
                  <w:gridSpan w:val="2"/>
                  <w:tcBorders>
                    <w:tl2br w:val="nil"/>
                    <w:tr2bl w:val="nil"/>
                  </w:tcBorders>
                  <w:vAlign w:val="center"/>
                </w:tcPr>
                <w:p w14:paraId="741EE1ED">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建筑面积约</w:t>
                  </w:r>
                  <w:r>
                    <w:rPr>
                      <w:rFonts w:hint="eastAsia" w:eastAsia="仿宋" w:cs="Times New Roman"/>
                      <w:i w:val="0"/>
                      <w:iCs w:val="0"/>
                      <w:caps w:val="0"/>
                      <w:color w:val="auto"/>
                      <w:spacing w:val="0"/>
                      <w:kern w:val="2"/>
                      <w:sz w:val="21"/>
                      <w:szCs w:val="21"/>
                      <w:highlight w:val="none"/>
                      <w:shd w:val="clear" w:color="auto" w:fill="FFFFFF"/>
                      <w:lang w:val="en-US" w:eastAsia="zh-CN" w:bidi="ar-SA"/>
                    </w:rPr>
                    <w:t>8.18</w:t>
                  </w:r>
                  <w:r>
                    <w:rPr>
                      <w:rFonts w:hint="default" w:ascii="Times New Roman" w:hAnsi="Times New Roman" w:eastAsia="仿宋" w:cs="Times New Roman"/>
                      <w:i w:val="0"/>
                      <w:iCs w:val="0"/>
                      <w:caps w:val="0"/>
                      <w:color w:val="auto"/>
                      <w:spacing w:val="0"/>
                      <w:kern w:val="2"/>
                      <w:sz w:val="21"/>
                      <w:szCs w:val="21"/>
                      <w:highlight w:val="none"/>
                      <w:shd w:val="clear" w:color="auto" w:fill="FFFFFF"/>
                      <w:lang w:val="en-US" w:eastAsia="zh-CN" w:bidi="ar-SA"/>
                    </w:rPr>
                    <w:t>m</w:t>
                  </w:r>
                  <w:r>
                    <w:rPr>
                      <w:rFonts w:hint="default" w:ascii="Times New Roman" w:hAnsi="Times New Roman" w:eastAsia="仿宋" w:cs="Times New Roman"/>
                      <w:i w:val="0"/>
                      <w:iCs w:val="0"/>
                      <w:caps w:val="0"/>
                      <w:color w:val="auto"/>
                      <w:spacing w:val="0"/>
                      <w:kern w:val="2"/>
                      <w:sz w:val="21"/>
                      <w:szCs w:val="21"/>
                      <w:highlight w:val="none"/>
                      <w:shd w:val="clear" w:color="auto" w:fill="FFFFFF"/>
                      <w:vertAlign w:val="superscript"/>
                      <w:lang w:val="en-US" w:eastAsia="zh-CN" w:bidi="ar-SA"/>
                    </w:rPr>
                    <w:t>2</w:t>
                  </w:r>
                </w:p>
              </w:tc>
              <w:tc>
                <w:tcPr>
                  <w:tcW w:w="1088" w:type="pct"/>
                  <w:tcBorders>
                    <w:tl2br w:val="nil"/>
                    <w:tr2bl w:val="nil"/>
                  </w:tcBorders>
                  <w:vAlign w:val="center"/>
                </w:tcPr>
                <w:p w14:paraId="266499D6">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保安室</w:t>
                  </w:r>
                </w:p>
              </w:tc>
            </w:tr>
            <w:tr w14:paraId="201875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439" w:type="pct"/>
                  <w:vMerge w:val="continue"/>
                  <w:tcBorders>
                    <w:tl2br w:val="nil"/>
                    <w:tr2bl w:val="nil"/>
                  </w:tcBorders>
                  <w:vAlign w:val="center"/>
                </w:tcPr>
                <w:p w14:paraId="54A43A39">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vAlign w:val="center"/>
                </w:tcPr>
                <w:p w14:paraId="0BCA8AD1">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餐厅</w:t>
                  </w:r>
                </w:p>
              </w:tc>
              <w:tc>
                <w:tcPr>
                  <w:tcW w:w="2607" w:type="pct"/>
                  <w:gridSpan w:val="2"/>
                  <w:tcBorders>
                    <w:tl2br w:val="nil"/>
                    <w:tr2bl w:val="nil"/>
                  </w:tcBorders>
                  <w:vAlign w:val="center"/>
                </w:tcPr>
                <w:p w14:paraId="3D3600AE">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eastAsia" w:eastAsia="仿宋"/>
                      <w:color w:val="auto"/>
                      <w:szCs w:val="21"/>
                      <w:highlight w:val="none"/>
                    </w:rPr>
                    <w:t>建筑面积</w:t>
                  </w:r>
                  <w:r>
                    <w:rPr>
                      <w:rFonts w:hint="eastAsia" w:eastAsia="仿宋"/>
                      <w:color w:val="auto"/>
                      <w:szCs w:val="21"/>
                      <w:highlight w:val="none"/>
                      <w:lang w:val="en-US" w:eastAsia="zh-CN"/>
                    </w:rPr>
                    <w:t>78.36</w:t>
                  </w:r>
                  <w:r>
                    <w:rPr>
                      <w:rFonts w:hint="default" w:ascii="Times New Roman" w:hAnsi="Times New Roman" w:eastAsia="仿宋" w:cs="Times New Roman"/>
                      <w:i w:val="0"/>
                      <w:iCs w:val="0"/>
                      <w:caps w:val="0"/>
                      <w:color w:val="auto"/>
                      <w:spacing w:val="0"/>
                      <w:kern w:val="2"/>
                      <w:sz w:val="21"/>
                      <w:szCs w:val="21"/>
                      <w:highlight w:val="none"/>
                      <w:shd w:val="clear" w:color="auto" w:fill="FFFFFF"/>
                      <w:lang w:val="en-US" w:eastAsia="zh-CN" w:bidi="ar-SA"/>
                    </w:rPr>
                    <w:t>m</w:t>
                  </w:r>
                  <w:r>
                    <w:rPr>
                      <w:rFonts w:hint="default" w:ascii="Times New Roman" w:hAnsi="Times New Roman" w:eastAsia="仿宋" w:cs="Times New Roman"/>
                      <w:i w:val="0"/>
                      <w:iCs w:val="0"/>
                      <w:caps w:val="0"/>
                      <w:color w:val="auto"/>
                      <w:spacing w:val="0"/>
                      <w:kern w:val="2"/>
                      <w:sz w:val="21"/>
                      <w:szCs w:val="21"/>
                      <w:highlight w:val="none"/>
                      <w:shd w:val="clear" w:color="auto" w:fill="FFFFFF"/>
                      <w:vertAlign w:val="superscript"/>
                      <w:lang w:val="en-US" w:eastAsia="zh-CN" w:bidi="ar-SA"/>
                    </w:rPr>
                    <w:t>2</w:t>
                  </w:r>
                  <w:r>
                    <w:rPr>
                      <w:rFonts w:hint="eastAsia" w:eastAsia="仿宋"/>
                      <w:color w:val="auto"/>
                      <w:szCs w:val="21"/>
                      <w:highlight w:val="none"/>
                    </w:rPr>
                    <w:t>，位于</w:t>
                  </w:r>
                  <w:r>
                    <w:rPr>
                      <w:rFonts w:hint="eastAsia" w:eastAsia="仿宋"/>
                      <w:color w:val="auto"/>
                      <w:szCs w:val="21"/>
                      <w:highlight w:val="none"/>
                      <w:lang w:val="en-US" w:eastAsia="zh-CN"/>
                    </w:rPr>
                    <w:t>租赁车间东北角</w:t>
                  </w:r>
                </w:p>
              </w:tc>
              <w:tc>
                <w:tcPr>
                  <w:tcW w:w="1088" w:type="pct"/>
                  <w:tcBorders>
                    <w:tl2br w:val="nil"/>
                    <w:tr2bl w:val="nil"/>
                  </w:tcBorders>
                  <w:vAlign w:val="center"/>
                </w:tcPr>
                <w:p w14:paraId="2094275F">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餐食为外送</w:t>
                  </w:r>
                </w:p>
              </w:tc>
            </w:tr>
            <w:tr w14:paraId="0F0C3F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39" w:type="pct"/>
                  <w:vMerge w:val="restart"/>
                  <w:tcBorders>
                    <w:tl2br w:val="nil"/>
                    <w:tr2bl w:val="nil"/>
                  </w:tcBorders>
                  <w:vAlign w:val="center"/>
                </w:tcPr>
                <w:p w14:paraId="74C23FA5">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储运工程</w:t>
                  </w:r>
                </w:p>
              </w:tc>
              <w:tc>
                <w:tcPr>
                  <w:tcW w:w="864" w:type="pct"/>
                  <w:tcBorders>
                    <w:tl2br w:val="nil"/>
                    <w:tr2bl w:val="nil"/>
                  </w:tcBorders>
                  <w:vAlign w:val="center"/>
                </w:tcPr>
                <w:p w14:paraId="390756B5">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eastAsia="zh-CN"/>
                    </w:rPr>
                    <w:t>原</w:t>
                  </w:r>
                  <w:r>
                    <w:rPr>
                      <w:rFonts w:hint="eastAsia" w:eastAsia="仿宋" w:cs="Times New Roman"/>
                      <w:color w:val="auto"/>
                      <w:sz w:val="21"/>
                      <w:szCs w:val="21"/>
                      <w:highlight w:val="none"/>
                      <w:lang w:val="en-US" w:eastAsia="zh-CN"/>
                    </w:rPr>
                    <w:t>辅</w:t>
                  </w:r>
                  <w:r>
                    <w:rPr>
                      <w:rFonts w:hint="default" w:ascii="Times New Roman" w:hAnsi="Times New Roman" w:eastAsia="仿宋" w:cs="Times New Roman"/>
                      <w:color w:val="auto"/>
                      <w:sz w:val="21"/>
                      <w:szCs w:val="21"/>
                      <w:highlight w:val="none"/>
                      <w:lang w:val="en-US" w:eastAsia="zh-CN"/>
                    </w:rPr>
                    <w:t>料</w:t>
                  </w:r>
                  <w:r>
                    <w:rPr>
                      <w:rFonts w:hint="eastAsia" w:eastAsia="仿宋" w:cs="Times New Roman"/>
                      <w:color w:val="auto"/>
                      <w:sz w:val="21"/>
                      <w:szCs w:val="21"/>
                      <w:highlight w:val="none"/>
                      <w:lang w:val="en-US" w:eastAsia="zh-CN"/>
                    </w:rPr>
                    <w:t>暂存区</w:t>
                  </w:r>
                </w:p>
              </w:tc>
              <w:tc>
                <w:tcPr>
                  <w:tcW w:w="2607" w:type="pct"/>
                  <w:gridSpan w:val="2"/>
                  <w:tcBorders>
                    <w:tl2br w:val="nil"/>
                    <w:tr2bl w:val="nil"/>
                  </w:tcBorders>
                  <w:vAlign w:val="center"/>
                </w:tcPr>
                <w:p w14:paraId="74223FBA">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建筑面积约</w:t>
                  </w:r>
                  <w:r>
                    <w:rPr>
                      <w:rFonts w:hint="eastAsia" w:eastAsia="仿宋" w:cs="Times New Roman"/>
                      <w:color w:val="auto"/>
                      <w:sz w:val="21"/>
                      <w:szCs w:val="21"/>
                      <w:highlight w:val="none"/>
                      <w:lang w:val="en-US" w:eastAsia="zh-CN"/>
                    </w:rPr>
                    <w:t>50</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2</w:t>
                  </w:r>
                  <w:r>
                    <w:rPr>
                      <w:rFonts w:hint="eastAsia" w:eastAsia="仿宋"/>
                      <w:color w:val="auto"/>
                      <w:szCs w:val="21"/>
                      <w:highlight w:val="none"/>
                    </w:rPr>
                    <w:t>，位于</w:t>
                  </w:r>
                  <w:r>
                    <w:rPr>
                      <w:rFonts w:hint="eastAsia" w:eastAsia="仿宋"/>
                      <w:color w:val="auto"/>
                      <w:szCs w:val="21"/>
                      <w:highlight w:val="none"/>
                      <w:lang w:val="en-US" w:eastAsia="zh-CN"/>
                    </w:rPr>
                    <w:t>租赁车间西侧</w:t>
                  </w:r>
                </w:p>
              </w:tc>
              <w:tc>
                <w:tcPr>
                  <w:tcW w:w="1088" w:type="pct"/>
                  <w:tcBorders>
                    <w:tl2br w:val="nil"/>
                    <w:tr2bl w:val="nil"/>
                  </w:tcBorders>
                  <w:vAlign w:val="center"/>
                </w:tcPr>
                <w:p w14:paraId="628072EF">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原辅料储存</w:t>
                  </w:r>
                </w:p>
              </w:tc>
            </w:tr>
            <w:tr w14:paraId="653C43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39" w:type="pct"/>
                  <w:vMerge w:val="continue"/>
                  <w:tcBorders>
                    <w:tl2br w:val="nil"/>
                    <w:tr2bl w:val="nil"/>
                  </w:tcBorders>
                  <w:vAlign w:val="center"/>
                </w:tcPr>
                <w:p w14:paraId="4850799A">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shd w:val="clear" w:color="auto" w:fill="auto"/>
                  <w:vAlign w:val="center"/>
                </w:tcPr>
                <w:p w14:paraId="565DEEFA">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成品</w:t>
                  </w:r>
                  <w:r>
                    <w:rPr>
                      <w:rFonts w:hint="eastAsia" w:eastAsia="仿宋" w:cs="Times New Roman"/>
                      <w:color w:val="auto"/>
                      <w:sz w:val="21"/>
                      <w:szCs w:val="21"/>
                      <w:highlight w:val="none"/>
                      <w:lang w:val="en-US" w:eastAsia="zh-CN"/>
                    </w:rPr>
                    <w:t>暂存区</w:t>
                  </w:r>
                </w:p>
              </w:tc>
              <w:tc>
                <w:tcPr>
                  <w:tcW w:w="2607" w:type="pct"/>
                  <w:gridSpan w:val="2"/>
                  <w:tcBorders>
                    <w:tl2br w:val="nil"/>
                    <w:tr2bl w:val="nil"/>
                  </w:tcBorders>
                  <w:shd w:val="clear" w:color="auto" w:fill="auto"/>
                  <w:vAlign w:val="center"/>
                </w:tcPr>
                <w:p w14:paraId="3E7611C6">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rPr>
                    <w:t>建筑面积约</w:t>
                  </w:r>
                  <w:r>
                    <w:rPr>
                      <w:rFonts w:hint="eastAsia" w:eastAsia="仿宋" w:cs="Times New Roman"/>
                      <w:color w:val="auto"/>
                      <w:sz w:val="21"/>
                      <w:szCs w:val="21"/>
                      <w:highlight w:val="none"/>
                      <w:lang w:val="en-US" w:eastAsia="zh-CN"/>
                    </w:rPr>
                    <w:t>46</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2</w:t>
                  </w:r>
                  <w:r>
                    <w:rPr>
                      <w:rFonts w:hint="eastAsia" w:eastAsia="仿宋"/>
                      <w:color w:val="auto"/>
                      <w:szCs w:val="21"/>
                      <w:highlight w:val="none"/>
                    </w:rPr>
                    <w:t>，位于</w:t>
                  </w:r>
                  <w:r>
                    <w:rPr>
                      <w:rFonts w:hint="eastAsia" w:eastAsia="仿宋"/>
                      <w:color w:val="auto"/>
                      <w:szCs w:val="21"/>
                      <w:highlight w:val="none"/>
                      <w:lang w:val="en-US" w:eastAsia="zh-CN"/>
                    </w:rPr>
                    <w:t>租赁车间西侧</w:t>
                  </w:r>
                </w:p>
              </w:tc>
              <w:tc>
                <w:tcPr>
                  <w:tcW w:w="1088" w:type="pct"/>
                  <w:tcBorders>
                    <w:tl2br w:val="nil"/>
                    <w:tr2bl w:val="nil"/>
                  </w:tcBorders>
                  <w:vAlign w:val="center"/>
                </w:tcPr>
                <w:p w14:paraId="35060C04">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成品储存</w:t>
                  </w:r>
                </w:p>
              </w:tc>
            </w:tr>
            <w:tr w14:paraId="3E74BE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39" w:type="pct"/>
                  <w:vMerge w:val="continue"/>
                  <w:tcBorders>
                    <w:tl2br w:val="nil"/>
                    <w:tr2bl w:val="nil"/>
                  </w:tcBorders>
                  <w:vAlign w:val="center"/>
                </w:tcPr>
                <w:p w14:paraId="42033D40">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vAlign w:val="center"/>
                </w:tcPr>
                <w:p w14:paraId="549563D2">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化学品仓库</w:t>
                  </w:r>
                </w:p>
              </w:tc>
              <w:tc>
                <w:tcPr>
                  <w:tcW w:w="2607" w:type="pct"/>
                  <w:gridSpan w:val="2"/>
                  <w:tcBorders>
                    <w:tl2br w:val="nil"/>
                    <w:tr2bl w:val="nil"/>
                  </w:tcBorders>
                  <w:vAlign w:val="center"/>
                </w:tcPr>
                <w:p w14:paraId="4775E693">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建筑面积约</w:t>
                  </w:r>
                  <w:r>
                    <w:rPr>
                      <w:rFonts w:hint="eastAsia" w:eastAsia="仿宋" w:cs="Times New Roman"/>
                      <w:color w:val="auto"/>
                      <w:sz w:val="21"/>
                      <w:szCs w:val="21"/>
                      <w:highlight w:val="none"/>
                      <w:lang w:val="en-US" w:eastAsia="zh-CN"/>
                    </w:rPr>
                    <w:t>5</w:t>
                  </w:r>
                  <w:r>
                    <w:rPr>
                      <w:rFonts w:hint="default" w:ascii="Times New Roman" w:hAnsi="Times New Roman" w:eastAsia="仿宋" w:cs="Times New Roman"/>
                      <w:color w:val="auto"/>
                      <w:sz w:val="21"/>
                      <w:szCs w:val="21"/>
                      <w:highlight w:val="none"/>
                    </w:rPr>
                    <w:t>m</w:t>
                  </w:r>
                  <w:r>
                    <w:rPr>
                      <w:rFonts w:hint="default" w:ascii="Times New Roman" w:hAnsi="Times New Roman" w:eastAsia="仿宋" w:cs="Times New Roman"/>
                      <w:color w:val="auto"/>
                      <w:sz w:val="21"/>
                      <w:szCs w:val="21"/>
                      <w:highlight w:val="none"/>
                      <w:vertAlign w:val="superscript"/>
                    </w:rPr>
                    <w:t>2</w:t>
                  </w:r>
                  <w:r>
                    <w:rPr>
                      <w:rFonts w:hint="eastAsia" w:eastAsia="仿宋"/>
                      <w:color w:val="auto"/>
                      <w:szCs w:val="21"/>
                      <w:highlight w:val="none"/>
                    </w:rPr>
                    <w:t>，位于</w:t>
                  </w:r>
                  <w:r>
                    <w:rPr>
                      <w:rFonts w:hint="eastAsia" w:eastAsia="仿宋"/>
                      <w:color w:val="auto"/>
                      <w:szCs w:val="21"/>
                      <w:highlight w:val="none"/>
                      <w:lang w:val="en-US" w:eastAsia="zh-CN"/>
                    </w:rPr>
                    <w:t>租赁车间西侧</w:t>
                  </w:r>
                </w:p>
              </w:tc>
              <w:tc>
                <w:tcPr>
                  <w:tcW w:w="1088" w:type="pct"/>
                  <w:tcBorders>
                    <w:tl2br w:val="nil"/>
                    <w:tr2bl w:val="nil"/>
                  </w:tcBorders>
                  <w:vAlign w:val="center"/>
                </w:tcPr>
                <w:p w14:paraId="5F0A5000">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切削液储存</w:t>
                  </w:r>
                </w:p>
              </w:tc>
            </w:tr>
            <w:tr w14:paraId="7C533F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39" w:type="pct"/>
                  <w:vMerge w:val="restart"/>
                  <w:tcBorders>
                    <w:tl2br w:val="nil"/>
                    <w:tr2bl w:val="nil"/>
                  </w:tcBorders>
                  <w:vAlign w:val="center"/>
                </w:tcPr>
                <w:p w14:paraId="0B6F8395">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公用工程</w:t>
                  </w:r>
                </w:p>
              </w:tc>
              <w:tc>
                <w:tcPr>
                  <w:tcW w:w="864" w:type="pct"/>
                  <w:tcBorders>
                    <w:tl2br w:val="nil"/>
                    <w:tr2bl w:val="nil"/>
                  </w:tcBorders>
                  <w:vAlign w:val="center"/>
                </w:tcPr>
                <w:p w14:paraId="430DC328">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供水</w:t>
                  </w:r>
                </w:p>
              </w:tc>
              <w:tc>
                <w:tcPr>
                  <w:tcW w:w="2607" w:type="pct"/>
                  <w:gridSpan w:val="2"/>
                  <w:tcBorders>
                    <w:tl2br w:val="nil"/>
                    <w:tr2bl w:val="nil"/>
                  </w:tcBorders>
                  <w:vAlign w:val="center"/>
                </w:tcPr>
                <w:p w14:paraId="5367602A">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市政给水管网供水，项目用水为生活用水</w:t>
                  </w:r>
                  <w:r>
                    <w:rPr>
                      <w:rFonts w:hint="default" w:ascii="Times New Roman" w:hAnsi="Times New Roman" w:eastAsia="仿宋" w:cs="Times New Roman"/>
                      <w:color w:val="auto"/>
                      <w:sz w:val="21"/>
                      <w:szCs w:val="21"/>
                      <w:highlight w:val="none"/>
                      <w:lang w:eastAsia="zh-CN"/>
                    </w:rPr>
                    <w:t>、</w:t>
                  </w:r>
                  <w:r>
                    <w:rPr>
                      <w:rFonts w:hint="eastAsia" w:eastAsia="仿宋" w:cs="Times New Roman"/>
                      <w:color w:val="auto"/>
                      <w:sz w:val="21"/>
                      <w:szCs w:val="21"/>
                      <w:highlight w:val="none"/>
                      <w:lang w:val="en-US" w:eastAsia="zh-CN"/>
                    </w:rPr>
                    <w:t>切削液配置用水、湿式去毛刺用水，</w:t>
                  </w:r>
                  <w:r>
                    <w:rPr>
                      <w:rFonts w:hint="default" w:ascii="Times New Roman" w:hAnsi="Times New Roman" w:eastAsia="仿宋" w:cs="Times New Roman"/>
                      <w:color w:val="auto"/>
                      <w:sz w:val="21"/>
                      <w:szCs w:val="21"/>
                      <w:highlight w:val="none"/>
                      <w:lang w:val="en-US" w:eastAsia="zh-CN"/>
                    </w:rPr>
                    <w:t>总量</w:t>
                  </w:r>
                  <w:r>
                    <w:rPr>
                      <w:rFonts w:hint="default" w:ascii="Times New Roman" w:hAnsi="Times New Roman" w:eastAsia="仿宋" w:cs="Times New Roman"/>
                      <w:color w:val="auto"/>
                      <w:sz w:val="21"/>
                      <w:szCs w:val="21"/>
                      <w:highlight w:val="none"/>
                    </w:rPr>
                    <w:t>约为</w:t>
                  </w:r>
                  <w:r>
                    <w:rPr>
                      <w:rFonts w:hint="eastAsia" w:eastAsia="仿宋" w:cs="Times New Roman"/>
                      <w:i w:val="0"/>
                      <w:iCs w:val="0"/>
                      <w:caps w:val="0"/>
                      <w:color w:val="auto"/>
                      <w:spacing w:val="0"/>
                      <w:kern w:val="2"/>
                      <w:sz w:val="21"/>
                      <w:szCs w:val="21"/>
                      <w:highlight w:val="none"/>
                      <w:shd w:val="clear" w:color="auto" w:fill="FFFFFF"/>
                      <w:lang w:val="en-US" w:eastAsia="zh-CN" w:bidi="ar-SA"/>
                    </w:rPr>
                    <w:t>450t</w:t>
                  </w:r>
                  <w:r>
                    <w:rPr>
                      <w:rFonts w:hint="default" w:ascii="Times New Roman" w:hAnsi="Times New Roman" w:eastAsia="仿宋" w:cs="Times New Roman"/>
                      <w:i w:val="0"/>
                      <w:iCs w:val="0"/>
                      <w:caps w:val="0"/>
                      <w:color w:val="auto"/>
                      <w:spacing w:val="0"/>
                      <w:kern w:val="2"/>
                      <w:sz w:val="21"/>
                      <w:szCs w:val="21"/>
                      <w:highlight w:val="none"/>
                      <w:shd w:val="clear" w:color="auto" w:fill="FFFFFF"/>
                      <w:lang w:val="en-US" w:eastAsia="zh-CN" w:bidi="ar-SA"/>
                    </w:rPr>
                    <w:t>/a；</w:t>
                  </w:r>
                </w:p>
              </w:tc>
              <w:tc>
                <w:tcPr>
                  <w:tcW w:w="1088" w:type="pct"/>
                  <w:tcBorders>
                    <w:tl2br w:val="nil"/>
                    <w:tr2bl w:val="nil"/>
                  </w:tcBorders>
                  <w:vAlign w:val="center"/>
                </w:tcPr>
                <w:p w14:paraId="6B6A6361">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w:t>
                  </w:r>
                </w:p>
              </w:tc>
            </w:tr>
            <w:tr w14:paraId="5741F0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439" w:type="pct"/>
                  <w:vMerge w:val="continue"/>
                  <w:tcBorders>
                    <w:tl2br w:val="nil"/>
                    <w:tr2bl w:val="nil"/>
                  </w:tcBorders>
                  <w:vAlign w:val="center"/>
                </w:tcPr>
                <w:p w14:paraId="4C1D1A6B">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vAlign w:val="center"/>
                </w:tcPr>
                <w:p w14:paraId="6B9E6A45">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排水</w:t>
                  </w:r>
                </w:p>
              </w:tc>
              <w:tc>
                <w:tcPr>
                  <w:tcW w:w="2607" w:type="pct"/>
                  <w:gridSpan w:val="2"/>
                  <w:tcBorders>
                    <w:tl2br w:val="nil"/>
                    <w:tr2bl w:val="nil"/>
                  </w:tcBorders>
                  <w:vAlign w:val="center"/>
                </w:tcPr>
                <w:p w14:paraId="64DE30E4">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pacing w:val="-6"/>
                      <w:sz w:val="21"/>
                      <w:szCs w:val="21"/>
                      <w:highlight w:val="none"/>
                      <w:lang w:val="en-US" w:eastAsia="zh-CN"/>
                    </w:rPr>
                  </w:pPr>
                  <w:r>
                    <w:rPr>
                      <w:rFonts w:hint="default" w:ascii="Times New Roman" w:hAnsi="Times New Roman" w:eastAsia="仿宋" w:cs="Times New Roman"/>
                      <w:color w:val="auto"/>
                      <w:spacing w:val="-6"/>
                      <w:sz w:val="21"/>
                      <w:szCs w:val="21"/>
                      <w:highlight w:val="none"/>
                    </w:rPr>
                    <w:t>项目所在厂区实行雨污分流，外排废水为生活污水</w:t>
                  </w:r>
                  <w:r>
                    <w:rPr>
                      <w:rFonts w:hint="eastAsia" w:eastAsia="仿宋" w:cs="Times New Roman"/>
                      <w:color w:val="auto"/>
                      <w:spacing w:val="-6"/>
                      <w:sz w:val="21"/>
                      <w:szCs w:val="21"/>
                      <w:highlight w:val="none"/>
                      <w:lang w:eastAsia="zh-CN"/>
                    </w:rPr>
                    <w:t>，</w:t>
                  </w:r>
                  <w:r>
                    <w:rPr>
                      <w:rFonts w:hint="default" w:ascii="Times New Roman" w:hAnsi="Times New Roman" w:eastAsia="仿宋" w:cs="Times New Roman"/>
                      <w:color w:val="auto"/>
                      <w:spacing w:val="-6"/>
                      <w:sz w:val="21"/>
                      <w:szCs w:val="21"/>
                      <w:highlight w:val="none"/>
                    </w:rPr>
                    <w:t>排入</w:t>
                  </w:r>
                  <w:r>
                    <w:rPr>
                      <w:rFonts w:hint="eastAsia" w:ascii="Times New Roman" w:hAnsi="Times New Roman" w:eastAsia="仿宋" w:cs="Times New Roman"/>
                      <w:color w:val="auto"/>
                      <w:sz w:val="21"/>
                      <w:szCs w:val="21"/>
                      <w:highlight w:val="none"/>
                      <w:lang w:val="en-US" w:eastAsia="zh-CN"/>
                    </w:rPr>
                    <w:t>苏州市相润排水管理有限公司（漕湖污水处理厂）</w:t>
                  </w:r>
                  <w:r>
                    <w:rPr>
                      <w:rFonts w:hint="default" w:ascii="Times New Roman" w:hAnsi="Times New Roman" w:eastAsia="仿宋" w:cs="Times New Roman"/>
                      <w:color w:val="auto"/>
                      <w:spacing w:val="-6"/>
                      <w:sz w:val="21"/>
                      <w:szCs w:val="21"/>
                      <w:highlight w:val="none"/>
                      <w:lang w:val="en-US" w:eastAsia="zh-CN"/>
                    </w:rPr>
                    <w:t>集中处理</w:t>
                  </w:r>
                </w:p>
              </w:tc>
              <w:tc>
                <w:tcPr>
                  <w:tcW w:w="1088" w:type="pct"/>
                  <w:tcBorders>
                    <w:tl2br w:val="nil"/>
                    <w:tr2bl w:val="nil"/>
                  </w:tcBorders>
                  <w:vAlign w:val="center"/>
                </w:tcPr>
                <w:p w14:paraId="3C6539F0">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pacing w:val="-6"/>
                      <w:sz w:val="21"/>
                      <w:szCs w:val="21"/>
                      <w:highlight w:val="none"/>
                      <w:lang w:val="en-US" w:eastAsia="zh-CN"/>
                    </w:rPr>
                  </w:pPr>
                  <w:r>
                    <w:rPr>
                      <w:rFonts w:hint="eastAsia" w:eastAsia="仿宋" w:cs="Times New Roman"/>
                      <w:color w:val="auto"/>
                      <w:spacing w:val="-6"/>
                      <w:sz w:val="21"/>
                      <w:szCs w:val="21"/>
                      <w:highlight w:val="none"/>
                      <w:lang w:val="en-US" w:eastAsia="zh-CN"/>
                    </w:rPr>
                    <w:t>依托租赁厂房总排口</w:t>
                  </w:r>
                </w:p>
              </w:tc>
            </w:tr>
            <w:tr w14:paraId="7D184C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39" w:type="pct"/>
                  <w:vMerge w:val="continue"/>
                  <w:tcBorders>
                    <w:tl2br w:val="nil"/>
                    <w:tr2bl w:val="nil"/>
                  </w:tcBorders>
                  <w:vAlign w:val="center"/>
                </w:tcPr>
                <w:p w14:paraId="40D92ED2">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vAlign w:val="center"/>
                </w:tcPr>
                <w:p w14:paraId="2F203C7E">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供电</w:t>
                  </w:r>
                </w:p>
              </w:tc>
              <w:tc>
                <w:tcPr>
                  <w:tcW w:w="2607" w:type="pct"/>
                  <w:gridSpan w:val="2"/>
                  <w:tcBorders>
                    <w:tl2br w:val="nil"/>
                    <w:tr2bl w:val="nil"/>
                  </w:tcBorders>
                  <w:vAlign w:val="center"/>
                </w:tcPr>
                <w:p w14:paraId="3C4AD29E">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市政供电管网供给，</w:t>
                  </w:r>
                  <w:r>
                    <w:rPr>
                      <w:rFonts w:hint="default" w:ascii="Times New Roman" w:hAnsi="Times New Roman" w:eastAsia="仿宋" w:cs="Times New Roman"/>
                      <w:color w:val="auto"/>
                      <w:sz w:val="21"/>
                      <w:szCs w:val="21"/>
                      <w:highlight w:val="none"/>
                      <w:lang w:val="en-US" w:eastAsia="zh-CN"/>
                    </w:rPr>
                    <w:t>400</w:t>
                  </w:r>
                  <w:r>
                    <w:rPr>
                      <w:rFonts w:hint="default" w:ascii="Times New Roman" w:hAnsi="Times New Roman" w:eastAsia="仿宋" w:cs="Times New Roman"/>
                      <w:color w:val="auto"/>
                      <w:sz w:val="21"/>
                      <w:szCs w:val="21"/>
                      <w:highlight w:val="none"/>
                    </w:rPr>
                    <w:t>万度/年</w:t>
                  </w:r>
                </w:p>
              </w:tc>
              <w:tc>
                <w:tcPr>
                  <w:tcW w:w="1088" w:type="pct"/>
                  <w:tcBorders>
                    <w:tl2br w:val="nil"/>
                    <w:tr2bl w:val="nil"/>
                  </w:tcBorders>
                  <w:vAlign w:val="center"/>
                </w:tcPr>
                <w:p w14:paraId="7C2B8753">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w:t>
                  </w:r>
                </w:p>
              </w:tc>
            </w:tr>
            <w:tr w14:paraId="22A85E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9" w:type="pct"/>
                  <w:vMerge w:val="restart"/>
                  <w:tcBorders>
                    <w:tl2br w:val="nil"/>
                    <w:tr2bl w:val="nil"/>
                  </w:tcBorders>
                  <w:vAlign w:val="center"/>
                </w:tcPr>
                <w:p w14:paraId="62D9ABAD">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环保工程</w:t>
                  </w:r>
                </w:p>
              </w:tc>
              <w:tc>
                <w:tcPr>
                  <w:tcW w:w="864" w:type="pct"/>
                  <w:tcBorders>
                    <w:tl2br w:val="nil"/>
                    <w:tr2bl w:val="nil"/>
                  </w:tcBorders>
                  <w:vAlign w:val="center"/>
                </w:tcPr>
                <w:p w14:paraId="43D10519">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大气污染防治</w:t>
                  </w:r>
                </w:p>
              </w:tc>
              <w:tc>
                <w:tcPr>
                  <w:tcW w:w="2607" w:type="pct"/>
                  <w:gridSpan w:val="2"/>
                  <w:tcBorders>
                    <w:tl2br w:val="nil"/>
                    <w:tr2bl w:val="nil"/>
                  </w:tcBorders>
                  <w:vAlign w:val="center"/>
                </w:tcPr>
                <w:p w14:paraId="36ABE415">
                  <w:pPr>
                    <w:pStyle w:val="29"/>
                    <w:keepNext w:val="0"/>
                    <w:keepLines w:val="0"/>
                    <w:pageBreakBefore w:val="0"/>
                    <w:widowControl w:val="0"/>
                    <w:tabs>
                      <w:tab w:val="left" w:pos="3456"/>
                    </w:tabs>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机加工油雾废气经油雾净化装置处理后车间无组织排放</w:t>
                  </w:r>
                </w:p>
              </w:tc>
              <w:tc>
                <w:tcPr>
                  <w:tcW w:w="1088" w:type="pct"/>
                  <w:tcBorders>
                    <w:tl2br w:val="nil"/>
                    <w:tr2bl w:val="nil"/>
                  </w:tcBorders>
                  <w:vAlign w:val="center"/>
                </w:tcPr>
                <w:p w14:paraId="6FB88C6E">
                  <w:pPr>
                    <w:pStyle w:val="29"/>
                    <w:keepNext w:val="0"/>
                    <w:keepLines w:val="0"/>
                    <w:pageBreakBefore w:val="0"/>
                    <w:widowControl w:val="0"/>
                    <w:tabs>
                      <w:tab w:val="left" w:pos="3456"/>
                    </w:tabs>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w:t>
                  </w:r>
                </w:p>
              </w:tc>
            </w:tr>
            <w:tr w14:paraId="1756F6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9" w:type="pct"/>
                  <w:vMerge w:val="continue"/>
                  <w:tcBorders>
                    <w:tl2br w:val="nil"/>
                    <w:tr2bl w:val="nil"/>
                  </w:tcBorders>
                  <w:vAlign w:val="center"/>
                </w:tcPr>
                <w:p w14:paraId="2EE30754">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vAlign w:val="center"/>
                </w:tcPr>
                <w:p w14:paraId="04899A8F">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水污染防治</w:t>
                  </w:r>
                </w:p>
              </w:tc>
              <w:tc>
                <w:tcPr>
                  <w:tcW w:w="2607" w:type="pct"/>
                  <w:gridSpan w:val="2"/>
                  <w:tcBorders>
                    <w:tl2br w:val="nil"/>
                    <w:tr2bl w:val="nil"/>
                  </w:tcBorders>
                  <w:vAlign w:val="center"/>
                </w:tcPr>
                <w:p w14:paraId="62DB48B4">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项目不产生生产废水，生活污水直接纳管排入苏州市相润排水管理有限公司（漕湖污水处理厂）处理</w:t>
                  </w:r>
                </w:p>
              </w:tc>
              <w:tc>
                <w:tcPr>
                  <w:tcW w:w="1088" w:type="pct"/>
                  <w:tcBorders>
                    <w:tl2br w:val="nil"/>
                    <w:tr2bl w:val="nil"/>
                  </w:tcBorders>
                  <w:vAlign w:val="center"/>
                </w:tcPr>
                <w:p w14:paraId="54B00F7E">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pacing w:val="-6"/>
                      <w:sz w:val="21"/>
                      <w:szCs w:val="21"/>
                      <w:highlight w:val="none"/>
                      <w:lang w:val="en-US" w:eastAsia="zh-CN"/>
                    </w:rPr>
                  </w:pPr>
                  <w:r>
                    <w:rPr>
                      <w:rFonts w:hint="default" w:ascii="Times New Roman" w:hAnsi="Times New Roman" w:eastAsia="仿宋" w:cs="Times New Roman"/>
                      <w:color w:val="auto"/>
                      <w:spacing w:val="-6"/>
                      <w:sz w:val="21"/>
                      <w:szCs w:val="21"/>
                      <w:highlight w:val="none"/>
                      <w:lang w:val="en-US" w:eastAsia="zh-CN"/>
                    </w:rPr>
                    <w:t>/</w:t>
                  </w:r>
                </w:p>
              </w:tc>
            </w:tr>
            <w:tr w14:paraId="213BC1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9" w:type="pct"/>
                  <w:vMerge w:val="continue"/>
                  <w:tcBorders>
                    <w:tl2br w:val="nil"/>
                    <w:tr2bl w:val="nil"/>
                  </w:tcBorders>
                  <w:vAlign w:val="center"/>
                </w:tcPr>
                <w:p w14:paraId="0100D9FE">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vAlign w:val="center"/>
                </w:tcPr>
                <w:p w14:paraId="2CE88089">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噪声污染防治</w:t>
                  </w:r>
                </w:p>
              </w:tc>
              <w:tc>
                <w:tcPr>
                  <w:tcW w:w="2607" w:type="pct"/>
                  <w:gridSpan w:val="2"/>
                  <w:tcBorders>
                    <w:tl2br w:val="nil"/>
                    <w:tr2bl w:val="nil"/>
                  </w:tcBorders>
                  <w:vAlign w:val="center"/>
                </w:tcPr>
                <w:p w14:paraId="7CCBDE55">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合理布局车间，项目所使用的机械设备均选用低噪声设备；车间设备工作时，应关闭门窗，充分利用车间墙体的隔声作用；加强对机械设备的维修与保养，避免因老化引起的噪声</w:t>
                  </w:r>
                </w:p>
              </w:tc>
              <w:tc>
                <w:tcPr>
                  <w:tcW w:w="1088" w:type="pct"/>
                  <w:tcBorders>
                    <w:tl2br w:val="nil"/>
                    <w:tr2bl w:val="nil"/>
                  </w:tcBorders>
                  <w:vAlign w:val="center"/>
                </w:tcPr>
                <w:p w14:paraId="2F30C8A4">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w:t>
                  </w:r>
                </w:p>
              </w:tc>
            </w:tr>
            <w:tr w14:paraId="0CF5D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9" w:type="pct"/>
                  <w:vMerge w:val="continue"/>
                  <w:tcBorders>
                    <w:tl2br w:val="nil"/>
                    <w:tr2bl w:val="nil"/>
                  </w:tcBorders>
                  <w:vAlign w:val="center"/>
                </w:tcPr>
                <w:p w14:paraId="32F6ED6D">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tcBorders>
                    <w:tl2br w:val="nil"/>
                    <w:tr2bl w:val="nil"/>
                  </w:tcBorders>
                  <w:vAlign w:val="center"/>
                </w:tcPr>
                <w:p w14:paraId="18548441">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风险防范措施</w:t>
                  </w:r>
                </w:p>
              </w:tc>
              <w:tc>
                <w:tcPr>
                  <w:tcW w:w="2607" w:type="pct"/>
                  <w:gridSpan w:val="2"/>
                  <w:tcBorders>
                    <w:tl2br w:val="nil"/>
                    <w:tr2bl w:val="nil"/>
                  </w:tcBorders>
                  <w:vAlign w:val="center"/>
                </w:tcPr>
                <w:p w14:paraId="0BC69BA6">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rPr>
                    <w:t>雨水排口截止阀，事故状态下关闭截止阀阀门，可防止受污染的雨水、消防水和泄漏物外排</w:t>
                  </w:r>
                  <w:r>
                    <w:rPr>
                      <w:rFonts w:hint="default" w:eastAsia="仿宋"/>
                      <w:color w:val="auto"/>
                      <w:highlight w:val="none"/>
                      <w:lang w:eastAsia="zh-CN"/>
                    </w:rPr>
                    <w:t>，</w:t>
                  </w:r>
                  <w:r>
                    <w:rPr>
                      <w:rFonts w:hint="default" w:eastAsia="仿宋"/>
                      <w:color w:val="auto"/>
                      <w:highlight w:val="none"/>
                      <w:lang w:val="en-US" w:eastAsia="zh-CN"/>
                    </w:rPr>
                    <w:t>购置足够容量的应急水袋</w:t>
                  </w:r>
                </w:p>
              </w:tc>
              <w:tc>
                <w:tcPr>
                  <w:tcW w:w="1088" w:type="pct"/>
                  <w:tcBorders>
                    <w:tl2br w:val="nil"/>
                    <w:tr2bl w:val="nil"/>
                  </w:tcBorders>
                  <w:vAlign w:val="center"/>
                </w:tcPr>
                <w:p w14:paraId="7A8A2943">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依托房东雨水排口及雨水截止阀</w:t>
                  </w:r>
                </w:p>
              </w:tc>
            </w:tr>
            <w:tr w14:paraId="6631C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9" w:type="pct"/>
                  <w:vMerge w:val="continue"/>
                  <w:tcBorders>
                    <w:tl2br w:val="nil"/>
                    <w:tr2bl w:val="nil"/>
                  </w:tcBorders>
                  <w:vAlign w:val="center"/>
                </w:tcPr>
                <w:p w14:paraId="2031AF1C">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vMerge w:val="restart"/>
                  <w:tcBorders>
                    <w:tl2br w:val="nil"/>
                    <w:tr2bl w:val="nil"/>
                  </w:tcBorders>
                  <w:vAlign w:val="center"/>
                </w:tcPr>
                <w:p w14:paraId="451F047A">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固废污染防治</w:t>
                  </w:r>
                </w:p>
              </w:tc>
              <w:tc>
                <w:tcPr>
                  <w:tcW w:w="1423" w:type="pct"/>
                  <w:tcBorders>
                    <w:tl2br w:val="nil"/>
                    <w:tr2bl w:val="nil"/>
                  </w:tcBorders>
                  <w:vAlign w:val="center"/>
                </w:tcPr>
                <w:p w14:paraId="2C248550">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eastAsia="zh-CN"/>
                    </w:rPr>
                    <w:t>危废</w:t>
                  </w:r>
                  <w:r>
                    <w:rPr>
                      <w:rFonts w:hint="default" w:ascii="Times New Roman" w:hAnsi="Times New Roman" w:eastAsia="仿宋" w:cs="Times New Roman"/>
                      <w:color w:val="auto"/>
                      <w:sz w:val="21"/>
                      <w:szCs w:val="21"/>
                      <w:highlight w:val="none"/>
                      <w:lang w:val="en-US" w:eastAsia="zh-CN"/>
                    </w:rPr>
                    <w:t>暂存间</w:t>
                  </w:r>
                  <w:r>
                    <w:rPr>
                      <w:rFonts w:hint="default" w:ascii="Times New Roman" w:hAnsi="Times New Roman" w:eastAsia="仿宋" w:cs="Times New Roman"/>
                      <w:color w:val="auto"/>
                      <w:sz w:val="21"/>
                      <w:szCs w:val="21"/>
                      <w:highlight w:val="none"/>
                    </w:rPr>
                    <w:t>位于</w:t>
                  </w:r>
                  <w:r>
                    <w:rPr>
                      <w:rFonts w:hint="eastAsia" w:eastAsia="仿宋" w:cs="Times New Roman"/>
                      <w:color w:val="auto"/>
                      <w:sz w:val="21"/>
                      <w:szCs w:val="21"/>
                      <w:highlight w:val="none"/>
                      <w:lang w:val="en-US" w:eastAsia="zh-CN"/>
                    </w:rPr>
                    <w:t>西北角</w:t>
                  </w:r>
                  <w:r>
                    <w:rPr>
                      <w:rFonts w:hint="default" w:ascii="Times New Roman" w:hAnsi="Times New Roman" w:eastAsia="仿宋" w:cs="Times New Roman"/>
                      <w:color w:val="auto"/>
                      <w:sz w:val="21"/>
                      <w:szCs w:val="21"/>
                      <w:highlight w:val="none"/>
                    </w:rPr>
                    <w:t>，面积约</w:t>
                  </w:r>
                  <w:r>
                    <w:rPr>
                      <w:rFonts w:hint="eastAsia" w:eastAsia="仿宋" w:cs="Times New Roman"/>
                      <w:color w:val="auto"/>
                      <w:sz w:val="21"/>
                      <w:szCs w:val="21"/>
                      <w:highlight w:val="none"/>
                      <w:lang w:val="en-US" w:eastAsia="zh-CN"/>
                    </w:rPr>
                    <w:t>38</w:t>
                  </w:r>
                  <w:r>
                    <w:rPr>
                      <w:rFonts w:hint="default" w:ascii="Times New Roman" w:hAnsi="Times New Roman" w:eastAsia="仿宋" w:cs="Times New Roman"/>
                      <w:bCs/>
                      <w:color w:val="auto"/>
                      <w:sz w:val="21"/>
                      <w:szCs w:val="21"/>
                      <w:highlight w:val="none"/>
                    </w:rPr>
                    <w:t>m</w:t>
                  </w:r>
                  <w:r>
                    <w:rPr>
                      <w:rFonts w:hint="default" w:ascii="Times New Roman" w:hAnsi="Times New Roman" w:eastAsia="仿宋" w:cs="Times New Roman"/>
                      <w:bCs/>
                      <w:color w:val="auto"/>
                      <w:sz w:val="21"/>
                      <w:szCs w:val="21"/>
                      <w:highlight w:val="none"/>
                      <w:vertAlign w:val="superscript"/>
                    </w:rPr>
                    <w:t>2</w:t>
                  </w:r>
                </w:p>
              </w:tc>
              <w:tc>
                <w:tcPr>
                  <w:tcW w:w="1183" w:type="pct"/>
                  <w:tcBorders>
                    <w:tl2br w:val="nil"/>
                    <w:tr2bl w:val="nil"/>
                  </w:tcBorders>
                  <w:vAlign w:val="center"/>
                </w:tcPr>
                <w:p w14:paraId="130F21CD">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Cs/>
                      <w:color w:val="auto"/>
                      <w:sz w:val="21"/>
                      <w:szCs w:val="21"/>
                      <w:highlight w:val="none"/>
                    </w:rPr>
                    <w:t>分类收集后委托有相应危废处置资质的单位外运处置</w:t>
                  </w:r>
                </w:p>
              </w:tc>
              <w:tc>
                <w:tcPr>
                  <w:tcW w:w="1088" w:type="pct"/>
                  <w:tcBorders>
                    <w:tl2br w:val="nil"/>
                    <w:tr2bl w:val="nil"/>
                  </w:tcBorders>
                  <w:vAlign w:val="center"/>
                </w:tcPr>
                <w:p w14:paraId="0093EF67">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lang w:val="en-US" w:eastAsia="zh-CN"/>
                    </w:rPr>
                  </w:pPr>
                  <w:r>
                    <w:rPr>
                      <w:rFonts w:hint="default" w:ascii="Times New Roman" w:hAnsi="Times New Roman" w:eastAsia="仿宋" w:cs="Times New Roman"/>
                      <w:bCs/>
                      <w:color w:val="auto"/>
                      <w:sz w:val="21"/>
                      <w:szCs w:val="21"/>
                      <w:highlight w:val="none"/>
                      <w:lang w:val="en-US" w:eastAsia="zh-CN"/>
                    </w:rPr>
                    <w:t>/</w:t>
                  </w:r>
                </w:p>
              </w:tc>
            </w:tr>
            <w:tr w14:paraId="6B0531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9" w:type="pct"/>
                  <w:vMerge w:val="continue"/>
                  <w:tcBorders>
                    <w:tl2br w:val="nil"/>
                    <w:tr2bl w:val="nil"/>
                  </w:tcBorders>
                  <w:vAlign w:val="center"/>
                </w:tcPr>
                <w:p w14:paraId="10DD1031">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vMerge w:val="continue"/>
                  <w:tcBorders>
                    <w:tl2br w:val="nil"/>
                    <w:tr2bl w:val="nil"/>
                  </w:tcBorders>
                  <w:vAlign w:val="center"/>
                </w:tcPr>
                <w:p w14:paraId="1EF36FFB">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1423" w:type="pct"/>
                  <w:tcBorders>
                    <w:tl2br w:val="nil"/>
                    <w:tr2bl w:val="nil"/>
                  </w:tcBorders>
                  <w:vAlign w:val="center"/>
                </w:tcPr>
                <w:p w14:paraId="30CEE30E">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Cs/>
                      <w:color w:val="auto"/>
                      <w:sz w:val="21"/>
                      <w:szCs w:val="21"/>
                      <w:highlight w:val="none"/>
                    </w:rPr>
                    <w:t>一般固废</w:t>
                  </w:r>
                  <w:r>
                    <w:rPr>
                      <w:rFonts w:hint="default" w:ascii="Times New Roman" w:hAnsi="Times New Roman" w:eastAsia="仿宋" w:cs="Times New Roman"/>
                      <w:bCs/>
                      <w:color w:val="auto"/>
                      <w:sz w:val="21"/>
                      <w:szCs w:val="21"/>
                      <w:highlight w:val="none"/>
                      <w:lang w:val="en-US" w:eastAsia="zh-CN"/>
                    </w:rPr>
                    <w:t>暂存</w:t>
                  </w:r>
                  <w:r>
                    <w:rPr>
                      <w:rFonts w:hint="eastAsia" w:eastAsia="仿宋" w:cs="Times New Roman"/>
                      <w:bCs/>
                      <w:color w:val="auto"/>
                      <w:sz w:val="21"/>
                      <w:szCs w:val="21"/>
                      <w:highlight w:val="none"/>
                      <w:lang w:val="en-US" w:eastAsia="zh-CN"/>
                    </w:rPr>
                    <w:t>区</w:t>
                  </w:r>
                  <w:r>
                    <w:rPr>
                      <w:rFonts w:hint="default" w:ascii="Times New Roman" w:hAnsi="Times New Roman" w:eastAsia="仿宋" w:cs="Times New Roman"/>
                      <w:bCs/>
                      <w:color w:val="auto"/>
                      <w:sz w:val="21"/>
                      <w:szCs w:val="21"/>
                      <w:highlight w:val="none"/>
                    </w:rPr>
                    <w:t>位于</w:t>
                  </w:r>
                  <w:r>
                    <w:rPr>
                      <w:rFonts w:hint="eastAsia" w:eastAsia="仿宋" w:cs="Times New Roman"/>
                      <w:bCs/>
                      <w:color w:val="auto"/>
                      <w:sz w:val="21"/>
                      <w:szCs w:val="21"/>
                      <w:highlight w:val="none"/>
                      <w:lang w:val="en-US" w:eastAsia="zh-CN"/>
                    </w:rPr>
                    <w:t>车间</w:t>
                  </w:r>
                  <w:r>
                    <w:rPr>
                      <w:rFonts w:hint="eastAsia" w:eastAsia="仿宋" w:cs="Times New Roman"/>
                      <w:color w:val="auto"/>
                      <w:sz w:val="21"/>
                      <w:szCs w:val="21"/>
                      <w:highlight w:val="none"/>
                      <w:lang w:val="en-US" w:eastAsia="zh-CN"/>
                    </w:rPr>
                    <w:t>南侧</w:t>
                  </w:r>
                  <w:r>
                    <w:rPr>
                      <w:rFonts w:hint="default" w:ascii="Times New Roman" w:hAnsi="Times New Roman" w:eastAsia="仿宋" w:cs="Times New Roman"/>
                      <w:color w:val="auto"/>
                      <w:sz w:val="21"/>
                      <w:szCs w:val="21"/>
                      <w:highlight w:val="none"/>
                      <w:lang w:val="en-US" w:eastAsia="zh-CN"/>
                    </w:rPr>
                    <w:t>层</w:t>
                  </w:r>
                  <w:r>
                    <w:rPr>
                      <w:rFonts w:hint="default" w:ascii="Times New Roman" w:hAnsi="Times New Roman" w:eastAsia="仿宋" w:cs="Times New Roman"/>
                      <w:bCs/>
                      <w:color w:val="auto"/>
                      <w:sz w:val="21"/>
                      <w:szCs w:val="21"/>
                      <w:highlight w:val="none"/>
                    </w:rPr>
                    <w:t>，面积约</w:t>
                  </w:r>
                  <w:r>
                    <w:rPr>
                      <w:rFonts w:hint="eastAsia" w:eastAsia="仿宋" w:cs="Times New Roman"/>
                      <w:bCs/>
                      <w:color w:val="auto"/>
                      <w:sz w:val="21"/>
                      <w:szCs w:val="21"/>
                      <w:highlight w:val="none"/>
                      <w:lang w:val="en-US" w:eastAsia="zh-CN"/>
                    </w:rPr>
                    <w:t>8.3</w:t>
                  </w:r>
                  <w:r>
                    <w:rPr>
                      <w:rFonts w:hint="default" w:ascii="Times New Roman" w:hAnsi="Times New Roman" w:eastAsia="仿宋" w:cs="Times New Roman"/>
                      <w:bCs/>
                      <w:color w:val="auto"/>
                      <w:sz w:val="21"/>
                      <w:szCs w:val="21"/>
                      <w:highlight w:val="none"/>
                    </w:rPr>
                    <w:t>m</w:t>
                  </w:r>
                  <w:r>
                    <w:rPr>
                      <w:rFonts w:hint="default" w:ascii="Times New Roman" w:hAnsi="Times New Roman" w:eastAsia="仿宋" w:cs="Times New Roman"/>
                      <w:bCs/>
                      <w:color w:val="auto"/>
                      <w:sz w:val="21"/>
                      <w:szCs w:val="21"/>
                      <w:highlight w:val="none"/>
                      <w:vertAlign w:val="superscript"/>
                    </w:rPr>
                    <w:t>2</w:t>
                  </w:r>
                </w:p>
              </w:tc>
              <w:tc>
                <w:tcPr>
                  <w:tcW w:w="1183" w:type="pct"/>
                  <w:tcBorders>
                    <w:tl2br w:val="nil"/>
                    <w:tr2bl w:val="nil"/>
                  </w:tcBorders>
                  <w:vAlign w:val="center"/>
                </w:tcPr>
                <w:p w14:paraId="7271D9AD">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Cs/>
                      <w:color w:val="auto"/>
                      <w:sz w:val="21"/>
                      <w:szCs w:val="21"/>
                      <w:highlight w:val="none"/>
                    </w:rPr>
                    <w:t>由合法合规单位处置</w:t>
                  </w:r>
                </w:p>
              </w:tc>
              <w:tc>
                <w:tcPr>
                  <w:tcW w:w="1088" w:type="pct"/>
                  <w:tcBorders>
                    <w:tl2br w:val="nil"/>
                    <w:tr2bl w:val="nil"/>
                  </w:tcBorders>
                  <w:vAlign w:val="center"/>
                </w:tcPr>
                <w:p w14:paraId="3BD0503C">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lang w:val="en-US" w:eastAsia="zh-CN"/>
                    </w:rPr>
                  </w:pPr>
                  <w:r>
                    <w:rPr>
                      <w:rFonts w:hint="default" w:ascii="Times New Roman" w:hAnsi="Times New Roman" w:eastAsia="仿宋" w:cs="Times New Roman"/>
                      <w:bCs/>
                      <w:color w:val="auto"/>
                      <w:sz w:val="21"/>
                      <w:szCs w:val="21"/>
                      <w:highlight w:val="none"/>
                      <w:lang w:val="en-US" w:eastAsia="zh-CN"/>
                    </w:rPr>
                    <w:t>/</w:t>
                  </w:r>
                </w:p>
              </w:tc>
            </w:tr>
            <w:tr w14:paraId="0EE3D6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9" w:type="pct"/>
                  <w:vMerge w:val="continue"/>
                  <w:tcBorders>
                    <w:tl2br w:val="nil"/>
                    <w:tr2bl w:val="nil"/>
                  </w:tcBorders>
                  <w:vAlign w:val="center"/>
                </w:tcPr>
                <w:p w14:paraId="413C24FB">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864" w:type="pct"/>
                  <w:vMerge w:val="continue"/>
                  <w:tcBorders>
                    <w:tl2br w:val="nil"/>
                    <w:tr2bl w:val="nil"/>
                  </w:tcBorders>
                  <w:vAlign w:val="center"/>
                </w:tcPr>
                <w:p w14:paraId="66C1D835">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p>
              </w:tc>
              <w:tc>
                <w:tcPr>
                  <w:tcW w:w="2607" w:type="pct"/>
                  <w:gridSpan w:val="2"/>
                  <w:tcBorders>
                    <w:tl2br w:val="nil"/>
                    <w:tr2bl w:val="nil"/>
                  </w:tcBorders>
                  <w:vAlign w:val="center"/>
                </w:tcPr>
                <w:p w14:paraId="453DC494">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生活垃圾分类收集后委托环卫部门清运</w:t>
                  </w:r>
                </w:p>
              </w:tc>
              <w:tc>
                <w:tcPr>
                  <w:tcW w:w="1088" w:type="pct"/>
                  <w:tcBorders>
                    <w:tl2br w:val="nil"/>
                    <w:tr2bl w:val="nil"/>
                  </w:tcBorders>
                  <w:vAlign w:val="center"/>
                </w:tcPr>
                <w:p w14:paraId="413C3008">
                  <w:pPr>
                    <w:pStyle w:val="29"/>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仿宋" w:cs="Times New Roman"/>
                      <w:bCs/>
                      <w:color w:val="auto"/>
                      <w:sz w:val="21"/>
                      <w:szCs w:val="21"/>
                      <w:highlight w:val="none"/>
                      <w:lang w:val="en-US" w:eastAsia="zh-CN"/>
                    </w:rPr>
                  </w:pPr>
                  <w:r>
                    <w:rPr>
                      <w:rFonts w:hint="default" w:ascii="Times New Roman" w:hAnsi="Times New Roman" w:eastAsia="仿宋" w:cs="Times New Roman"/>
                      <w:bCs/>
                      <w:color w:val="auto"/>
                      <w:sz w:val="21"/>
                      <w:szCs w:val="21"/>
                      <w:highlight w:val="none"/>
                      <w:lang w:val="en-US" w:eastAsia="zh-CN"/>
                    </w:rPr>
                    <w:t>/</w:t>
                  </w:r>
                </w:p>
              </w:tc>
            </w:tr>
          </w:tbl>
          <w:p w14:paraId="24B0DBB0">
            <w:pPr>
              <w:adjustRightInd w:val="0"/>
              <w:snapToGrid w:val="0"/>
              <w:spacing w:line="360" w:lineRule="auto"/>
              <w:rPr>
                <w:b/>
                <w:color w:val="auto"/>
                <w:sz w:val="24"/>
                <w:szCs w:val="24"/>
                <w:highlight w:val="none"/>
              </w:rPr>
            </w:pPr>
            <w:r>
              <w:rPr>
                <w:rFonts w:hint="eastAsia"/>
                <w:b/>
                <w:color w:val="auto"/>
                <w:sz w:val="24"/>
                <w:szCs w:val="24"/>
                <w:highlight w:val="none"/>
                <w:lang w:val="en-US" w:eastAsia="zh-CN"/>
              </w:rPr>
              <w:t>4、</w:t>
            </w:r>
            <w:r>
              <w:rPr>
                <w:rFonts w:hint="eastAsia"/>
                <w:b/>
                <w:color w:val="auto"/>
                <w:sz w:val="24"/>
                <w:szCs w:val="24"/>
                <w:highlight w:val="none"/>
              </w:rPr>
              <w:t>产品方案</w:t>
            </w:r>
          </w:p>
          <w:p w14:paraId="770E7B12">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产品产能情况表</w:t>
            </w:r>
          </w:p>
          <w:tbl>
            <w:tblPr>
              <w:tblStyle w:val="22"/>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72"/>
              <w:gridCol w:w="1906"/>
              <w:gridCol w:w="1826"/>
              <w:gridCol w:w="1365"/>
              <w:gridCol w:w="928"/>
              <w:gridCol w:w="889"/>
              <w:gridCol w:w="946"/>
              <w:gridCol w:w="822"/>
            </w:tblGrid>
            <w:tr w14:paraId="00CED8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33" w:hRule="atLeast"/>
                <w:jc w:val="center"/>
              </w:trPr>
              <w:tc>
                <w:tcPr>
                  <w:tcW w:w="309" w:type="pct"/>
                  <w:vMerge w:val="restart"/>
                  <w:tcBorders>
                    <w:tl2br w:val="nil"/>
                    <w:tr2bl w:val="nil"/>
                  </w:tcBorders>
                  <w:vAlign w:val="center"/>
                </w:tcPr>
                <w:p w14:paraId="1C0EAC93">
                  <w:pPr>
                    <w:pStyle w:val="29"/>
                    <w:rPr>
                      <w:rFonts w:hint="default" w:ascii="Times New Roman" w:hAnsi="Times New Roman" w:eastAsia="仿宋" w:cs="Times New Roman"/>
                      <w:b/>
                      <w:color w:val="auto"/>
                      <w:sz w:val="21"/>
                      <w:szCs w:val="21"/>
                      <w:highlight w:val="none"/>
                      <w:lang w:val="en-US" w:eastAsia="zh-CN"/>
                    </w:rPr>
                  </w:pPr>
                  <w:r>
                    <w:rPr>
                      <w:rFonts w:hint="default" w:ascii="Times New Roman" w:hAnsi="Times New Roman" w:eastAsia="仿宋" w:cs="Times New Roman"/>
                      <w:b/>
                      <w:color w:val="auto"/>
                      <w:sz w:val="21"/>
                      <w:szCs w:val="21"/>
                      <w:highlight w:val="none"/>
                      <w:lang w:val="en-US" w:eastAsia="zh-CN"/>
                    </w:rPr>
                    <w:t>序号</w:t>
                  </w:r>
                </w:p>
              </w:tc>
              <w:tc>
                <w:tcPr>
                  <w:tcW w:w="1029" w:type="pct"/>
                  <w:vMerge w:val="restart"/>
                  <w:tcBorders>
                    <w:tl2br w:val="nil"/>
                    <w:tr2bl w:val="nil"/>
                  </w:tcBorders>
                  <w:vAlign w:val="center"/>
                </w:tcPr>
                <w:p w14:paraId="69D84FD0">
                  <w:pPr>
                    <w:pStyle w:val="29"/>
                    <w:rPr>
                      <w:rFonts w:hint="default" w:ascii="Times New Roman" w:hAnsi="Times New Roman" w:eastAsia="仿宋" w:cs="Times New Roman"/>
                      <w:b/>
                      <w:color w:val="auto"/>
                      <w:sz w:val="21"/>
                      <w:szCs w:val="21"/>
                      <w:highlight w:val="none"/>
                      <w:lang w:val="en-US" w:eastAsia="zh-CN"/>
                    </w:rPr>
                  </w:pPr>
                  <w:r>
                    <w:rPr>
                      <w:rFonts w:hint="default" w:ascii="Times New Roman" w:hAnsi="Times New Roman" w:eastAsia="仿宋" w:cs="Times New Roman"/>
                      <w:b/>
                      <w:color w:val="auto"/>
                      <w:sz w:val="21"/>
                      <w:szCs w:val="21"/>
                      <w:highlight w:val="none"/>
                    </w:rPr>
                    <w:t>产品名称</w:t>
                  </w:r>
                </w:p>
              </w:tc>
              <w:tc>
                <w:tcPr>
                  <w:tcW w:w="986" w:type="pct"/>
                  <w:vMerge w:val="restart"/>
                  <w:tcBorders>
                    <w:tl2br w:val="nil"/>
                    <w:tr2bl w:val="nil"/>
                  </w:tcBorders>
                  <w:vAlign w:val="center"/>
                </w:tcPr>
                <w:p w14:paraId="5F2F005E">
                  <w:pPr>
                    <w:pStyle w:val="29"/>
                    <w:rPr>
                      <w:rFonts w:hint="default" w:eastAsia="宋体" w:cs="Times New Roman"/>
                      <w:b/>
                      <w:color w:val="auto"/>
                      <w:sz w:val="21"/>
                      <w:szCs w:val="21"/>
                      <w:highlight w:val="none"/>
                      <w:lang w:val="en-US" w:eastAsia="zh-CN"/>
                    </w:rPr>
                  </w:pPr>
                  <w:r>
                    <w:rPr>
                      <w:rFonts w:hint="eastAsia" w:eastAsia="仿宋" w:cs="Times New Roman"/>
                      <w:b/>
                      <w:color w:val="auto"/>
                      <w:sz w:val="21"/>
                      <w:szCs w:val="21"/>
                      <w:highlight w:val="none"/>
                      <w:lang w:val="en-US" w:eastAsia="zh-CN"/>
                    </w:rPr>
                    <w:t>产品规格</w:t>
                  </w:r>
                  <w:r>
                    <w:rPr>
                      <w:rFonts w:hint="eastAsia"/>
                      <w:highlight w:val="none"/>
                      <w:lang w:eastAsia="zh-CN"/>
                    </w:rPr>
                    <w:t>（</w:t>
                  </w:r>
                  <w:r>
                    <w:rPr>
                      <w:rFonts w:hint="eastAsia"/>
                      <w:highlight w:val="none"/>
                      <w:lang w:val="en-US" w:eastAsia="zh-CN"/>
                    </w:rPr>
                    <w:t>mm）</w:t>
                  </w:r>
                </w:p>
              </w:tc>
              <w:tc>
                <w:tcPr>
                  <w:tcW w:w="737" w:type="pct"/>
                  <w:vMerge w:val="restart"/>
                  <w:tcBorders>
                    <w:tl2br w:val="nil"/>
                    <w:tr2bl w:val="nil"/>
                  </w:tcBorders>
                  <w:vAlign w:val="center"/>
                </w:tcPr>
                <w:p w14:paraId="4633BCEE">
                  <w:pPr>
                    <w:pStyle w:val="29"/>
                    <w:rPr>
                      <w:rFonts w:hint="default" w:ascii="Times New Roman" w:hAnsi="Times New Roman" w:eastAsia="仿宋" w:cs="Times New Roman"/>
                      <w:b/>
                      <w:color w:val="auto"/>
                      <w:sz w:val="21"/>
                      <w:szCs w:val="21"/>
                      <w:highlight w:val="none"/>
                      <w:lang w:val="en-US" w:eastAsia="zh-CN"/>
                    </w:rPr>
                  </w:pPr>
                  <w:r>
                    <w:rPr>
                      <w:rFonts w:hint="eastAsia" w:eastAsia="仿宋" w:cs="Times New Roman"/>
                      <w:b/>
                      <w:color w:val="auto"/>
                      <w:sz w:val="21"/>
                      <w:szCs w:val="21"/>
                      <w:highlight w:val="none"/>
                      <w:lang w:val="en-US" w:eastAsia="zh-CN"/>
                    </w:rPr>
                    <w:t>建设地点</w:t>
                  </w:r>
                </w:p>
              </w:tc>
              <w:tc>
                <w:tcPr>
                  <w:tcW w:w="1492" w:type="pct"/>
                  <w:gridSpan w:val="3"/>
                  <w:tcBorders>
                    <w:tl2br w:val="nil"/>
                    <w:tr2bl w:val="nil"/>
                  </w:tcBorders>
                  <w:vAlign w:val="center"/>
                </w:tcPr>
                <w:p w14:paraId="6CEF1D9C">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年设计能力</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lang w:val="en-US" w:eastAsia="zh-CN"/>
                    </w:rPr>
                    <w:t>万</w:t>
                  </w:r>
                  <w:r>
                    <w:rPr>
                      <w:rFonts w:hint="eastAsia" w:eastAsia="仿宋" w:cs="Times New Roman"/>
                      <w:b/>
                      <w:color w:val="auto"/>
                      <w:sz w:val="21"/>
                      <w:szCs w:val="21"/>
                      <w:highlight w:val="none"/>
                      <w:lang w:val="en-US" w:eastAsia="zh-CN"/>
                    </w:rPr>
                    <w:t>件</w:t>
                  </w:r>
                  <w:r>
                    <w:rPr>
                      <w:rFonts w:hint="default" w:ascii="Times New Roman" w:hAnsi="Times New Roman" w:eastAsia="仿宋" w:cs="Times New Roman"/>
                      <w:b/>
                      <w:color w:val="auto"/>
                      <w:sz w:val="21"/>
                      <w:szCs w:val="21"/>
                      <w:highlight w:val="none"/>
                      <w:lang w:val="en-US" w:eastAsia="zh-CN"/>
                    </w:rPr>
                    <w:t>/年</w:t>
                  </w:r>
                  <w:r>
                    <w:rPr>
                      <w:rFonts w:hint="default" w:ascii="Times New Roman" w:hAnsi="Times New Roman" w:eastAsia="仿宋" w:cs="Times New Roman"/>
                      <w:b/>
                      <w:color w:val="auto"/>
                      <w:sz w:val="21"/>
                      <w:szCs w:val="21"/>
                      <w:highlight w:val="none"/>
                      <w:lang w:eastAsia="zh-CN"/>
                    </w:rPr>
                    <w:t>）</w:t>
                  </w:r>
                </w:p>
              </w:tc>
              <w:tc>
                <w:tcPr>
                  <w:tcW w:w="444" w:type="pct"/>
                  <w:vMerge w:val="restart"/>
                  <w:tcBorders>
                    <w:tl2br w:val="nil"/>
                    <w:tr2bl w:val="nil"/>
                  </w:tcBorders>
                  <w:vAlign w:val="center"/>
                </w:tcPr>
                <w:p w14:paraId="36E789F0">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年运行时数（h）</w:t>
                  </w:r>
                </w:p>
              </w:tc>
            </w:tr>
            <w:tr w14:paraId="78F260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33" w:hRule="atLeast"/>
                <w:jc w:val="center"/>
              </w:trPr>
              <w:tc>
                <w:tcPr>
                  <w:tcW w:w="309" w:type="pct"/>
                  <w:vMerge w:val="continue"/>
                  <w:tcBorders>
                    <w:tl2br w:val="nil"/>
                    <w:tr2bl w:val="nil"/>
                  </w:tcBorders>
                  <w:vAlign w:val="center"/>
                </w:tcPr>
                <w:p w14:paraId="7BDB7E4A">
                  <w:pPr>
                    <w:pStyle w:val="29"/>
                    <w:rPr>
                      <w:rFonts w:hint="default" w:ascii="Times New Roman" w:hAnsi="Times New Roman" w:eastAsia="仿宋" w:cs="Times New Roman"/>
                      <w:color w:val="auto"/>
                      <w:highlight w:val="none"/>
                    </w:rPr>
                  </w:pPr>
                </w:p>
              </w:tc>
              <w:tc>
                <w:tcPr>
                  <w:tcW w:w="1029" w:type="pct"/>
                  <w:vMerge w:val="continue"/>
                  <w:tcBorders>
                    <w:tl2br w:val="nil"/>
                    <w:tr2bl w:val="nil"/>
                  </w:tcBorders>
                  <w:vAlign w:val="center"/>
                </w:tcPr>
                <w:p w14:paraId="12D102BA">
                  <w:pPr>
                    <w:pStyle w:val="29"/>
                    <w:rPr>
                      <w:rFonts w:hint="default" w:ascii="Times New Roman" w:hAnsi="Times New Roman" w:eastAsia="仿宋" w:cs="Times New Roman"/>
                      <w:color w:val="auto"/>
                      <w:highlight w:val="none"/>
                    </w:rPr>
                  </w:pPr>
                </w:p>
              </w:tc>
              <w:tc>
                <w:tcPr>
                  <w:tcW w:w="986" w:type="pct"/>
                  <w:vMerge w:val="continue"/>
                  <w:tcBorders>
                    <w:tl2br w:val="nil"/>
                    <w:tr2bl w:val="nil"/>
                  </w:tcBorders>
                  <w:vAlign w:val="center"/>
                </w:tcPr>
                <w:p w14:paraId="51D1A5BA">
                  <w:pPr>
                    <w:pStyle w:val="29"/>
                    <w:rPr>
                      <w:rFonts w:hint="eastAsia" w:eastAsia="仿宋" w:cs="Times New Roman"/>
                      <w:b/>
                      <w:bCs/>
                      <w:color w:val="auto"/>
                      <w:highlight w:val="none"/>
                      <w:lang w:val="en-US" w:eastAsia="zh-CN"/>
                    </w:rPr>
                  </w:pPr>
                </w:p>
              </w:tc>
              <w:tc>
                <w:tcPr>
                  <w:tcW w:w="737" w:type="pct"/>
                  <w:vMerge w:val="continue"/>
                  <w:tcBorders>
                    <w:tl2br w:val="nil"/>
                    <w:tr2bl w:val="nil"/>
                  </w:tcBorders>
                  <w:vAlign w:val="center"/>
                </w:tcPr>
                <w:p w14:paraId="2FF27508">
                  <w:pPr>
                    <w:pStyle w:val="29"/>
                    <w:rPr>
                      <w:rFonts w:hint="eastAsia" w:eastAsia="仿宋" w:cs="Times New Roman"/>
                      <w:b/>
                      <w:bCs/>
                      <w:color w:val="auto"/>
                      <w:highlight w:val="none"/>
                      <w:lang w:val="en-US" w:eastAsia="zh-CN"/>
                    </w:rPr>
                  </w:pPr>
                </w:p>
              </w:tc>
              <w:tc>
                <w:tcPr>
                  <w:tcW w:w="501" w:type="pct"/>
                  <w:tcBorders>
                    <w:tl2br w:val="nil"/>
                    <w:tr2bl w:val="nil"/>
                  </w:tcBorders>
                  <w:vAlign w:val="center"/>
                </w:tcPr>
                <w:p w14:paraId="15AD95AE">
                  <w:pPr>
                    <w:pStyle w:val="29"/>
                    <w:rPr>
                      <w:rFonts w:hint="default" w:ascii="Times New Roman" w:hAnsi="Times New Roman" w:eastAsia="仿宋" w:cs="Times New Roman"/>
                      <w:b/>
                      <w:bCs/>
                      <w:color w:val="auto"/>
                      <w:highlight w:val="none"/>
                      <w:lang w:val="en-US" w:eastAsia="zh-CN"/>
                    </w:rPr>
                  </w:pPr>
                  <w:r>
                    <w:rPr>
                      <w:rFonts w:hint="eastAsia" w:eastAsia="仿宋" w:cs="Times New Roman"/>
                      <w:b/>
                      <w:bCs/>
                      <w:color w:val="auto"/>
                      <w:highlight w:val="none"/>
                      <w:lang w:val="en-US" w:eastAsia="zh-CN"/>
                    </w:rPr>
                    <w:t>扩建前</w:t>
                  </w:r>
                </w:p>
              </w:tc>
              <w:tc>
                <w:tcPr>
                  <w:tcW w:w="480" w:type="pct"/>
                  <w:tcBorders>
                    <w:tl2br w:val="nil"/>
                    <w:tr2bl w:val="nil"/>
                  </w:tcBorders>
                  <w:vAlign w:val="center"/>
                </w:tcPr>
                <w:p w14:paraId="650C395B">
                  <w:pPr>
                    <w:pStyle w:val="29"/>
                    <w:rPr>
                      <w:rFonts w:hint="default" w:ascii="Times New Roman" w:hAnsi="Times New Roman" w:eastAsia="仿宋" w:cs="Times New Roman"/>
                      <w:b/>
                      <w:bCs/>
                      <w:color w:val="auto"/>
                      <w:highlight w:val="none"/>
                      <w:lang w:val="en-US" w:eastAsia="zh-CN"/>
                    </w:rPr>
                  </w:pPr>
                  <w:r>
                    <w:rPr>
                      <w:rFonts w:hint="eastAsia" w:eastAsia="仿宋" w:cs="Times New Roman"/>
                      <w:b/>
                      <w:bCs/>
                      <w:color w:val="auto"/>
                      <w:highlight w:val="none"/>
                      <w:lang w:val="en-US" w:eastAsia="zh-CN"/>
                    </w:rPr>
                    <w:t>扩建后</w:t>
                  </w:r>
                </w:p>
              </w:tc>
              <w:tc>
                <w:tcPr>
                  <w:tcW w:w="510" w:type="pct"/>
                  <w:tcBorders>
                    <w:tl2br w:val="nil"/>
                    <w:tr2bl w:val="nil"/>
                  </w:tcBorders>
                  <w:vAlign w:val="center"/>
                </w:tcPr>
                <w:p w14:paraId="66E5C0BD">
                  <w:pPr>
                    <w:pStyle w:val="29"/>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b/>
                      <w:bCs/>
                      <w:color w:val="auto"/>
                      <w:highlight w:val="none"/>
                      <w:lang w:val="en-US" w:eastAsia="zh-CN"/>
                    </w:rPr>
                    <w:t>变化量</w:t>
                  </w:r>
                </w:p>
              </w:tc>
              <w:tc>
                <w:tcPr>
                  <w:tcW w:w="444" w:type="pct"/>
                  <w:vMerge w:val="continue"/>
                  <w:tcBorders>
                    <w:tl2br w:val="nil"/>
                    <w:tr2bl w:val="nil"/>
                  </w:tcBorders>
                  <w:vAlign w:val="center"/>
                </w:tcPr>
                <w:p w14:paraId="7B83B91D">
                  <w:pPr>
                    <w:pStyle w:val="29"/>
                    <w:rPr>
                      <w:rFonts w:hint="default" w:ascii="Times New Roman" w:hAnsi="Times New Roman" w:eastAsia="仿宋" w:cs="Times New Roman"/>
                      <w:color w:val="auto"/>
                      <w:highlight w:val="none"/>
                    </w:rPr>
                  </w:pPr>
                </w:p>
              </w:tc>
            </w:tr>
            <w:tr w14:paraId="510A5F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9" w:hRule="atLeast"/>
                <w:jc w:val="center"/>
              </w:trPr>
              <w:tc>
                <w:tcPr>
                  <w:tcW w:w="309" w:type="pct"/>
                  <w:tcBorders>
                    <w:tl2br w:val="nil"/>
                    <w:tr2bl w:val="nil"/>
                  </w:tcBorders>
                  <w:vAlign w:val="center"/>
                </w:tcPr>
                <w:p w14:paraId="2D53049E">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w:t>
                  </w:r>
                </w:p>
              </w:tc>
              <w:tc>
                <w:tcPr>
                  <w:tcW w:w="1029" w:type="pct"/>
                  <w:tcBorders>
                    <w:tl2br w:val="nil"/>
                    <w:tr2bl w:val="nil"/>
                  </w:tcBorders>
                  <w:vAlign w:val="center"/>
                </w:tcPr>
                <w:p w14:paraId="6DDAAC25">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航空航天精密零部件</w:t>
                  </w:r>
                </w:p>
              </w:tc>
              <w:tc>
                <w:tcPr>
                  <w:tcW w:w="986" w:type="pct"/>
                  <w:tcBorders>
                    <w:tl2br w:val="nil"/>
                    <w:tr2bl w:val="nil"/>
                  </w:tcBorders>
                  <w:vAlign w:val="center"/>
                </w:tcPr>
                <w:p w14:paraId="5A8BAF95">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1500*1000*200</w:t>
                  </w:r>
                </w:p>
              </w:tc>
              <w:tc>
                <w:tcPr>
                  <w:tcW w:w="737" w:type="pct"/>
                  <w:vMerge w:val="restart"/>
                  <w:tcBorders>
                    <w:tl2br w:val="nil"/>
                    <w:tr2bl w:val="nil"/>
                  </w:tcBorders>
                  <w:vAlign w:val="center"/>
                </w:tcPr>
                <w:p w14:paraId="078CA7B1">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苏州市漕湖街道永昌路28号A栋11单元</w:t>
                  </w:r>
                </w:p>
              </w:tc>
              <w:tc>
                <w:tcPr>
                  <w:tcW w:w="501" w:type="pct"/>
                  <w:tcBorders>
                    <w:tl2br w:val="nil"/>
                    <w:tr2bl w:val="nil"/>
                  </w:tcBorders>
                  <w:vAlign w:val="center"/>
                </w:tcPr>
                <w:p w14:paraId="0B462B19">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w:t>
                  </w:r>
                </w:p>
              </w:tc>
              <w:tc>
                <w:tcPr>
                  <w:tcW w:w="480" w:type="pct"/>
                  <w:tcBorders>
                    <w:tl2br w:val="nil"/>
                    <w:tr2bl w:val="nil"/>
                  </w:tcBorders>
                  <w:vAlign w:val="center"/>
                </w:tcPr>
                <w:p w14:paraId="0E41612B">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100</w:t>
                  </w:r>
                </w:p>
              </w:tc>
              <w:tc>
                <w:tcPr>
                  <w:tcW w:w="510" w:type="pct"/>
                  <w:tcBorders>
                    <w:tl2br w:val="nil"/>
                    <w:tr2bl w:val="nil"/>
                  </w:tcBorders>
                  <w:vAlign w:val="center"/>
                </w:tcPr>
                <w:p w14:paraId="450399E8">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+100</w:t>
                  </w:r>
                </w:p>
              </w:tc>
              <w:tc>
                <w:tcPr>
                  <w:tcW w:w="444" w:type="pct"/>
                  <w:vMerge w:val="restart"/>
                  <w:tcBorders>
                    <w:tl2br w:val="nil"/>
                    <w:tr2bl w:val="nil"/>
                  </w:tcBorders>
                  <w:vAlign w:val="center"/>
                </w:tcPr>
                <w:p w14:paraId="7E89AE01">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7200</w:t>
                  </w:r>
                </w:p>
              </w:tc>
            </w:tr>
            <w:tr w14:paraId="05CA2A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9" w:hRule="atLeast"/>
                <w:jc w:val="center"/>
              </w:trPr>
              <w:tc>
                <w:tcPr>
                  <w:tcW w:w="309" w:type="pct"/>
                  <w:tcBorders>
                    <w:tl2br w:val="nil"/>
                    <w:tr2bl w:val="nil"/>
                  </w:tcBorders>
                  <w:vAlign w:val="center"/>
                </w:tcPr>
                <w:p w14:paraId="2FC26B91">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p>
              </w:tc>
              <w:tc>
                <w:tcPr>
                  <w:tcW w:w="1029" w:type="pct"/>
                  <w:tcBorders>
                    <w:tl2br w:val="nil"/>
                    <w:tr2bl w:val="nil"/>
                  </w:tcBorders>
                  <w:vAlign w:val="center"/>
                </w:tcPr>
                <w:p w14:paraId="65D46EEA">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其他精密零部件</w:t>
                  </w:r>
                </w:p>
              </w:tc>
              <w:tc>
                <w:tcPr>
                  <w:tcW w:w="986" w:type="pct"/>
                  <w:tcBorders>
                    <w:tl2br w:val="nil"/>
                    <w:tr2bl w:val="nil"/>
                  </w:tcBorders>
                  <w:vAlign w:val="center"/>
                </w:tcPr>
                <w:p w14:paraId="325F3480">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10*10*2~1200*800*150</w:t>
                  </w:r>
                </w:p>
              </w:tc>
              <w:tc>
                <w:tcPr>
                  <w:tcW w:w="737" w:type="pct"/>
                  <w:vMerge w:val="continue"/>
                  <w:tcBorders>
                    <w:tl2br w:val="nil"/>
                    <w:tr2bl w:val="nil"/>
                  </w:tcBorders>
                  <w:vAlign w:val="center"/>
                </w:tcPr>
                <w:p w14:paraId="3E57381B">
                  <w:pPr>
                    <w:pStyle w:val="29"/>
                    <w:rPr>
                      <w:rFonts w:hint="default" w:ascii="Times New Roman" w:hAnsi="Times New Roman" w:eastAsia="仿宋" w:cs="Times New Roman"/>
                      <w:color w:val="auto"/>
                      <w:sz w:val="21"/>
                      <w:szCs w:val="21"/>
                      <w:highlight w:val="none"/>
                      <w:lang w:val="en-US" w:eastAsia="zh-CN"/>
                    </w:rPr>
                  </w:pPr>
                </w:p>
              </w:tc>
              <w:tc>
                <w:tcPr>
                  <w:tcW w:w="501" w:type="pct"/>
                  <w:tcBorders>
                    <w:tl2br w:val="nil"/>
                    <w:tr2bl w:val="nil"/>
                  </w:tcBorders>
                  <w:vAlign w:val="center"/>
                </w:tcPr>
                <w:p w14:paraId="5A3A40E9">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w:t>
                  </w:r>
                </w:p>
              </w:tc>
              <w:tc>
                <w:tcPr>
                  <w:tcW w:w="480" w:type="pct"/>
                  <w:tcBorders>
                    <w:tl2br w:val="nil"/>
                    <w:tr2bl w:val="nil"/>
                  </w:tcBorders>
                  <w:vAlign w:val="center"/>
                </w:tcPr>
                <w:p w14:paraId="7E1297D7">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10</w:t>
                  </w:r>
                </w:p>
              </w:tc>
              <w:tc>
                <w:tcPr>
                  <w:tcW w:w="510" w:type="pct"/>
                  <w:tcBorders>
                    <w:tl2br w:val="nil"/>
                    <w:tr2bl w:val="nil"/>
                  </w:tcBorders>
                  <w:vAlign w:val="center"/>
                </w:tcPr>
                <w:p w14:paraId="4AEBF09F">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+10</w:t>
                  </w:r>
                </w:p>
              </w:tc>
              <w:tc>
                <w:tcPr>
                  <w:tcW w:w="444" w:type="pct"/>
                  <w:vMerge w:val="continue"/>
                  <w:tcBorders>
                    <w:tl2br w:val="nil"/>
                    <w:tr2bl w:val="nil"/>
                  </w:tcBorders>
                  <w:vAlign w:val="center"/>
                </w:tcPr>
                <w:p w14:paraId="15A38602">
                  <w:pPr>
                    <w:pStyle w:val="29"/>
                    <w:rPr>
                      <w:rFonts w:hint="default" w:ascii="Times New Roman" w:hAnsi="Times New Roman" w:eastAsia="仿宋" w:cs="Times New Roman"/>
                      <w:color w:val="auto"/>
                      <w:sz w:val="21"/>
                      <w:szCs w:val="21"/>
                      <w:highlight w:val="none"/>
                      <w:lang w:val="en-US" w:eastAsia="zh-CN"/>
                    </w:rPr>
                  </w:pPr>
                </w:p>
              </w:tc>
            </w:tr>
          </w:tbl>
          <w:p w14:paraId="0185F995">
            <w:pPr>
              <w:rPr>
                <w:rFonts w:hint="eastAsia"/>
                <w:bCs/>
                <w:color w:val="auto"/>
                <w:sz w:val="24"/>
                <w:highlight w:val="none"/>
                <w:lang w:val="en-US" w:eastAsia="zh-CN"/>
              </w:rPr>
            </w:pPr>
          </w:p>
          <w:p w14:paraId="08CA53B6">
            <w:pPr>
              <w:rPr>
                <w:rFonts w:hint="eastAsia"/>
                <w:bCs/>
                <w:color w:val="auto"/>
                <w:sz w:val="24"/>
                <w:highlight w:val="none"/>
                <w:lang w:val="en-US" w:eastAsia="zh-CN"/>
              </w:rPr>
            </w:pPr>
          </w:p>
          <w:p w14:paraId="70DC9EF2">
            <w:pPr>
              <w:rPr>
                <w:rFonts w:hint="eastAsia"/>
                <w:bCs/>
                <w:color w:val="auto"/>
                <w:sz w:val="24"/>
                <w:highlight w:val="none"/>
                <w:lang w:val="en-US" w:eastAsia="zh-CN"/>
              </w:rPr>
            </w:pPr>
          </w:p>
          <w:p w14:paraId="6C6E5670">
            <w:pPr>
              <w:rPr>
                <w:rFonts w:hint="eastAsia"/>
                <w:bCs/>
                <w:color w:val="auto"/>
                <w:sz w:val="24"/>
                <w:highlight w:val="none"/>
                <w:lang w:val="en-US" w:eastAsia="zh-CN"/>
              </w:rPr>
            </w:pPr>
          </w:p>
          <w:p w14:paraId="116A36F6">
            <w:pPr>
              <w:rPr>
                <w:rFonts w:hint="eastAsia"/>
                <w:bCs/>
                <w:color w:val="auto"/>
                <w:sz w:val="24"/>
                <w:highlight w:val="none"/>
                <w:lang w:val="en-US" w:eastAsia="zh-CN"/>
              </w:rPr>
            </w:pPr>
          </w:p>
          <w:p w14:paraId="3B3F6F5A">
            <w:pPr>
              <w:rPr>
                <w:rFonts w:hint="eastAsia"/>
                <w:bCs/>
                <w:color w:val="auto"/>
                <w:sz w:val="24"/>
                <w:highlight w:val="none"/>
                <w:lang w:val="en-US" w:eastAsia="zh-CN"/>
              </w:rPr>
            </w:pPr>
          </w:p>
          <w:p w14:paraId="318A6DA2">
            <w:pPr>
              <w:rPr>
                <w:rFonts w:hint="eastAsia"/>
                <w:bCs/>
                <w:color w:val="auto"/>
                <w:sz w:val="24"/>
                <w:highlight w:val="none"/>
                <w:lang w:val="en-US" w:eastAsia="zh-CN"/>
              </w:rPr>
            </w:pPr>
          </w:p>
          <w:p w14:paraId="5437B384">
            <w:pPr>
              <w:rPr>
                <w:rFonts w:hint="eastAsia"/>
                <w:bCs/>
                <w:color w:val="auto"/>
                <w:sz w:val="24"/>
                <w:highlight w:val="none"/>
                <w:lang w:val="en-US" w:eastAsia="zh-CN"/>
              </w:rPr>
            </w:pPr>
          </w:p>
          <w:p w14:paraId="383A4FF9">
            <w:pPr>
              <w:rPr>
                <w:rFonts w:hint="eastAsia"/>
                <w:bCs/>
                <w:color w:val="auto"/>
                <w:sz w:val="24"/>
                <w:highlight w:val="none"/>
                <w:lang w:val="en-US" w:eastAsia="zh-CN"/>
              </w:rPr>
            </w:pPr>
          </w:p>
          <w:p w14:paraId="79094C2E">
            <w:pPr>
              <w:rPr>
                <w:rFonts w:hint="eastAsia"/>
                <w:bCs/>
                <w:color w:val="auto"/>
                <w:sz w:val="24"/>
                <w:highlight w:val="none"/>
                <w:lang w:val="en-US" w:eastAsia="zh-CN"/>
              </w:rPr>
            </w:pPr>
          </w:p>
          <w:p w14:paraId="6E02B721">
            <w:pPr>
              <w:rPr>
                <w:rFonts w:hint="eastAsia"/>
                <w:bCs/>
                <w:color w:val="auto"/>
                <w:sz w:val="24"/>
                <w:highlight w:val="none"/>
                <w:lang w:val="en-US" w:eastAsia="zh-CN"/>
              </w:rPr>
            </w:pPr>
          </w:p>
          <w:p w14:paraId="290876A4">
            <w:pPr>
              <w:rPr>
                <w:rFonts w:hint="eastAsia"/>
                <w:bCs/>
                <w:color w:val="auto"/>
                <w:sz w:val="24"/>
                <w:highlight w:val="none"/>
                <w:lang w:val="en-US" w:eastAsia="zh-CN"/>
              </w:rPr>
            </w:pPr>
          </w:p>
          <w:p w14:paraId="7DB5423E">
            <w:pPr>
              <w:rPr>
                <w:rFonts w:hint="eastAsia"/>
                <w:bCs/>
                <w:color w:val="auto"/>
                <w:sz w:val="24"/>
                <w:highlight w:val="none"/>
                <w:lang w:val="en-US" w:eastAsia="zh-CN"/>
              </w:rPr>
            </w:pPr>
          </w:p>
          <w:p w14:paraId="2CCF5074">
            <w:pPr>
              <w:rPr>
                <w:rFonts w:hint="eastAsia"/>
                <w:bCs/>
                <w:color w:val="auto"/>
                <w:sz w:val="24"/>
                <w:highlight w:val="none"/>
                <w:lang w:val="en-US" w:eastAsia="zh-CN"/>
              </w:rPr>
            </w:pPr>
          </w:p>
          <w:p w14:paraId="2DD34972">
            <w:pPr>
              <w:rPr>
                <w:rFonts w:hint="eastAsia"/>
                <w:bCs/>
                <w:color w:val="auto"/>
                <w:sz w:val="24"/>
                <w:highlight w:val="none"/>
                <w:lang w:val="en-US" w:eastAsia="zh-CN"/>
              </w:rPr>
            </w:pPr>
          </w:p>
          <w:p w14:paraId="2F046555">
            <w:pPr>
              <w:rPr>
                <w:rFonts w:hint="eastAsia"/>
                <w:bCs/>
                <w:color w:val="auto"/>
                <w:sz w:val="24"/>
                <w:highlight w:val="none"/>
                <w:lang w:val="en-US" w:eastAsia="zh-CN"/>
              </w:rPr>
            </w:pPr>
          </w:p>
          <w:p w14:paraId="5501F394">
            <w:pPr>
              <w:rPr>
                <w:rFonts w:hint="eastAsia"/>
                <w:bCs/>
                <w:color w:val="auto"/>
                <w:sz w:val="24"/>
                <w:highlight w:val="none"/>
                <w:lang w:val="en-US" w:eastAsia="zh-CN"/>
              </w:rPr>
            </w:pPr>
          </w:p>
        </w:tc>
      </w:tr>
    </w:tbl>
    <w:p w14:paraId="7B7EA516">
      <w:pPr>
        <w:rPr>
          <w:highlight w:val="none"/>
        </w:rPr>
        <w:sectPr>
          <w:pgSz w:w="11906" w:h="16838"/>
          <w:pgMar w:top="1440" w:right="1080" w:bottom="1440" w:left="1080" w:header="851" w:footer="851" w:gutter="0"/>
          <w:pgBorders>
            <w:top w:val="none" w:sz="0" w:space="0"/>
            <w:left w:val="none" w:sz="0" w:space="0"/>
            <w:bottom w:val="none" w:sz="0" w:space="0"/>
            <w:right w:val="none" w:sz="0" w:space="0"/>
          </w:pgBorders>
          <w:cols w:space="720" w:num="1"/>
          <w:docGrid w:linePitch="312"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8"/>
        <w:gridCol w:w="13576"/>
      </w:tblGrid>
      <w:tr w14:paraId="73B2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0" w:hRule="atLeast"/>
        </w:trPr>
        <w:tc>
          <w:tcPr>
            <w:tcW w:w="598" w:type="dxa"/>
          </w:tcPr>
          <w:p w14:paraId="412940FB">
            <w:pPr>
              <w:pStyle w:val="3"/>
              <w:rPr>
                <w:highlight w:val="none"/>
                <w:vertAlign w:val="baseline"/>
              </w:rPr>
            </w:pPr>
          </w:p>
        </w:tc>
        <w:tc>
          <w:tcPr>
            <w:tcW w:w="13576" w:type="dxa"/>
          </w:tcPr>
          <w:p w14:paraId="78652D93">
            <w:pPr>
              <w:numPr>
                <w:ilvl w:val="0"/>
                <w:numId w:val="0"/>
              </w:numPr>
              <w:adjustRightInd w:val="0"/>
              <w:snapToGrid w:val="0"/>
              <w:spacing w:line="360" w:lineRule="auto"/>
              <w:rPr>
                <w:b/>
                <w:color w:val="auto"/>
                <w:sz w:val="24"/>
                <w:szCs w:val="24"/>
                <w:highlight w:val="none"/>
              </w:rPr>
            </w:pPr>
            <w:r>
              <w:rPr>
                <w:rFonts w:hint="eastAsia" w:cs="Times New Roman"/>
                <w:b/>
                <w:color w:val="auto"/>
                <w:kern w:val="2"/>
                <w:sz w:val="24"/>
                <w:szCs w:val="24"/>
                <w:highlight w:val="none"/>
                <w:lang w:val="en-US" w:eastAsia="zh-CN" w:bidi="ar-SA"/>
              </w:rPr>
              <w:t>5</w:t>
            </w:r>
            <w:r>
              <w:rPr>
                <w:rFonts w:ascii="Times New Roman" w:hAnsi="Times New Roman" w:eastAsia="宋体" w:cs="Times New Roman"/>
                <w:b/>
                <w:color w:val="auto"/>
                <w:kern w:val="2"/>
                <w:sz w:val="24"/>
                <w:szCs w:val="24"/>
                <w:highlight w:val="none"/>
                <w:lang w:val="en-US" w:eastAsia="zh-CN" w:bidi="ar-SA"/>
              </w:rPr>
              <w:t>、</w:t>
            </w:r>
            <w:r>
              <w:rPr>
                <w:b/>
                <w:color w:val="auto"/>
                <w:sz w:val="24"/>
                <w:szCs w:val="24"/>
                <w:highlight w:val="none"/>
              </w:rPr>
              <w:t>主要原辅材料</w:t>
            </w:r>
          </w:p>
          <w:p w14:paraId="53DDA5BB">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原辅材料情况表</w:t>
            </w:r>
          </w:p>
          <w:tbl>
            <w:tblPr>
              <w:tblStyle w:val="22"/>
              <w:tblW w:w="4998"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688"/>
              <w:gridCol w:w="3637"/>
              <w:gridCol w:w="1013"/>
              <w:gridCol w:w="1651"/>
              <w:gridCol w:w="1104"/>
              <w:gridCol w:w="712"/>
              <w:gridCol w:w="1539"/>
              <w:gridCol w:w="1288"/>
            </w:tblGrid>
            <w:tr w14:paraId="58F3E49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 w:type="pct"/>
                  <w:tcBorders>
                    <w:tl2br w:val="nil"/>
                    <w:tr2bl w:val="nil"/>
                  </w:tcBorders>
                  <w:noWrap w:val="0"/>
                  <w:vAlign w:val="center"/>
                </w:tcPr>
                <w:p w14:paraId="53C99021">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序号</w:t>
                  </w:r>
                </w:p>
              </w:tc>
              <w:tc>
                <w:tcPr>
                  <w:tcW w:w="633" w:type="pct"/>
                  <w:tcBorders>
                    <w:tl2br w:val="nil"/>
                    <w:tr2bl w:val="nil"/>
                  </w:tcBorders>
                  <w:noWrap w:val="0"/>
                  <w:vAlign w:val="center"/>
                </w:tcPr>
                <w:p w14:paraId="1CEE7E9A">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原辅料名称</w:t>
                  </w:r>
                </w:p>
              </w:tc>
              <w:tc>
                <w:tcPr>
                  <w:tcW w:w="1364" w:type="pct"/>
                  <w:tcBorders>
                    <w:tl2br w:val="nil"/>
                    <w:tr2bl w:val="nil"/>
                  </w:tcBorders>
                  <w:noWrap w:val="0"/>
                  <w:vAlign w:val="center"/>
                </w:tcPr>
                <w:p w14:paraId="0F3162CF">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主要成分</w:t>
                  </w:r>
                </w:p>
              </w:tc>
              <w:tc>
                <w:tcPr>
                  <w:tcW w:w="380" w:type="pct"/>
                  <w:tcBorders>
                    <w:tl2br w:val="nil"/>
                    <w:tr2bl w:val="nil"/>
                  </w:tcBorders>
                  <w:noWrap w:val="0"/>
                  <w:vAlign w:val="center"/>
                </w:tcPr>
                <w:p w14:paraId="4C164DBA">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形态</w:t>
                  </w:r>
                </w:p>
              </w:tc>
              <w:tc>
                <w:tcPr>
                  <w:tcW w:w="619" w:type="pct"/>
                  <w:tcBorders>
                    <w:tl2br w:val="nil"/>
                    <w:tr2bl w:val="nil"/>
                  </w:tcBorders>
                  <w:noWrap w:val="0"/>
                  <w:vAlign w:val="center"/>
                </w:tcPr>
                <w:p w14:paraId="196266D4">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包装规格</w:t>
                  </w:r>
                </w:p>
              </w:tc>
              <w:tc>
                <w:tcPr>
                  <w:tcW w:w="414" w:type="pct"/>
                  <w:tcBorders>
                    <w:tl2br w:val="nil"/>
                    <w:tr2bl w:val="nil"/>
                  </w:tcBorders>
                  <w:noWrap w:val="0"/>
                  <w:vAlign w:val="center"/>
                </w:tcPr>
                <w:p w14:paraId="2058FA75">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年用量</w:t>
                  </w:r>
                </w:p>
              </w:tc>
              <w:tc>
                <w:tcPr>
                  <w:tcW w:w="267" w:type="pct"/>
                  <w:tcBorders>
                    <w:tl2br w:val="nil"/>
                    <w:tr2bl w:val="nil"/>
                  </w:tcBorders>
                  <w:noWrap w:val="0"/>
                  <w:vAlign w:val="center"/>
                </w:tcPr>
                <w:p w14:paraId="6B52FA0B">
                  <w:pPr>
                    <w:jc w:val="center"/>
                    <w:rPr>
                      <w:rFonts w:hint="default" w:ascii="Times New Roman" w:hAnsi="Times New Roman" w:eastAsia="仿宋" w:cs="Times New Roman"/>
                      <w:b/>
                      <w:bCs/>
                      <w:color w:val="auto"/>
                      <w:szCs w:val="21"/>
                      <w:highlight w:val="none"/>
                      <w:lang w:val="en-US" w:eastAsia="zh-CN"/>
                    </w:rPr>
                  </w:pPr>
                  <w:r>
                    <w:rPr>
                      <w:rFonts w:hint="default" w:ascii="Times New Roman" w:hAnsi="Times New Roman" w:eastAsia="仿宋" w:cs="Times New Roman"/>
                      <w:b/>
                      <w:bCs/>
                      <w:color w:val="auto"/>
                      <w:szCs w:val="21"/>
                      <w:highlight w:val="none"/>
                      <w:lang w:val="en-US" w:eastAsia="zh-CN"/>
                    </w:rPr>
                    <w:t>单位</w:t>
                  </w:r>
                </w:p>
              </w:tc>
              <w:tc>
                <w:tcPr>
                  <w:tcW w:w="577" w:type="pct"/>
                  <w:tcBorders>
                    <w:tl2br w:val="nil"/>
                    <w:tr2bl w:val="nil"/>
                  </w:tcBorders>
                  <w:noWrap w:val="0"/>
                  <w:vAlign w:val="center"/>
                </w:tcPr>
                <w:p w14:paraId="6C5FF6E4">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最大存储量</w:t>
                  </w:r>
                </w:p>
              </w:tc>
              <w:tc>
                <w:tcPr>
                  <w:tcW w:w="483" w:type="pct"/>
                  <w:tcBorders>
                    <w:tl2br w:val="nil"/>
                    <w:tr2bl w:val="nil"/>
                  </w:tcBorders>
                  <w:noWrap w:val="0"/>
                  <w:vAlign w:val="center"/>
                </w:tcPr>
                <w:p w14:paraId="0B729799">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储存位置</w:t>
                  </w:r>
                </w:p>
              </w:tc>
            </w:tr>
            <w:tr w14:paraId="2E6DDC9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 w:type="pct"/>
                  <w:tcBorders>
                    <w:tl2br w:val="nil"/>
                    <w:tr2bl w:val="nil"/>
                  </w:tcBorders>
                  <w:noWrap w:val="0"/>
                  <w:vAlign w:val="center"/>
                </w:tcPr>
                <w:p w14:paraId="658B0275">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w:t>
                  </w:r>
                </w:p>
              </w:tc>
              <w:tc>
                <w:tcPr>
                  <w:tcW w:w="633" w:type="pct"/>
                  <w:tcBorders>
                    <w:tl2br w:val="nil"/>
                    <w:tr2bl w:val="nil"/>
                  </w:tcBorders>
                  <w:noWrap w:val="0"/>
                  <w:vAlign w:val="center"/>
                </w:tcPr>
                <w:p w14:paraId="5458B747">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铝合金</w:t>
                  </w:r>
                </w:p>
              </w:tc>
              <w:tc>
                <w:tcPr>
                  <w:tcW w:w="1364" w:type="pct"/>
                  <w:tcBorders>
                    <w:tl2br w:val="nil"/>
                    <w:tr2bl w:val="nil"/>
                  </w:tcBorders>
                  <w:noWrap w:val="0"/>
                  <w:vAlign w:val="center"/>
                </w:tcPr>
                <w:p w14:paraId="5292DED8">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铝</w:t>
                  </w:r>
                </w:p>
              </w:tc>
              <w:tc>
                <w:tcPr>
                  <w:tcW w:w="380" w:type="pct"/>
                  <w:tcBorders>
                    <w:tl2br w:val="nil"/>
                    <w:tr2bl w:val="nil"/>
                  </w:tcBorders>
                  <w:noWrap w:val="0"/>
                  <w:vAlign w:val="center"/>
                </w:tcPr>
                <w:p w14:paraId="66B6738C">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固态</w:t>
                  </w:r>
                </w:p>
              </w:tc>
              <w:tc>
                <w:tcPr>
                  <w:tcW w:w="619" w:type="pct"/>
                  <w:tcBorders>
                    <w:tl2br w:val="nil"/>
                    <w:tr2bl w:val="nil"/>
                  </w:tcBorders>
                  <w:noWrap w:val="0"/>
                  <w:vAlign w:val="center"/>
                </w:tcPr>
                <w:p w14:paraId="0DA9FC87">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捆扎</w:t>
                  </w:r>
                </w:p>
              </w:tc>
              <w:tc>
                <w:tcPr>
                  <w:tcW w:w="414" w:type="pct"/>
                  <w:tcBorders>
                    <w:tl2br w:val="nil"/>
                    <w:tr2bl w:val="nil"/>
                  </w:tcBorders>
                  <w:noWrap w:val="0"/>
                  <w:vAlign w:val="center"/>
                </w:tcPr>
                <w:p w14:paraId="39A7D5B6">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160</w:t>
                  </w:r>
                </w:p>
              </w:tc>
              <w:tc>
                <w:tcPr>
                  <w:tcW w:w="267" w:type="pct"/>
                  <w:tcBorders>
                    <w:tl2br w:val="nil"/>
                    <w:tr2bl w:val="nil"/>
                  </w:tcBorders>
                  <w:noWrap w:val="0"/>
                  <w:vAlign w:val="center"/>
                </w:tcPr>
                <w:p w14:paraId="73A55E19">
                  <w:pPr>
                    <w:jc w:val="center"/>
                    <w:rPr>
                      <w:rFonts w:hint="default"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lang w:val="en-US" w:eastAsia="zh-CN"/>
                    </w:rPr>
                    <w:t>吨</w:t>
                  </w:r>
                </w:p>
              </w:tc>
              <w:tc>
                <w:tcPr>
                  <w:tcW w:w="577" w:type="pct"/>
                  <w:tcBorders>
                    <w:tl2br w:val="nil"/>
                    <w:tr2bl w:val="nil"/>
                  </w:tcBorders>
                  <w:noWrap w:val="0"/>
                  <w:vAlign w:val="center"/>
                </w:tcPr>
                <w:p w14:paraId="3647ABB7">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5</w:t>
                  </w:r>
                </w:p>
              </w:tc>
              <w:tc>
                <w:tcPr>
                  <w:tcW w:w="483" w:type="pct"/>
                  <w:tcBorders>
                    <w:tl2br w:val="nil"/>
                    <w:tr2bl w:val="nil"/>
                  </w:tcBorders>
                  <w:noWrap w:val="0"/>
                  <w:vAlign w:val="center"/>
                </w:tcPr>
                <w:p w14:paraId="42A8D890">
                  <w:pPr>
                    <w:jc w:val="center"/>
                    <w:rPr>
                      <w:rFonts w:hint="eastAsia"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原料仓库</w:t>
                  </w:r>
                </w:p>
              </w:tc>
            </w:tr>
            <w:tr w14:paraId="0D39253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 w:type="pct"/>
                  <w:tcBorders>
                    <w:tl2br w:val="nil"/>
                    <w:tr2bl w:val="nil"/>
                  </w:tcBorders>
                  <w:noWrap w:val="0"/>
                  <w:vAlign w:val="center"/>
                </w:tcPr>
                <w:p w14:paraId="23D4D9CF">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w:t>
                  </w:r>
                </w:p>
              </w:tc>
              <w:tc>
                <w:tcPr>
                  <w:tcW w:w="633" w:type="pct"/>
                  <w:tcBorders>
                    <w:tl2br w:val="nil"/>
                    <w:tr2bl w:val="nil"/>
                  </w:tcBorders>
                  <w:noWrap w:val="0"/>
                  <w:vAlign w:val="center"/>
                </w:tcPr>
                <w:p w14:paraId="652B1A07">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切削液</w:t>
                  </w:r>
                </w:p>
              </w:tc>
              <w:tc>
                <w:tcPr>
                  <w:tcW w:w="1364" w:type="pct"/>
                  <w:tcBorders>
                    <w:tl2br w:val="nil"/>
                    <w:tr2bl w:val="nil"/>
                  </w:tcBorders>
                  <w:noWrap w:val="0"/>
                  <w:vAlign w:val="center"/>
                </w:tcPr>
                <w:p w14:paraId="70BABF88">
                  <w:pPr>
                    <w:jc w:val="center"/>
                    <w:rPr>
                      <w:rFonts w:hint="default" w:ascii="Times New Roman" w:hAnsi="Times New Roman" w:eastAsia="仿宋" w:cs="Times New Roman"/>
                      <w:color w:val="auto"/>
                      <w:szCs w:val="21"/>
                      <w:highlight w:val="none"/>
                      <w:lang w:val="en-US"/>
                    </w:rPr>
                  </w:pPr>
                  <w:r>
                    <w:rPr>
                      <w:rFonts w:hint="eastAsia" w:ascii="Times New Roman" w:hAnsi="Times New Roman" w:eastAsia="仿宋" w:cs="Times New Roman"/>
                      <w:color w:val="auto"/>
                      <w:szCs w:val="21"/>
                      <w:highlight w:val="none"/>
                      <w:lang w:val="en-US" w:eastAsia="zh-CN"/>
                    </w:rPr>
                    <w:t>石油油品20</w:t>
                  </w:r>
                  <w:r>
                    <w:rPr>
                      <w:rFonts w:hint="eastAsia" w:eastAsia="仿宋" w:cs="Times New Roman"/>
                      <w:color w:val="auto"/>
                      <w:szCs w:val="21"/>
                      <w:highlight w:val="none"/>
                      <w:lang w:val="en-US" w:eastAsia="zh-CN"/>
                    </w:rPr>
                    <w:t>%</w:t>
                  </w:r>
                  <w:r>
                    <w:rPr>
                      <w:rFonts w:hint="eastAsia" w:ascii="Times New Roman" w:hAnsi="Times New Roman" w:eastAsia="仿宋" w:cs="Times New Roman"/>
                      <w:color w:val="auto"/>
                      <w:szCs w:val="21"/>
                      <w:highlight w:val="none"/>
                      <w:lang w:val="en-US" w:eastAsia="zh-CN"/>
                    </w:rPr>
                    <w:t>-30%</w:t>
                  </w:r>
                  <w:r>
                    <w:rPr>
                      <w:rFonts w:hint="eastAsia" w:eastAsia="仿宋" w:cs="Times New Roman"/>
                      <w:color w:val="auto"/>
                      <w:szCs w:val="21"/>
                      <w:highlight w:val="none"/>
                      <w:lang w:val="en-US" w:eastAsia="zh-CN"/>
                    </w:rPr>
                    <w:t>，三乙醇胺3%-5%，其余为商业秘密</w:t>
                  </w:r>
                </w:p>
              </w:tc>
              <w:tc>
                <w:tcPr>
                  <w:tcW w:w="380" w:type="pct"/>
                  <w:tcBorders>
                    <w:tl2br w:val="nil"/>
                    <w:tr2bl w:val="nil"/>
                  </w:tcBorders>
                  <w:noWrap w:val="0"/>
                  <w:vAlign w:val="center"/>
                </w:tcPr>
                <w:p w14:paraId="412BEC03">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液态</w:t>
                  </w:r>
                </w:p>
              </w:tc>
              <w:tc>
                <w:tcPr>
                  <w:tcW w:w="619" w:type="pct"/>
                  <w:tcBorders>
                    <w:tl2br w:val="nil"/>
                    <w:tr2bl w:val="nil"/>
                  </w:tcBorders>
                  <w:noWrap w:val="0"/>
                  <w:vAlign w:val="center"/>
                </w:tcPr>
                <w:p w14:paraId="1F98583A">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204L/桶</w:t>
                  </w:r>
                </w:p>
              </w:tc>
              <w:tc>
                <w:tcPr>
                  <w:tcW w:w="414" w:type="pct"/>
                  <w:tcBorders>
                    <w:tl2br w:val="nil"/>
                    <w:tr2bl w:val="nil"/>
                  </w:tcBorders>
                  <w:noWrap w:val="0"/>
                  <w:vAlign w:val="center"/>
                </w:tcPr>
                <w:p w14:paraId="0AE85672">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3</w:t>
                  </w:r>
                </w:p>
              </w:tc>
              <w:tc>
                <w:tcPr>
                  <w:tcW w:w="267" w:type="pct"/>
                  <w:tcBorders>
                    <w:tl2br w:val="nil"/>
                    <w:tr2bl w:val="nil"/>
                  </w:tcBorders>
                  <w:noWrap w:val="0"/>
                  <w:vAlign w:val="center"/>
                </w:tcPr>
                <w:p w14:paraId="3A57AFFE">
                  <w:pPr>
                    <w:jc w:val="center"/>
                    <w:rPr>
                      <w:rFonts w:hint="default"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lang w:val="en-US" w:eastAsia="zh-CN"/>
                    </w:rPr>
                    <w:t>吨</w:t>
                  </w:r>
                </w:p>
              </w:tc>
              <w:tc>
                <w:tcPr>
                  <w:tcW w:w="577" w:type="pct"/>
                  <w:tcBorders>
                    <w:tl2br w:val="nil"/>
                    <w:tr2bl w:val="nil"/>
                  </w:tcBorders>
                  <w:noWrap w:val="0"/>
                  <w:vAlign w:val="center"/>
                </w:tcPr>
                <w:p w14:paraId="27E6F243">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0.4</w:t>
                  </w:r>
                </w:p>
              </w:tc>
              <w:tc>
                <w:tcPr>
                  <w:tcW w:w="483" w:type="pct"/>
                  <w:tcBorders>
                    <w:tl2br w:val="nil"/>
                    <w:tr2bl w:val="nil"/>
                  </w:tcBorders>
                  <w:noWrap w:val="0"/>
                  <w:vAlign w:val="center"/>
                </w:tcPr>
                <w:p w14:paraId="38A27354">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化学品仓库</w:t>
                  </w:r>
                </w:p>
              </w:tc>
            </w:tr>
            <w:tr w14:paraId="166A926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 w:type="pct"/>
                  <w:tcBorders>
                    <w:tl2br w:val="nil"/>
                    <w:tr2bl w:val="nil"/>
                  </w:tcBorders>
                  <w:noWrap w:val="0"/>
                  <w:vAlign w:val="center"/>
                </w:tcPr>
                <w:p w14:paraId="03F587FD">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3</w:t>
                  </w:r>
                </w:p>
              </w:tc>
              <w:tc>
                <w:tcPr>
                  <w:tcW w:w="633" w:type="pct"/>
                  <w:tcBorders>
                    <w:tl2br w:val="nil"/>
                    <w:tr2bl w:val="nil"/>
                  </w:tcBorders>
                  <w:noWrap w:val="0"/>
                  <w:vAlign w:val="center"/>
                </w:tcPr>
                <w:p w14:paraId="28480AEF">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32#抗磨液压油</w:t>
                  </w:r>
                </w:p>
              </w:tc>
              <w:tc>
                <w:tcPr>
                  <w:tcW w:w="1364" w:type="pct"/>
                  <w:tcBorders>
                    <w:tl2br w:val="nil"/>
                    <w:tr2bl w:val="nil"/>
                  </w:tcBorders>
                  <w:noWrap w:val="0"/>
                  <w:vAlign w:val="center"/>
                </w:tcPr>
                <w:p w14:paraId="5706D532">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可互换低粘度基础油0-90%，2,6-二叔丁基苯酚0-0.24%，三唑衍生0-0.09%</w:t>
                  </w:r>
                </w:p>
              </w:tc>
              <w:tc>
                <w:tcPr>
                  <w:tcW w:w="380" w:type="pct"/>
                  <w:tcBorders>
                    <w:tl2br w:val="nil"/>
                    <w:tr2bl w:val="nil"/>
                  </w:tcBorders>
                  <w:noWrap w:val="0"/>
                  <w:vAlign w:val="center"/>
                </w:tcPr>
                <w:p w14:paraId="1BB4C0C6">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液态</w:t>
                  </w:r>
                </w:p>
              </w:tc>
              <w:tc>
                <w:tcPr>
                  <w:tcW w:w="619" w:type="pct"/>
                  <w:tcBorders>
                    <w:tl2br w:val="nil"/>
                    <w:tr2bl w:val="nil"/>
                  </w:tcBorders>
                  <w:noWrap w:val="0"/>
                  <w:vAlign w:val="center"/>
                </w:tcPr>
                <w:p w14:paraId="61817350">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18L/桶</w:t>
                  </w:r>
                </w:p>
              </w:tc>
              <w:tc>
                <w:tcPr>
                  <w:tcW w:w="414" w:type="pct"/>
                  <w:tcBorders>
                    <w:tl2br w:val="nil"/>
                    <w:tr2bl w:val="nil"/>
                  </w:tcBorders>
                  <w:noWrap w:val="0"/>
                  <w:vAlign w:val="center"/>
                </w:tcPr>
                <w:p w14:paraId="15E560C9">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11</w:t>
                  </w:r>
                </w:p>
              </w:tc>
              <w:tc>
                <w:tcPr>
                  <w:tcW w:w="267" w:type="pct"/>
                  <w:tcBorders>
                    <w:tl2br w:val="nil"/>
                    <w:tr2bl w:val="nil"/>
                  </w:tcBorders>
                  <w:noWrap w:val="0"/>
                  <w:vAlign w:val="center"/>
                </w:tcPr>
                <w:p w14:paraId="12CB9E3E">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桶</w:t>
                  </w:r>
                </w:p>
              </w:tc>
              <w:tc>
                <w:tcPr>
                  <w:tcW w:w="577" w:type="pct"/>
                  <w:tcBorders>
                    <w:tl2br w:val="nil"/>
                    <w:tr2bl w:val="nil"/>
                  </w:tcBorders>
                  <w:noWrap w:val="0"/>
                  <w:vAlign w:val="center"/>
                </w:tcPr>
                <w:p w14:paraId="4DD54142">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3</w:t>
                  </w:r>
                </w:p>
              </w:tc>
              <w:tc>
                <w:tcPr>
                  <w:tcW w:w="483" w:type="pct"/>
                  <w:tcBorders>
                    <w:tl2br w:val="nil"/>
                    <w:tr2bl w:val="nil"/>
                  </w:tcBorders>
                  <w:noWrap w:val="0"/>
                  <w:vAlign w:val="center"/>
                </w:tcPr>
                <w:p w14:paraId="2AE9DFBD">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化学品仓库</w:t>
                  </w:r>
                </w:p>
              </w:tc>
            </w:tr>
            <w:tr w14:paraId="0CDB71D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 w:type="pct"/>
                  <w:tcBorders>
                    <w:tl2br w:val="nil"/>
                    <w:tr2bl w:val="nil"/>
                  </w:tcBorders>
                  <w:noWrap w:val="0"/>
                  <w:vAlign w:val="center"/>
                </w:tcPr>
                <w:p w14:paraId="1DB049A6">
                  <w:pPr>
                    <w:widowControl/>
                    <w:jc w:val="center"/>
                    <w:textAlignment w:val="center"/>
                    <w:rPr>
                      <w:rFonts w:hint="eastAsia" w:ascii="Times New Roman" w:hAnsi="Times New Roman" w:eastAsia="仿宋" w:cs="Times New Roman"/>
                      <w:color w:val="auto"/>
                      <w:szCs w:val="21"/>
                      <w:highlight w:val="none"/>
                      <w:lang w:eastAsia="zh-CN"/>
                    </w:rPr>
                  </w:pPr>
                  <w:r>
                    <w:rPr>
                      <w:rFonts w:hint="eastAsia" w:eastAsia="仿宋" w:cs="Times New Roman"/>
                      <w:color w:val="auto"/>
                      <w:kern w:val="0"/>
                      <w:sz w:val="21"/>
                      <w:szCs w:val="21"/>
                      <w:highlight w:val="none"/>
                      <w:lang w:val="en-US" w:eastAsia="zh-CN" w:bidi="ar"/>
                    </w:rPr>
                    <w:t>4</w:t>
                  </w:r>
                </w:p>
              </w:tc>
              <w:tc>
                <w:tcPr>
                  <w:tcW w:w="633" w:type="pct"/>
                  <w:tcBorders>
                    <w:tl2br w:val="nil"/>
                    <w:tr2bl w:val="nil"/>
                  </w:tcBorders>
                  <w:noWrap w:val="0"/>
                  <w:vAlign w:val="center"/>
                </w:tcPr>
                <w:p w14:paraId="4F79AB22">
                  <w:pPr>
                    <w:jc w:val="center"/>
                    <w:rPr>
                      <w:rFonts w:hint="eastAsia"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rPr>
                    <w:t>无尘</w:t>
                  </w:r>
                  <w:r>
                    <w:rPr>
                      <w:rFonts w:hint="eastAsia" w:eastAsia="仿宋" w:cs="Times New Roman"/>
                      <w:color w:val="auto"/>
                      <w:szCs w:val="21"/>
                      <w:highlight w:val="none"/>
                      <w:lang w:val="en-US" w:eastAsia="zh-CN"/>
                    </w:rPr>
                    <w:t>纸</w:t>
                  </w:r>
                </w:p>
              </w:tc>
              <w:tc>
                <w:tcPr>
                  <w:tcW w:w="1364" w:type="pct"/>
                  <w:tcBorders>
                    <w:tl2br w:val="nil"/>
                    <w:tr2bl w:val="nil"/>
                  </w:tcBorders>
                  <w:noWrap w:val="0"/>
                  <w:vAlign w:val="center"/>
                </w:tcPr>
                <w:p w14:paraId="03F53576">
                  <w:pPr>
                    <w:jc w:val="center"/>
                    <w:rPr>
                      <w:rFonts w:hint="eastAsia"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纸</w:t>
                  </w:r>
                </w:p>
              </w:tc>
              <w:tc>
                <w:tcPr>
                  <w:tcW w:w="380" w:type="pct"/>
                  <w:tcBorders>
                    <w:tl2br w:val="nil"/>
                    <w:tr2bl w:val="nil"/>
                  </w:tcBorders>
                  <w:noWrap w:val="0"/>
                  <w:vAlign w:val="center"/>
                </w:tcPr>
                <w:p w14:paraId="0F1120BD">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固态</w:t>
                  </w:r>
                </w:p>
              </w:tc>
              <w:tc>
                <w:tcPr>
                  <w:tcW w:w="619" w:type="pct"/>
                  <w:tcBorders>
                    <w:tl2br w:val="nil"/>
                    <w:tr2bl w:val="nil"/>
                  </w:tcBorders>
                  <w:noWrap w:val="0"/>
                  <w:vAlign w:val="center"/>
                </w:tcPr>
                <w:p w14:paraId="0D91BD0A">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200*200mm</w:t>
                  </w:r>
                </w:p>
              </w:tc>
              <w:tc>
                <w:tcPr>
                  <w:tcW w:w="414" w:type="pct"/>
                  <w:tcBorders>
                    <w:tl2br w:val="nil"/>
                    <w:tr2bl w:val="nil"/>
                  </w:tcBorders>
                  <w:noWrap w:val="0"/>
                  <w:vAlign w:val="center"/>
                </w:tcPr>
                <w:p w14:paraId="15C2BBD9">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60</w:t>
                  </w:r>
                </w:p>
              </w:tc>
              <w:tc>
                <w:tcPr>
                  <w:tcW w:w="267" w:type="pct"/>
                  <w:tcBorders>
                    <w:tl2br w:val="nil"/>
                    <w:tr2bl w:val="nil"/>
                  </w:tcBorders>
                  <w:shd w:val="clear" w:color="auto" w:fill="auto"/>
                  <w:noWrap w:val="0"/>
                  <w:vAlign w:val="center"/>
                </w:tcPr>
                <w:p w14:paraId="037A4882">
                  <w:pPr>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卷</w:t>
                  </w:r>
                </w:p>
              </w:tc>
              <w:tc>
                <w:tcPr>
                  <w:tcW w:w="577" w:type="pct"/>
                  <w:tcBorders>
                    <w:tl2br w:val="nil"/>
                    <w:tr2bl w:val="nil"/>
                  </w:tcBorders>
                  <w:noWrap w:val="0"/>
                  <w:vAlign w:val="center"/>
                </w:tcPr>
                <w:p w14:paraId="7CFDDE91">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6</w:t>
                  </w:r>
                </w:p>
              </w:tc>
              <w:tc>
                <w:tcPr>
                  <w:tcW w:w="483" w:type="pct"/>
                  <w:tcBorders>
                    <w:tl2br w:val="nil"/>
                    <w:tr2bl w:val="nil"/>
                  </w:tcBorders>
                  <w:noWrap w:val="0"/>
                  <w:vAlign w:val="center"/>
                </w:tcPr>
                <w:p w14:paraId="4234F193">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原料仓库</w:t>
                  </w:r>
                </w:p>
              </w:tc>
            </w:tr>
          </w:tbl>
          <w:p w14:paraId="620FC757">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主要原辅材料理化性质</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15"/>
              <w:gridCol w:w="5175"/>
              <w:gridCol w:w="3405"/>
              <w:gridCol w:w="3435"/>
            </w:tblGrid>
            <w:tr w14:paraId="303E95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noWrap w:val="0"/>
                  <w:vAlign w:val="center"/>
                </w:tcPr>
                <w:p w14:paraId="4507E56B">
                  <w:pPr>
                    <w:kinsoku w:val="0"/>
                    <w:autoSpaceDE w:val="0"/>
                    <w:autoSpaceDN w:val="0"/>
                    <w:snapToGrid w:val="0"/>
                    <w:jc w:val="center"/>
                    <w:textAlignment w:val="bottom"/>
                    <w:rPr>
                      <w:rFonts w:hint="default" w:ascii="Times New Roman" w:hAnsi="Times New Roman" w:eastAsia="仿宋" w:cs="Times New Roman"/>
                      <w:b/>
                      <w:color w:val="000000"/>
                      <w:sz w:val="21"/>
                      <w:szCs w:val="21"/>
                      <w:highlight w:val="none"/>
                    </w:rPr>
                  </w:pPr>
                  <w:r>
                    <w:rPr>
                      <w:rFonts w:hint="default" w:ascii="Times New Roman" w:hAnsi="Times New Roman" w:eastAsia="仿宋" w:cs="Times New Roman"/>
                      <w:b/>
                      <w:color w:val="000000"/>
                      <w:sz w:val="21"/>
                      <w:szCs w:val="21"/>
                      <w:highlight w:val="none"/>
                    </w:rPr>
                    <w:t>物质名称</w:t>
                  </w:r>
                </w:p>
              </w:tc>
              <w:tc>
                <w:tcPr>
                  <w:tcW w:w="5175" w:type="dxa"/>
                  <w:noWrap w:val="0"/>
                  <w:vAlign w:val="center"/>
                </w:tcPr>
                <w:p w14:paraId="088EAA21">
                  <w:pPr>
                    <w:kinsoku w:val="0"/>
                    <w:autoSpaceDE w:val="0"/>
                    <w:autoSpaceDN w:val="0"/>
                    <w:snapToGrid w:val="0"/>
                    <w:jc w:val="center"/>
                    <w:textAlignment w:val="bottom"/>
                    <w:rPr>
                      <w:rFonts w:hint="default" w:ascii="Times New Roman" w:hAnsi="Times New Roman" w:eastAsia="仿宋" w:cs="Times New Roman"/>
                      <w:b/>
                      <w:color w:val="000000"/>
                      <w:sz w:val="21"/>
                      <w:szCs w:val="21"/>
                      <w:highlight w:val="none"/>
                    </w:rPr>
                  </w:pPr>
                  <w:r>
                    <w:rPr>
                      <w:rFonts w:hint="default" w:ascii="Times New Roman" w:hAnsi="Times New Roman" w:eastAsia="仿宋" w:cs="Times New Roman"/>
                      <w:b/>
                      <w:color w:val="000000"/>
                      <w:sz w:val="21"/>
                      <w:szCs w:val="21"/>
                      <w:highlight w:val="none"/>
                    </w:rPr>
                    <w:t>理化性质</w:t>
                  </w:r>
                </w:p>
              </w:tc>
              <w:tc>
                <w:tcPr>
                  <w:tcW w:w="3405" w:type="dxa"/>
                  <w:noWrap w:val="0"/>
                  <w:vAlign w:val="center"/>
                </w:tcPr>
                <w:p w14:paraId="2A1FD9AF">
                  <w:pPr>
                    <w:kinsoku w:val="0"/>
                    <w:autoSpaceDE w:val="0"/>
                    <w:autoSpaceDN w:val="0"/>
                    <w:snapToGrid w:val="0"/>
                    <w:jc w:val="center"/>
                    <w:textAlignment w:val="bottom"/>
                    <w:rPr>
                      <w:rFonts w:hint="default" w:ascii="Times New Roman" w:hAnsi="Times New Roman" w:eastAsia="仿宋" w:cs="Times New Roman"/>
                      <w:b/>
                      <w:color w:val="000000"/>
                      <w:sz w:val="21"/>
                      <w:szCs w:val="21"/>
                      <w:highlight w:val="none"/>
                    </w:rPr>
                  </w:pPr>
                  <w:r>
                    <w:rPr>
                      <w:rFonts w:hint="default" w:ascii="Times New Roman" w:hAnsi="Times New Roman" w:eastAsia="仿宋" w:cs="Times New Roman"/>
                      <w:b/>
                      <w:color w:val="000000"/>
                      <w:sz w:val="21"/>
                      <w:szCs w:val="21"/>
                      <w:highlight w:val="none"/>
                    </w:rPr>
                    <w:t>燃烧爆炸性</w:t>
                  </w:r>
                </w:p>
              </w:tc>
              <w:tc>
                <w:tcPr>
                  <w:tcW w:w="3435" w:type="dxa"/>
                  <w:noWrap w:val="0"/>
                  <w:vAlign w:val="center"/>
                </w:tcPr>
                <w:p w14:paraId="6DA9CDF1">
                  <w:pPr>
                    <w:kinsoku w:val="0"/>
                    <w:autoSpaceDE w:val="0"/>
                    <w:autoSpaceDN w:val="0"/>
                    <w:snapToGrid w:val="0"/>
                    <w:jc w:val="center"/>
                    <w:textAlignment w:val="bottom"/>
                    <w:rPr>
                      <w:rFonts w:hint="default" w:ascii="Times New Roman" w:hAnsi="Times New Roman" w:eastAsia="仿宋" w:cs="Times New Roman"/>
                      <w:b/>
                      <w:color w:val="000000"/>
                      <w:sz w:val="21"/>
                      <w:szCs w:val="21"/>
                      <w:highlight w:val="none"/>
                    </w:rPr>
                  </w:pPr>
                  <w:r>
                    <w:rPr>
                      <w:rFonts w:hint="default" w:ascii="Times New Roman" w:hAnsi="Times New Roman" w:eastAsia="仿宋" w:cs="Times New Roman"/>
                      <w:b/>
                      <w:color w:val="000000"/>
                      <w:sz w:val="21"/>
                      <w:szCs w:val="21"/>
                      <w:highlight w:val="none"/>
                    </w:rPr>
                    <w:t>毒理性</w:t>
                  </w:r>
                </w:p>
              </w:tc>
            </w:tr>
            <w:tr w14:paraId="6F4A7B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noWrap w:val="0"/>
                  <w:vAlign w:val="center"/>
                </w:tcPr>
                <w:p w14:paraId="11DF2391">
                  <w:pPr>
                    <w:jc w:val="center"/>
                    <w:rPr>
                      <w:rFonts w:hint="default" w:ascii="Times New Roman" w:hAnsi="Times New Roman" w:eastAsia="仿宋" w:cs="Times New Roman"/>
                      <w:color w:val="000000"/>
                      <w:sz w:val="21"/>
                      <w:szCs w:val="21"/>
                      <w:highlight w:val="none"/>
                      <w:lang w:val="en-US" w:eastAsia="zh-CN"/>
                    </w:rPr>
                  </w:pPr>
                  <w:r>
                    <w:rPr>
                      <w:rFonts w:hint="eastAsia" w:ascii="Times New Roman" w:hAnsi="Times New Roman" w:eastAsia="仿宋" w:cs="Times New Roman"/>
                      <w:color w:val="auto"/>
                      <w:szCs w:val="21"/>
                      <w:highlight w:val="none"/>
                      <w:lang w:val="en-US" w:eastAsia="zh-CN"/>
                    </w:rPr>
                    <w:t>切削液</w:t>
                  </w:r>
                </w:p>
              </w:tc>
              <w:tc>
                <w:tcPr>
                  <w:tcW w:w="5175" w:type="dxa"/>
                  <w:noWrap w:val="0"/>
                  <w:vAlign w:val="center"/>
                </w:tcPr>
                <w:p w14:paraId="63ED093B">
                  <w:pPr>
                    <w:snapToGrid w:val="0"/>
                    <w:jc w:val="center"/>
                    <w:rPr>
                      <w:rFonts w:hint="default" w:ascii="Times New Roman" w:hAnsi="Times New Roman" w:eastAsia="仿宋" w:cs="Times New Roman"/>
                      <w:color w:val="000000"/>
                      <w:sz w:val="21"/>
                      <w:szCs w:val="21"/>
                      <w:highlight w:val="none"/>
                      <w:lang w:val="en-US" w:eastAsia="zh-CN"/>
                    </w:rPr>
                  </w:pPr>
                  <w:r>
                    <w:rPr>
                      <w:rFonts w:hint="eastAsia" w:eastAsia="仿宋" w:cs="Times New Roman"/>
                      <w:color w:val="000000"/>
                      <w:sz w:val="21"/>
                      <w:szCs w:val="21"/>
                      <w:highlight w:val="none"/>
                      <w:lang w:val="en-US" w:eastAsia="zh-CN"/>
                    </w:rPr>
                    <w:t>棕色</w:t>
                  </w:r>
                  <w:r>
                    <w:rPr>
                      <w:rFonts w:hint="default" w:ascii="Times New Roman" w:hAnsi="Times New Roman" w:eastAsia="仿宋" w:cs="Times New Roman"/>
                      <w:color w:val="000000"/>
                      <w:sz w:val="21"/>
                      <w:szCs w:val="21"/>
                      <w:highlight w:val="none"/>
                      <w:lang w:val="en-US" w:eastAsia="zh-CN"/>
                    </w:rPr>
                    <w:t>液体</w:t>
                  </w:r>
                  <w:r>
                    <w:rPr>
                      <w:rFonts w:hint="eastAsia" w:eastAsia="仿宋" w:cs="Times New Roman"/>
                      <w:color w:val="000000"/>
                      <w:sz w:val="21"/>
                      <w:szCs w:val="21"/>
                      <w:highlight w:val="none"/>
                      <w:lang w:val="en-US" w:eastAsia="zh-CN"/>
                    </w:rPr>
                    <w:t>，相对</w:t>
                  </w:r>
                  <w:r>
                    <w:rPr>
                      <w:rFonts w:hint="default" w:ascii="Times New Roman" w:hAnsi="Times New Roman" w:eastAsia="仿宋" w:cs="Times New Roman"/>
                      <w:color w:val="000000"/>
                      <w:sz w:val="21"/>
                      <w:szCs w:val="21"/>
                      <w:highlight w:val="none"/>
                      <w:lang w:val="en-US" w:eastAsia="zh-CN"/>
                    </w:rPr>
                    <w:t>密度</w:t>
                  </w:r>
                  <w:r>
                    <w:rPr>
                      <w:rFonts w:hint="eastAsia" w:eastAsia="仿宋" w:cs="Times New Roman"/>
                      <w:color w:val="000000"/>
                      <w:sz w:val="21"/>
                      <w:szCs w:val="21"/>
                      <w:highlight w:val="none"/>
                      <w:lang w:val="en-US" w:eastAsia="zh-CN"/>
                    </w:rPr>
                    <w:t>：0.926-1.024，可溶于水</w:t>
                  </w:r>
                </w:p>
              </w:tc>
              <w:tc>
                <w:tcPr>
                  <w:tcW w:w="3405" w:type="dxa"/>
                  <w:noWrap w:val="0"/>
                  <w:vAlign w:val="center"/>
                </w:tcPr>
                <w:p w14:paraId="58115B2A">
                  <w:pPr>
                    <w:snapToGrid w:val="0"/>
                    <w:jc w:val="center"/>
                    <w:rPr>
                      <w:rFonts w:hint="default" w:ascii="Times New Roman" w:hAnsi="Times New Roman" w:eastAsia="仿宋" w:cs="Times New Roman"/>
                      <w:color w:val="000000"/>
                      <w:sz w:val="21"/>
                      <w:szCs w:val="21"/>
                      <w:highlight w:val="none"/>
                      <w:lang w:val="en-US" w:eastAsia="zh-CN"/>
                    </w:rPr>
                  </w:pPr>
                  <w:r>
                    <w:rPr>
                      <w:rFonts w:hint="eastAsia" w:eastAsia="仿宋" w:cs="Times New Roman"/>
                      <w:color w:val="000000"/>
                      <w:sz w:val="21"/>
                      <w:szCs w:val="21"/>
                      <w:highlight w:val="none"/>
                      <w:lang w:val="en-US" w:eastAsia="zh-CN"/>
                    </w:rPr>
                    <w:t>闪点：＞100℃</w:t>
                  </w:r>
                </w:p>
              </w:tc>
              <w:tc>
                <w:tcPr>
                  <w:tcW w:w="3435" w:type="dxa"/>
                  <w:noWrap w:val="0"/>
                  <w:vAlign w:val="center"/>
                </w:tcPr>
                <w:p w14:paraId="05091EA5">
                  <w:pPr>
                    <w:snapToGrid w:val="0"/>
                    <w:jc w:val="center"/>
                    <w:rPr>
                      <w:rFonts w:hint="default" w:ascii="Times New Roman" w:hAnsi="Times New Roman" w:eastAsia="仿宋" w:cs="Times New Roman"/>
                      <w:snapToGrid w:val="0"/>
                      <w:color w:val="000000"/>
                      <w:sz w:val="21"/>
                      <w:szCs w:val="21"/>
                      <w:highlight w:val="none"/>
                    </w:rPr>
                  </w:pPr>
                  <w:r>
                    <w:rPr>
                      <w:rFonts w:hint="default" w:ascii="Times New Roman" w:hAnsi="Times New Roman" w:eastAsia="仿宋" w:cs="Times New Roman"/>
                      <w:snapToGrid w:val="0"/>
                      <w:color w:val="000000"/>
                      <w:sz w:val="21"/>
                      <w:szCs w:val="21"/>
                      <w:highlight w:val="none"/>
                      <w:lang w:val="en-US" w:eastAsia="zh-CN"/>
                    </w:rPr>
                    <w:t>无资料</w:t>
                  </w:r>
                </w:p>
              </w:tc>
            </w:tr>
            <w:tr w14:paraId="101A7E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5" w:type="dxa"/>
                  <w:noWrap w:val="0"/>
                  <w:vAlign w:val="center"/>
                </w:tcPr>
                <w:p w14:paraId="0F9BFC2D">
                  <w:pPr>
                    <w:jc w:val="center"/>
                    <w:rPr>
                      <w:rFonts w:hint="default" w:ascii="Times New Roman" w:hAnsi="Times New Roman" w:eastAsia="仿宋" w:cs="Times New Roman"/>
                      <w:color w:val="000000"/>
                      <w:sz w:val="21"/>
                      <w:szCs w:val="21"/>
                      <w:highlight w:val="none"/>
                      <w:lang w:val="en-US" w:eastAsia="zh-CN"/>
                    </w:rPr>
                  </w:pPr>
                  <w:r>
                    <w:rPr>
                      <w:rFonts w:hint="eastAsia" w:ascii="Times New Roman" w:hAnsi="Times New Roman" w:eastAsia="仿宋" w:cs="Times New Roman"/>
                      <w:color w:val="auto"/>
                      <w:szCs w:val="21"/>
                      <w:highlight w:val="none"/>
                      <w:lang w:val="en-US" w:eastAsia="zh-CN"/>
                    </w:rPr>
                    <w:t>32#抗磨液压油</w:t>
                  </w:r>
                </w:p>
              </w:tc>
              <w:tc>
                <w:tcPr>
                  <w:tcW w:w="5175" w:type="dxa"/>
                  <w:noWrap w:val="0"/>
                  <w:vAlign w:val="center"/>
                </w:tcPr>
                <w:p w14:paraId="3BBF522D">
                  <w:pPr>
                    <w:snapToGrid w:val="0"/>
                    <w:jc w:val="center"/>
                    <w:rPr>
                      <w:rFonts w:hint="default" w:ascii="Times New Roman" w:hAnsi="Times New Roman" w:eastAsia="仿宋" w:cs="Times New Roman"/>
                      <w:color w:val="000000"/>
                      <w:sz w:val="21"/>
                      <w:szCs w:val="21"/>
                      <w:highlight w:val="none"/>
                      <w:lang w:val="en-US" w:eastAsia="zh-CN"/>
                    </w:rPr>
                  </w:pPr>
                  <w:r>
                    <w:rPr>
                      <w:rFonts w:hint="eastAsia" w:eastAsia="仿宋" w:cs="Times New Roman"/>
                      <w:color w:val="000000"/>
                      <w:sz w:val="21"/>
                      <w:szCs w:val="21"/>
                      <w:highlight w:val="none"/>
                      <w:lang w:val="en-US" w:eastAsia="zh-CN"/>
                    </w:rPr>
                    <w:t>澄清</w:t>
                  </w:r>
                  <w:r>
                    <w:rPr>
                      <w:rFonts w:hint="default" w:ascii="Times New Roman" w:hAnsi="Times New Roman" w:eastAsia="仿宋" w:cs="Times New Roman"/>
                      <w:color w:val="000000"/>
                      <w:sz w:val="21"/>
                      <w:szCs w:val="21"/>
                      <w:highlight w:val="none"/>
                      <w:lang w:val="en-US" w:eastAsia="zh-CN"/>
                    </w:rPr>
                    <w:t>液体，</w:t>
                  </w:r>
                  <w:r>
                    <w:rPr>
                      <w:rFonts w:hint="eastAsia" w:eastAsia="仿宋" w:cs="Times New Roman"/>
                      <w:color w:val="000000"/>
                      <w:sz w:val="21"/>
                      <w:szCs w:val="21"/>
                      <w:highlight w:val="none"/>
                      <w:lang w:val="en-US" w:eastAsia="zh-CN"/>
                    </w:rPr>
                    <w:t>相对</w:t>
                  </w:r>
                  <w:r>
                    <w:rPr>
                      <w:rFonts w:hint="default" w:ascii="Times New Roman" w:hAnsi="Times New Roman" w:eastAsia="仿宋" w:cs="Times New Roman"/>
                      <w:color w:val="000000"/>
                      <w:sz w:val="21"/>
                      <w:szCs w:val="21"/>
                      <w:highlight w:val="none"/>
                      <w:lang w:val="en-US" w:eastAsia="zh-CN"/>
                    </w:rPr>
                    <w:t>密度：</w:t>
                  </w:r>
                  <w:r>
                    <w:rPr>
                      <w:rFonts w:hint="eastAsia" w:eastAsia="仿宋" w:cs="Times New Roman"/>
                      <w:color w:val="000000"/>
                      <w:sz w:val="21"/>
                      <w:szCs w:val="21"/>
                      <w:highlight w:val="none"/>
                      <w:lang w:val="en-US" w:eastAsia="zh-CN"/>
                    </w:rPr>
                    <w:t>0.854</w:t>
                  </w:r>
                  <w:r>
                    <w:rPr>
                      <w:rFonts w:hint="default" w:ascii="Times New Roman" w:hAnsi="Times New Roman" w:eastAsia="仿宋" w:cs="Times New Roman"/>
                      <w:color w:val="000000"/>
                      <w:sz w:val="21"/>
                      <w:szCs w:val="21"/>
                      <w:highlight w:val="none"/>
                      <w:lang w:val="en-US" w:eastAsia="zh-CN"/>
                    </w:rPr>
                    <w:t>g/cm</w:t>
                  </w:r>
                  <w:r>
                    <w:rPr>
                      <w:rFonts w:hint="default" w:ascii="Times New Roman" w:hAnsi="Times New Roman" w:eastAsia="仿宋" w:cs="Times New Roman"/>
                      <w:color w:val="000000"/>
                      <w:sz w:val="21"/>
                      <w:szCs w:val="21"/>
                      <w:highlight w:val="none"/>
                      <w:vertAlign w:val="superscript"/>
                      <w:lang w:val="en-US" w:eastAsia="zh-CN"/>
                    </w:rPr>
                    <w:t>3</w:t>
                  </w:r>
                  <w:r>
                    <w:rPr>
                      <w:rFonts w:hint="default" w:ascii="Times New Roman" w:hAnsi="Times New Roman" w:eastAsia="仿宋" w:cs="Times New Roman"/>
                      <w:color w:val="000000"/>
                      <w:sz w:val="21"/>
                      <w:szCs w:val="21"/>
                      <w:highlight w:val="none"/>
                      <w:lang w:val="en-US" w:eastAsia="zh-CN"/>
                    </w:rPr>
                    <w:t>，与水任意比例互溶</w:t>
                  </w:r>
                </w:p>
              </w:tc>
              <w:tc>
                <w:tcPr>
                  <w:tcW w:w="3405" w:type="dxa"/>
                  <w:noWrap w:val="0"/>
                  <w:vAlign w:val="center"/>
                </w:tcPr>
                <w:p w14:paraId="4B179C3B">
                  <w:pPr>
                    <w:snapToGrid w:val="0"/>
                    <w:jc w:val="center"/>
                    <w:rPr>
                      <w:rFonts w:hint="default" w:ascii="Times New Roman" w:hAnsi="Times New Roman" w:eastAsia="仿宋" w:cs="Times New Roman"/>
                      <w:color w:val="000000"/>
                      <w:sz w:val="21"/>
                      <w:szCs w:val="21"/>
                      <w:highlight w:val="none"/>
                      <w:lang w:val="en-US" w:eastAsia="zh-CN"/>
                    </w:rPr>
                  </w:pPr>
                  <w:r>
                    <w:rPr>
                      <w:rFonts w:hint="default" w:ascii="Times New Roman" w:hAnsi="Times New Roman" w:eastAsia="仿宋" w:cs="Times New Roman"/>
                      <w:color w:val="000000"/>
                      <w:sz w:val="21"/>
                      <w:szCs w:val="21"/>
                      <w:highlight w:val="none"/>
                      <w:lang w:val="en-US" w:eastAsia="zh-CN"/>
                    </w:rPr>
                    <w:t>闪点</w:t>
                  </w:r>
                  <w:r>
                    <w:rPr>
                      <w:rFonts w:hint="eastAsia" w:eastAsia="仿宋" w:cs="Times New Roman"/>
                      <w:color w:val="000000"/>
                      <w:sz w:val="21"/>
                      <w:szCs w:val="21"/>
                      <w:highlight w:val="none"/>
                      <w:lang w:val="en-US" w:eastAsia="zh-CN"/>
                    </w:rPr>
                    <w:t>：2</w:t>
                  </w:r>
                  <w:r>
                    <w:rPr>
                      <w:rFonts w:hint="default" w:ascii="Times New Roman" w:hAnsi="Times New Roman" w:eastAsia="仿宋" w:cs="Times New Roman"/>
                      <w:color w:val="000000"/>
                      <w:sz w:val="21"/>
                      <w:szCs w:val="21"/>
                      <w:highlight w:val="none"/>
                      <w:lang w:val="en-US" w:eastAsia="zh-CN"/>
                    </w:rPr>
                    <w:t>20℃</w:t>
                  </w:r>
                  <w:r>
                    <w:rPr>
                      <w:rFonts w:hint="eastAsia" w:eastAsia="仿宋" w:cs="Times New Roman"/>
                      <w:color w:val="000000"/>
                      <w:sz w:val="21"/>
                      <w:szCs w:val="21"/>
                      <w:highlight w:val="none"/>
                      <w:lang w:val="en-US" w:eastAsia="zh-CN"/>
                    </w:rPr>
                    <w:t>，爆炸上限：10%（V），爆炸下限：1%（V）</w:t>
                  </w:r>
                </w:p>
              </w:tc>
              <w:tc>
                <w:tcPr>
                  <w:tcW w:w="3435" w:type="dxa"/>
                  <w:noWrap w:val="0"/>
                  <w:vAlign w:val="center"/>
                </w:tcPr>
                <w:p w14:paraId="6F7A7C31">
                  <w:pPr>
                    <w:snapToGrid w:val="0"/>
                    <w:jc w:val="center"/>
                    <w:rPr>
                      <w:rFonts w:hint="default" w:ascii="Times New Roman" w:hAnsi="Times New Roman" w:eastAsia="仿宋" w:cs="Times New Roman"/>
                      <w:snapToGrid w:val="0"/>
                      <w:color w:val="000000"/>
                      <w:szCs w:val="21"/>
                      <w:highlight w:val="none"/>
                      <w:lang w:val="en-US" w:eastAsia="zh-CN"/>
                    </w:rPr>
                  </w:pPr>
                  <w:r>
                    <w:rPr>
                      <w:rFonts w:hint="default" w:ascii="Times New Roman" w:hAnsi="Times New Roman" w:eastAsia="仿宋" w:cs="Times New Roman"/>
                      <w:snapToGrid w:val="0"/>
                      <w:color w:val="000000"/>
                      <w:sz w:val="21"/>
                      <w:szCs w:val="21"/>
                      <w:highlight w:val="none"/>
                    </w:rPr>
                    <w:t>LD</w:t>
                  </w:r>
                  <w:r>
                    <w:rPr>
                      <w:rFonts w:hint="default" w:ascii="Times New Roman" w:hAnsi="Times New Roman" w:eastAsia="仿宋" w:cs="Times New Roman"/>
                      <w:snapToGrid w:val="0"/>
                      <w:color w:val="000000"/>
                      <w:sz w:val="21"/>
                      <w:szCs w:val="21"/>
                      <w:highlight w:val="none"/>
                      <w:vertAlign w:val="subscript"/>
                    </w:rPr>
                    <w:t>50</w:t>
                  </w:r>
                  <w:r>
                    <w:rPr>
                      <w:rFonts w:hint="default" w:ascii="Times New Roman" w:hAnsi="Times New Roman" w:eastAsia="仿宋" w:cs="Times New Roman"/>
                      <w:snapToGrid w:val="0"/>
                      <w:color w:val="000000"/>
                      <w:sz w:val="21"/>
                      <w:szCs w:val="21"/>
                      <w:highlight w:val="none"/>
                    </w:rPr>
                    <w:t>大鼠</w:t>
                  </w:r>
                  <w:r>
                    <w:rPr>
                      <w:rFonts w:hint="eastAsia" w:eastAsia="仿宋" w:cs="Times New Roman"/>
                      <w:snapToGrid w:val="0"/>
                      <w:color w:val="000000"/>
                      <w:sz w:val="21"/>
                      <w:szCs w:val="21"/>
                      <w:highlight w:val="none"/>
                      <w:lang w:eastAsia="zh-CN"/>
                    </w:rPr>
                    <w:t>：</w:t>
                  </w:r>
                  <w:r>
                    <w:rPr>
                      <w:rFonts w:hint="default" w:ascii="Times New Roman" w:hAnsi="Times New Roman" w:eastAsia="仿宋" w:cs="Times New Roman"/>
                      <w:snapToGrid w:val="0"/>
                      <w:color w:val="000000"/>
                      <w:sz w:val="21"/>
                      <w:szCs w:val="21"/>
                      <w:highlight w:val="none"/>
                    </w:rPr>
                    <w:t>&gt;</w:t>
                  </w:r>
                  <w:r>
                    <w:rPr>
                      <w:rFonts w:hint="eastAsia" w:eastAsia="仿宋" w:cs="Times New Roman"/>
                      <w:snapToGrid w:val="0"/>
                      <w:color w:val="000000"/>
                      <w:sz w:val="21"/>
                      <w:szCs w:val="21"/>
                      <w:highlight w:val="none"/>
                      <w:lang w:val="en-US" w:eastAsia="zh-CN"/>
                    </w:rPr>
                    <w:t>5</w:t>
                  </w:r>
                  <w:r>
                    <w:rPr>
                      <w:rFonts w:hint="default" w:ascii="Times New Roman" w:hAnsi="Times New Roman" w:eastAsia="仿宋" w:cs="Times New Roman"/>
                      <w:snapToGrid w:val="0"/>
                      <w:color w:val="000000"/>
                      <w:sz w:val="21"/>
                      <w:szCs w:val="21"/>
                      <w:highlight w:val="none"/>
                    </w:rPr>
                    <w:t>000mg/kg</w:t>
                  </w:r>
                </w:p>
              </w:tc>
            </w:tr>
          </w:tbl>
          <w:p w14:paraId="4DD68DD4">
            <w:pPr>
              <w:pStyle w:val="27"/>
              <w:ind w:left="0" w:leftChars="0" w:firstLine="0" w:firstLineChars="0"/>
              <w:rPr>
                <w:highlight w:val="none"/>
              </w:rPr>
            </w:pPr>
          </w:p>
        </w:tc>
      </w:tr>
    </w:tbl>
    <w:p w14:paraId="18A0FAAA">
      <w:pPr>
        <w:pStyle w:val="27"/>
        <w:rPr>
          <w:highlight w:val="none"/>
        </w:rPr>
      </w:pPr>
    </w:p>
    <w:p w14:paraId="74CE6CB3">
      <w:pPr>
        <w:pStyle w:val="27"/>
        <w:rPr>
          <w:highlight w:val="none"/>
        </w:rPr>
        <w:sectPr>
          <w:pgSz w:w="16838" w:h="11906" w:orient="landscape"/>
          <w:pgMar w:top="1080" w:right="1440" w:bottom="1080" w:left="1440" w:header="851" w:footer="851" w:gutter="0"/>
          <w:pgBorders>
            <w:top w:val="none" w:sz="0" w:space="0"/>
            <w:left w:val="none" w:sz="0" w:space="0"/>
            <w:bottom w:val="none" w:sz="0" w:space="0"/>
            <w:right w:val="none" w:sz="0" w:space="0"/>
          </w:pgBorders>
          <w:cols w:space="720" w:num="1"/>
          <w:docGrid w:linePitch="312"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9508"/>
      </w:tblGrid>
      <w:tr w14:paraId="5EA8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tcPr>
          <w:p w14:paraId="628492F3">
            <w:pPr>
              <w:pStyle w:val="27"/>
              <w:rPr>
                <w:color w:val="auto"/>
                <w:highlight w:val="none"/>
                <w:vertAlign w:val="baseline"/>
              </w:rPr>
            </w:pPr>
          </w:p>
        </w:tc>
        <w:tc>
          <w:tcPr>
            <w:tcW w:w="9508" w:type="dxa"/>
          </w:tcPr>
          <w:p w14:paraId="6292BE43">
            <w:pPr>
              <w:pStyle w:val="31"/>
              <w:spacing w:before="0" w:beforeAutospacing="0" w:after="0" w:afterAutospacing="0"/>
              <w:ind w:left="0" w:leftChars="0" w:firstLine="0" w:firstLineChars="0"/>
              <w:jc w:val="both"/>
              <w:rPr>
                <w:b/>
                <w:color w:val="auto"/>
                <w:sz w:val="24"/>
                <w:szCs w:val="24"/>
                <w:highlight w:val="none"/>
              </w:rPr>
            </w:pPr>
            <w:r>
              <w:rPr>
                <w:rFonts w:hint="eastAsia" w:ascii="Times New Roman" w:hAnsi="Times New Roman"/>
                <w:b/>
                <w:color w:val="auto"/>
                <w:kern w:val="2"/>
                <w:sz w:val="24"/>
                <w:szCs w:val="24"/>
                <w:highlight w:val="none"/>
                <w:lang w:val="en-US" w:eastAsia="zh-CN"/>
              </w:rPr>
              <w:t>6、</w:t>
            </w:r>
            <w:r>
              <w:rPr>
                <w:rFonts w:ascii="Times New Roman" w:hAnsi="Times New Roman"/>
                <w:b/>
                <w:color w:val="auto"/>
                <w:kern w:val="2"/>
                <w:sz w:val="24"/>
                <w:szCs w:val="24"/>
                <w:highlight w:val="none"/>
              </w:rPr>
              <w:t>生产及公用设备</w:t>
            </w:r>
          </w:p>
          <w:p w14:paraId="2546B07A">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主要生产设备表</w:t>
            </w:r>
          </w:p>
          <w:tbl>
            <w:tblPr>
              <w:tblStyle w:val="22"/>
              <w:tblW w:w="4995"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2318"/>
              <w:gridCol w:w="3762"/>
              <w:gridCol w:w="1272"/>
              <w:gridCol w:w="1068"/>
              <w:gridCol w:w="2"/>
            </w:tblGrid>
            <w:tr w14:paraId="4ADCCAC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449" w:type="pct"/>
                  <w:tcBorders>
                    <w:tl2br w:val="nil"/>
                    <w:tr2bl w:val="nil"/>
                  </w:tcBorders>
                  <w:noWrap w:val="0"/>
                  <w:vAlign w:val="center"/>
                </w:tcPr>
                <w:p w14:paraId="74568017">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序号</w:t>
                  </w:r>
                </w:p>
              </w:tc>
              <w:tc>
                <w:tcPr>
                  <w:tcW w:w="1252" w:type="pct"/>
                  <w:tcBorders>
                    <w:tl2br w:val="nil"/>
                    <w:tr2bl w:val="nil"/>
                  </w:tcBorders>
                  <w:noWrap w:val="0"/>
                  <w:vAlign w:val="center"/>
                </w:tcPr>
                <w:p w14:paraId="7FB1DED2">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设备名称</w:t>
                  </w:r>
                </w:p>
              </w:tc>
              <w:tc>
                <w:tcPr>
                  <w:tcW w:w="2032" w:type="pct"/>
                  <w:tcBorders>
                    <w:tl2br w:val="nil"/>
                    <w:tr2bl w:val="nil"/>
                  </w:tcBorders>
                  <w:noWrap w:val="0"/>
                  <w:vAlign w:val="center"/>
                </w:tcPr>
                <w:p w14:paraId="7BCF8FEA">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设备规格（型号）/参数</w:t>
                  </w:r>
                </w:p>
              </w:tc>
              <w:tc>
                <w:tcPr>
                  <w:tcW w:w="687" w:type="pct"/>
                  <w:tcBorders>
                    <w:tl2br w:val="nil"/>
                    <w:tr2bl w:val="nil"/>
                  </w:tcBorders>
                  <w:noWrap w:val="0"/>
                  <w:vAlign w:val="center"/>
                </w:tcPr>
                <w:p w14:paraId="0C627941">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数量（台）</w:t>
                  </w:r>
                </w:p>
              </w:tc>
              <w:tc>
                <w:tcPr>
                  <w:tcW w:w="578" w:type="pct"/>
                  <w:gridSpan w:val="2"/>
                  <w:tcBorders>
                    <w:tl2br w:val="nil"/>
                    <w:tr2bl w:val="nil"/>
                  </w:tcBorders>
                  <w:noWrap w:val="0"/>
                  <w:vAlign w:val="center"/>
                </w:tcPr>
                <w:p w14:paraId="0FA5E53E">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用途</w:t>
                  </w:r>
                </w:p>
              </w:tc>
            </w:tr>
            <w:tr w14:paraId="22EDCFD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90" w:hRule="atLeast"/>
                <w:jc w:val="center"/>
              </w:trPr>
              <w:tc>
                <w:tcPr>
                  <w:tcW w:w="449" w:type="pct"/>
                  <w:tcBorders>
                    <w:tl2br w:val="nil"/>
                    <w:tr2bl w:val="nil"/>
                  </w:tcBorders>
                  <w:noWrap w:val="0"/>
                  <w:vAlign w:val="center"/>
                </w:tcPr>
                <w:p w14:paraId="0F78F9AE">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1</w:t>
                  </w:r>
                </w:p>
              </w:tc>
              <w:tc>
                <w:tcPr>
                  <w:tcW w:w="1252" w:type="pct"/>
                  <w:tcBorders>
                    <w:tl2br w:val="nil"/>
                    <w:tr2bl w:val="nil"/>
                  </w:tcBorders>
                  <w:noWrap w:val="0"/>
                  <w:vAlign w:val="center"/>
                </w:tcPr>
                <w:p w14:paraId="62AA542D">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三轴立式加工中心</w:t>
                  </w:r>
                </w:p>
              </w:tc>
              <w:tc>
                <w:tcPr>
                  <w:tcW w:w="2032" w:type="pct"/>
                  <w:tcBorders>
                    <w:tl2br w:val="nil"/>
                    <w:tr2bl w:val="nil"/>
                  </w:tcBorders>
                  <w:noWrap w:val="0"/>
                  <w:vAlign w:val="center"/>
                </w:tcPr>
                <w:p w14:paraId="74CDD274">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DNM5705</w:t>
                  </w:r>
                </w:p>
              </w:tc>
              <w:tc>
                <w:tcPr>
                  <w:tcW w:w="687" w:type="pct"/>
                  <w:tcBorders>
                    <w:tl2br w:val="nil"/>
                    <w:tr2bl w:val="nil"/>
                  </w:tcBorders>
                  <w:noWrap w:val="0"/>
                  <w:vAlign w:val="center"/>
                </w:tcPr>
                <w:p w14:paraId="6BFD6B29">
                  <w:pPr>
                    <w:jc w:val="center"/>
                    <w:rPr>
                      <w:rFonts w:hint="default" w:ascii="Times New Roman" w:hAnsi="Times New Roman" w:eastAsia="仿宋" w:cs="Times New Roman"/>
                      <w:color w:val="auto"/>
                      <w:sz w:val="21"/>
                      <w:szCs w:val="21"/>
                      <w:highlight w:val="none"/>
                      <w:lang w:val="en-US"/>
                    </w:rPr>
                  </w:pPr>
                  <w:r>
                    <w:rPr>
                      <w:rFonts w:hint="eastAsia" w:ascii="Times New Roman" w:hAnsi="Times New Roman" w:eastAsia="仿宋" w:cs="Times New Roman"/>
                      <w:color w:val="auto"/>
                      <w:sz w:val="21"/>
                      <w:szCs w:val="21"/>
                      <w:highlight w:val="none"/>
                      <w:lang w:val="en-US" w:eastAsia="zh-CN"/>
                    </w:rPr>
                    <w:t>13</w:t>
                  </w:r>
                </w:p>
              </w:tc>
              <w:tc>
                <w:tcPr>
                  <w:tcW w:w="577" w:type="pct"/>
                  <w:vMerge w:val="restart"/>
                  <w:tcBorders>
                    <w:tl2br w:val="nil"/>
                    <w:tr2bl w:val="nil"/>
                  </w:tcBorders>
                  <w:noWrap w:val="0"/>
                  <w:vAlign w:val="center"/>
                </w:tcPr>
                <w:p w14:paraId="62A32783">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机加工</w:t>
                  </w:r>
                </w:p>
              </w:tc>
            </w:tr>
            <w:tr w14:paraId="19ACB1A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90" w:hRule="atLeast"/>
                <w:jc w:val="center"/>
              </w:trPr>
              <w:tc>
                <w:tcPr>
                  <w:tcW w:w="449" w:type="pct"/>
                  <w:tcBorders>
                    <w:tl2br w:val="nil"/>
                    <w:tr2bl w:val="nil"/>
                  </w:tcBorders>
                  <w:noWrap w:val="0"/>
                  <w:vAlign w:val="center"/>
                </w:tcPr>
                <w:p w14:paraId="0CF31C4D">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2</w:t>
                  </w:r>
                </w:p>
              </w:tc>
              <w:tc>
                <w:tcPr>
                  <w:tcW w:w="1252" w:type="pct"/>
                  <w:tcBorders>
                    <w:tl2br w:val="nil"/>
                    <w:tr2bl w:val="nil"/>
                  </w:tcBorders>
                  <w:noWrap w:val="0"/>
                  <w:vAlign w:val="center"/>
                </w:tcPr>
                <w:p w14:paraId="14CC24DD">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三轴立式加工中心</w:t>
                  </w:r>
                </w:p>
              </w:tc>
              <w:tc>
                <w:tcPr>
                  <w:tcW w:w="2032" w:type="pct"/>
                  <w:tcBorders>
                    <w:tl2br w:val="nil"/>
                    <w:tr2bl w:val="nil"/>
                  </w:tcBorders>
                  <w:noWrap w:val="0"/>
                  <w:vAlign w:val="center"/>
                </w:tcPr>
                <w:p w14:paraId="43DC0EA6">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DNM4505</w:t>
                  </w:r>
                </w:p>
              </w:tc>
              <w:tc>
                <w:tcPr>
                  <w:tcW w:w="687" w:type="pct"/>
                  <w:tcBorders>
                    <w:tl2br w:val="nil"/>
                    <w:tr2bl w:val="nil"/>
                  </w:tcBorders>
                  <w:noWrap w:val="0"/>
                  <w:vAlign w:val="center"/>
                </w:tcPr>
                <w:p w14:paraId="0EE69354">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12</w:t>
                  </w:r>
                </w:p>
              </w:tc>
              <w:tc>
                <w:tcPr>
                  <w:tcW w:w="577" w:type="pct"/>
                  <w:vMerge w:val="continue"/>
                  <w:tcBorders>
                    <w:tl2br w:val="nil"/>
                    <w:tr2bl w:val="nil"/>
                  </w:tcBorders>
                  <w:noWrap w:val="0"/>
                  <w:vAlign w:val="center"/>
                </w:tcPr>
                <w:p w14:paraId="1DB80E7D">
                  <w:pPr>
                    <w:jc w:val="center"/>
                    <w:rPr>
                      <w:rFonts w:hint="default" w:ascii="Times New Roman" w:hAnsi="Times New Roman" w:eastAsia="仿宋" w:cs="Times New Roman"/>
                      <w:color w:val="auto"/>
                      <w:sz w:val="21"/>
                      <w:szCs w:val="21"/>
                      <w:highlight w:val="none"/>
                    </w:rPr>
                  </w:pPr>
                </w:p>
              </w:tc>
            </w:tr>
            <w:tr w14:paraId="1B2A526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90" w:hRule="atLeast"/>
                <w:jc w:val="center"/>
              </w:trPr>
              <w:tc>
                <w:tcPr>
                  <w:tcW w:w="449" w:type="pct"/>
                  <w:tcBorders>
                    <w:tl2br w:val="nil"/>
                    <w:tr2bl w:val="nil"/>
                  </w:tcBorders>
                  <w:noWrap w:val="0"/>
                  <w:vAlign w:val="center"/>
                </w:tcPr>
                <w:p w14:paraId="29D6242E">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3</w:t>
                  </w:r>
                </w:p>
              </w:tc>
              <w:tc>
                <w:tcPr>
                  <w:tcW w:w="1252" w:type="pct"/>
                  <w:tcBorders>
                    <w:tl2br w:val="nil"/>
                    <w:tr2bl w:val="nil"/>
                  </w:tcBorders>
                  <w:noWrap w:val="0"/>
                  <w:vAlign w:val="center"/>
                </w:tcPr>
                <w:p w14:paraId="3C141965">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三轴立式加工中心</w:t>
                  </w:r>
                </w:p>
              </w:tc>
              <w:tc>
                <w:tcPr>
                  <w:tcW w:w="2032" w:type="pct"/>
                  <w:tcBorders>
                    <w:tl2br w:val="nil"/>
                    <w:tr2bl w:val="nil"/>
                  </w:tcBorders>
                  <w:noWrap w:val="0"/>
                  <w:vAlign w:val="center"/>
                </w:tcPr>
                <w:p w14:paraId="5711CC0C">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DNM5705</w:t>
                  </w:r>
                </w:p>
              </w:tc>
              <w:tc>
                <w:tcPr>
                  <w:tcW w:w="687" w:type="pct"/>
                  <w:tcBorders>
                    <w:tl2br w:val="nil"/>
                    <w:tr2bl w:val="nil"/>
                  </w:tcBorders>
                  <w:noWrap w:val="0"/>
                  <w:vAlign w:val="center"/>
                </w:tcPr>
                <w:p w14:paraId="5551F8C8">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30</w:t>
                  </w:r>
                </w:p>
              </w:tc>
              <w:tc>
                <w:tcPr>
                  <w:tcW w:w="577" w:type="pct"/>
                  <w:vMerge w:val="continue"/>
                  <w:tcBorders>
                    <w:tl2br w:val="nil"/>
                    <w:tr2bl w:val="nil"/>
                  </w:tcBorders>
                  <w:noWrap w:val="0"/>
                  <w:vAlign w:val="center"/>
                </w:tcPr>
                <w:p w14:paraId="36D20E84">
                  <w:pPr>
                    <w:jc w:val="center"/>
                    <w:rPr>
                      <w:rFonts w:hint="default" w:ascii="Times New Roman" w:hAnsi="Times New Roman" w:eastAsia="仿宋" w:cs="Times New Roman"/>
                      <w:color w:val="auto"/>
                      <w:sz w:val="21"/>
                      <w:szCs w:val="21"/>
                      <w:highlight w:val="none"/>
                    </w:rPr>
                  </w:pPr>
                </w:p>
              </w:tc>
            </w:tr>
            <w:tr w14:paraId="1BF4857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90" w:hRule="atLeast"/>
                <w:jc w:val="center"/>
              </w:trPr>
              <w:tc>
                <w:tcPr>
                  <w:tcW w:w="449" w:type="pct"/>
                  <w:tcBorders>
                    <w:tl2br w:val="nil"/>
                    <w:tr2bl w:val="nil"/>
                  </w:tcBorders>
                  <w:noWrap w:val="0"/>
                  <w:vAlign w:val="center"/>
                </w:tcPr>
                <w:p w14:paraId="058AA077">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4</w:t>
                  </w:r>
                </w:p>
              </w:tc>
              <w:tc>
                <w:tcPr>
                  <w:tcW w:w="1252" w:type="pct"/>
                  <w:tcBorders>
                    <w:tl2br w:val="nil"/>
                    <w:tr2bl w:val="nil"/>
                  </w:tcBorders>
                  <w:noWrap w:val="0"/>
                  <w:vAlign w:val="center"/>
                </w:tcPr>
                <w:p w14:paraId="5DFC211C">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三轴立式加工中心</w:t>
                  </w:r>
                </w:p>
              </w:tc>
              <w:tc>
                <w:tcPr>
                  <w:tcW w:w="2032" w:type="pct"/>
                  <w:tcBorders>
                    <w:tl2br w:val="nil"/>
                    <w:tr2bl w:val="nil"/>
                  </w:tcBorders>
                  <w:noWrap w:val="0"/>
                  <w:vAlign w:val="center"/>
                </w:tcPr>
                <w:p w14:paraId="5BDDD73E">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DNM4505</w:t>
                  </w:r>
                </w:p>
              </w:tc>
              <w:tc>
                <w:tcPr>
                  <w:tcW w:w="687" w:type="pct"/>
                  <w:tcBorders>
                    <w:tl2br w:val="nil"/>
                    <w:tr2bl w:val="nil"/>
                  </w:tcBorders>
                  <w:noWrap w:val="0"/>
                  <w:vAlign w:val="center"/>
                </w:tcPr>
                <w:p w14:paraId="00FC1969">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30</w:t>
                  </w:r>
                </w:p>
              </w:tc>
              <w:tc>
                <w:tcPr>
                  <w:tcW w:w="577" w:type="pct"/>
                  <w:vMerge w:val="continue"/>
                  <w:tcBorders>
                    <w:tl2br w:val="nil"/>
                    <w:tr2bl w:val="nil"/>
                  </w:tcBorders>
                  <w:noWrap w:val="0"/>
                  <w:vAlign w:val="center"/>
                </w:tcPr>
                <w:p w14:paraId="2F23678E">
                  <w:pPr>
                    <w:jc w:val="center"/>
                    <w:rPr>
                      <w:rFonts w:hint="default" w:ascii="Times New Roman" w:hAnsi="Times New Roman" w:eastAsia="仿宋" w:cs="Times New Roman"/>
                      <w:color w:val="auto"/>
                      <w:sz w:val="21"/>
                      <w:szCs w:val="21"/>
                      <w:highlight w:val="none"/>
                    </w:rPr>
                  </w:pPr>
                </w:p>
              </w:tc>
            </w:tr>
            <w:tr w14:paraId="7F61951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A6B2E7A">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5</w:t>
                  </w:r>
                </w:p>
              </w:tc>
              <w:tc>
                <w:tcPr>
                  <w:tcW w:w="1252" w:type="pct"/>
                  <w:tcBorders>
                    <w:tl2br w:val="nil"/>
                    <w:tr2bl w:val="nil"/>
                  </w:tcBorders>
                  <w:noWrap w:val="0"/>
                  <w:vAlign w:val="center"/>
                </w:tcPr>
                <w:p w14:paraId="268FE14F">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对刀仪（帕莱克）</w:t>
                  </w:r>
                </w:p>
              </w:tc>
              <w:tc>
                <w:tcPr>
                  <w:tcW w:w="2032" w:type="pct"/>
                  <w:tcBorders>
                    <w:tl2br w:val="nil"/>
                    <w:tr2bl w:val="nil"/>
                  </w:tcBorders>
                  <w:noWrap w:val="0"/>
                  <w:vAlign w:val="center"/>
                </w:tcPr>
                <w:p w14:paraId="562597FB">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EL-4</w:t>
                  </w:r>
                </w:p>
              </w:tc>
              <w:tc>
                <w:tcPr>
                  <w:tcW w:w="687" w:type="pct"/>
                  <w:tcBorders>
                    <w:tl2br w:val="nil"/>
                    <w:tr2bl w:val="nil"/>
                  </w:tcBorders>
                  <w:noWrap w:val="0"/>
                  <w:vAlign w:val="center"/>
                </w:tcPr>
                <w:p w14:paraId="0427288F">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1</w:t>
                  </w:r>
                </w:p>
              </w:tc>
              <w:tc>
                <w:tcPr>
                  <w:tcW w:w="577" w:type="pct"/>
                  <w:vMerge w:val="continue"/>
                  <w:tcBorders>
                    <w:tl2br w:val="nil"/>
                    <w:tr2bl w:val="nil"/>
                  </w:tcBorders>
                  <w:noWrap w:val="0"/>
                  <w:vAlign w:val="center"/>
                </w:tcPr>
                <w:p w14:paraId="67B53B7A">
                  <w:pPr>
                    <w:jc w:val="center"/>
                    <w:rPr>
                      <w:rFonts w:hint="default" w:ascii="Times New Roman" w:hAnsi="Times New Roman" w:eastAsia="仿宋" w:cs="Times New Roman"/>
                      <w:color w:val="auto"/>
                      <w:sz w:val="21"/>
                      <w:szCs w:val="21"/>
                      <w:highlight w:val="none"/>
                    </w:rPr>
                  </w:pPr>
                </w:p>
              </w:tc>
            </w:tr>
            <w:tr w14:paraId="0946E1E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3CF5FE14">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6</w:t>
                  </w:r>
                </w:p>
              </w:tc>
              <w:tc>
                <w:tcPr>
                  <w:tcW w:w="1252" w:type="pct"/>
                  <w:tcBorders>
                    <w:tl2br w:val="nil"/>
                    <w:tr2bl w:val="nil"/>
                  </w:tcBorders>
                  <w:noWrap w:val="0"/>
                  <w:vAlign w:val="center"/>
                </w:tcPr>
                <w:p w14:paraId="2D4B1CCE">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GXA-320H转台</w:t>
                  </w:r>
                </w:p>
              </w:tc>
              <w:tc>
                <w:tcPr>
                  <w:tcW w:w="2032" w:type="pct"/>
                  <w:tcBorders>
                    <w:tl2br w:val="nil"/>
                    <w:tr2bl w:val="nil"/>
                  </w:tcBorders>
                  <w:noWrap w:val="0"/>
                  <w:vAlign w:val="center"/>
                </w:tcPr>
                <w:p w14:paraId="16131757">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法兰克电机、驱动、液压站</w:t>
                  </w:r>
                </w:p>
              </w:tc>
              <w:tc>
                <w:tcPr>
                  <w:tcW w:w="687" w:type="pct"/>
                  <w:tcBorders>
                    <w:tl2br w:val="nil"/>
                    <w:tr2bl w:val="nil"/>
                  </w:tcBorders>
                  <w:noWrap w:val="0"/>
                  <w:vAlign w:val="center"/>
                </w:tcPr>
                <w:p w14:paraId="1234DBC3">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3</w:t>
                  </w:r>
                </w:p>
              </w:tc>
              <w:tc>
                <w:tcPr>
                  <w:tcW w:w="577" w:type="pct"/>
                  <w:vMerge w:val="continue"/>
                  <w:tcBorders>
                    <w:tl2br w:val="nil"/>
                    <w:tr2bl w:val="nil"/>
                  </w:tcBorders>
                  <w:noWrap w:val="0"/>
                  <w:vAlign w:val="center"/>
                </w:tcPr>
                <w:p w14:paraId="6F475600">
                  <w:pPr>
                    <w:jc w:val="center"/>
                    <w:rPr>
                      <w:rFonts w:hint="default" w:ascii="Times New Roman" w:hAnsi="Times New Roman" w:eastAsia="仿宋" w:cs="Times New Roman"/>
                      <w:color w:val="auto"/>
                      <w:sz w:val="21"/>
                      <w:szCs w:val="21"/>
                      <w:highlight w:val="none"/>
                    </w:rPr>
                  </w:pPr>
                </w:p>
              </w:tc>
            </w:tr>
            <w:tr w14:paraId="0B03E3A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8644882">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7</w:t>
                  </w:r>
                </w:p>
              </w:tc>
              <w:tc>
                <w:tcPr>
                  <w:tcW w:w="1252" w:type="pct"/>
                  <w:tcBorders>
                    <w:tl2br w:val="nil"/>
                    <w:tr2bl w:val="nil"/>
                  </w:tcBorders>
                  <w:noWrap w:val="0"/>
                  <w:vAlign w:val="center"/>
                </w:tcPr>
                <w:p w14:paraId="58901E18">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SR-320H圆盘尾座</w:t>
                  </w:r>
                </w:p>
              </w:tc>
              <w:tc>
                <w:tcPr>
                  <w:tcW w:w="2032" w:type="pct"/>
                  <w:tcBorders>
                    <w:tl2br w:val="nil"/>
                    <w:tr2bl w:val="nil"/>
                  </w:tcBorders>
                  <w:noWrap w:val="0"/>
                  <w:vAlign w:val="center"/>
                </w:tcPr>
                <w:p w14:paraId="476D3ECA">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w:t>
                  </w:r>
                </w:p>
              </w:tc>
              <w:tc>
                <w:tcPr>
                  <w:tcW w:w="687" w:type="pct"/>
                  <w:tcBorders>
                    <w:tl2br w:val="nil"/>
                    <w:tr2bl w:val="nil"/>
                  </w:tcBorders>
                  <w:noWrap w:val="0"/>
                  <w:vAlign w:val="center"/>
                </w:tcPr>
                <w:p w14:paraId="7BB48532">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3</w:t>
                  </w:r>
                </w:p>
              </w:tc>
              <w:tc>
                <w:tcPr>
                  <w:tcW w:w="577" w:type="pct"/>
                  <w:vMerge w:val="continue"/>
                  <w:tcBorders>
                    <w:tl2br w:val="nil"/>
                    <w:tr2bl w:val="nil"/>
                  </w:tcBorders>
                  <w:noWrap w:val="0"/>
                  <w:vAlign w:val="center"/>
                </w:tcPr>
                <w:p w14:paraId="289691BC">
                  <w:pPr>
                    <w:jc w:val="center"/>
                    <w:rPr>
                      <w:rFonts w:hint="default" w:ascii="Times New Roman" w:hAnsi="Times New Roman" w:eastAsia="仿宋" w:cs="Times New Roman"/>
                      <w:color w:val="auto"/>
                      <w:sz w:val="21"/>
                      <w:szCs w:val="21"/>
                      <w:highlight w:val="none"/>
                    </w:rPr>
                  </w:pPr>
                </w:p>
              </w:tc>
            </w:tr>
            <w:tr w14:paraId="717BB30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F3F9F5C">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8</w:t>
                  </w:r>
                </w:p>
              </w:tc>
              <w:tc>
                <w:tcPr>
                  <w:tcW w:w="1252" w:type="pct"/>
                  <w:tcBorders>
                    <w:tl2br w:val="nil"/>
                    <w:tr2bl w:val="nil"/>
                  </w:tcBorders>
                  <w:noWrap w:val="0"/>
                  <w:vAlign w:val="center"/>
                </w:tcPr>
                <w:p w14:paraId="57927E71">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影像测量仪（海克斯康）</w:t>
                  </w:r>
                </w:p>
              </w:tc>
              <w:tc>
                <w:tcPr>
                  <w:tcW w:w="2032" w:type="pct"/>
                  <w:tcBorders>
                    <w:tl2br w:val="nil"/>
                    <w:tr2bl w:val="nil"/>
                  </w:tcBorders>
                  <w:noWrap w:val="0"/>
                  <w:vAlign w:val="center"/>
                </w:tcPr>
                <w:p w14:paraId="184C9FD1">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Eagle MD5.4.2</w:t>
                  </w:r>
                </w:p>
              </w:tc>
              <w:tc>
                <w:tcPr>
                  <w:tcW w:w="687" w:type="pct"/>
                  <w:tcBorders>
                    <w:tl2br w:val="nil"/>
                    <w:tr2bl w:val="nil"/>
                  </w:tcBorders>
                  <w:noWrap w:val="0"/>
                  <w:vAlign w:val="center"/>
                </w:tcPr>
                <w:p w14:paraId="6D5DE41D">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1</w:t>
                  </w:r>
                </w:p>
              </w:tc>
              <w:tc>
                <w:tcPr>
                  <w:tcW w:w="577" w:type="pct"/>
                  <w:vMerge w:val="restart"/>
                  <w:tcBorders>
                    <w:tl2br w:val="nil"/>
                    <w:tr2bl w:val="nil"/>
                  </w:tcBorders>
                  <w:noWrap w:val="0"/>
                  <w:vAlign w:val="center"/>
                </w:tcPr>
                <w:p w14:paraId="635DD325">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来料检测</w:t>
                  </w:r>
                </w:p>
              </w:tc>
            </w:tr>
            <w:tr w14:paraId="3E860A6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6DC19515">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9</w:t>
                  </w:r>
                </w:p>
              </w:tc>
              <w:tc>
                <w:tcPr>
                  <w:tcW w:w="1252" w:type="pct"/>
                  <w:tcBorders>
                    <w:tl2br w:val="nil"/>
                    <w:tr2bl w:val="nil"/>
                  </w:tcBorders>
                  <w:noWrap w:val="0"/>
                  <w:vAlign w:val="center"/>
                </w:tcPr>
                <w:p w14:paraId="1068E988">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轮廓度仪（威尔）</w:t>
                  </w:r>
                </w:p>
              </w:tc>
              <w:tc>
                <w:tcPr>
                  <w:tcW w:w="2032" w:type="pct"/>
                  <w:tcBorders>
                    <w:tl2br w:val="nil"/>
                    <w:tr2bl w:val="nil"/>
                  </w:tcBorders>
                  <w:noWrap w:val="0"/>
                  <w:vAlign w:val="center"/>
                </w:tcPr>
                <w:p w14:paraId="6FB757FC">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CE标准型0.5-0.8um</w:t>
                  </w:r>
                </w:p>
              </w:tc>
              <w:tc>
                <w:tcPr>
                  <w:tcW w:w="687" w:type="pct"/>
                  <w:tcBorders>
                    <w:tl2br w:val="nil"/>
                    <w:tr2bl w:val="nil"/>
                  </w:tcBorders>
                  <w:noWrap w:val="0"/>
                  <w:vAlign w:val="center"/>
                </w:tcPr>
                <w:p w14:paraId="4DEFCFBA">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1</w:t>
                  </w:r>
                </w:p>
              </w:tc>
              <w:tc>
                <w:tcPr>
                  <w:tcW w:w="577" w:type="pct"/>
                  <w:vMerge w:val="continue"/>
                  <w:tcBorders>
                    <w:tl2br w:val="nil"/>
                    <w:tr2bl w:val="nil"/>
                  </w:tcBorders>
                  <w:noWrap w:val="0"/>
                  <w:vAlign w:val="center"/>
                </w:tcPr>
                <w:p w14:paraId="12C39C80">
                  <w:pPr>
                    <w:jc w:val="center"/>
                    <w:rPr>
                      <w:rFonts w:hint="default" w:ascii="Times New Roman" w:hAnsi="Times New Roman" w:eastAsia="仿宋" w:cs="Times New Roman"/>
                      <w:color w:val="auto"/>
                      <w:sz w:val="21"/>
                      <w:szCs w:val="21"/>
                      <w:highlight w:val="none"/>
                    </w:rPr>
                  </w:pPr>
                </w:p>
              </w:tc>
            </w:tr>
            <w:tr w14:paraId="3DFCA46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49B1AF4">
                  <w:pPr>
                    <w:widowControl/>
                    <w:jc w:val="center"/>
                    <w:textAlignment w:val="center"/>
                    <w:rPr>
                      <w:rFonts w:hint="default" w:ascii="Times New Roman" w:hAnsi="Times New Roman" w:eastAsia="仿宋" w:cs="Times New Roman"/>
                      <w:color w:val="auto"/>
                      <w:kern w:val="0"/>
                      <w:sz w:val="21"/>
                      <w:szCs w:val="21"/>
                      <w:highlight w:val="none"/>
                      <w:lang w:val="en-US" w:eastAsia="zh-CN" w:bidi="ar"/>
                    </w:rPr>
                  </w:pPr>
                  <w:r>
                    <w:rPr>
                      <w:rFonts w:hint="default" w:ascii="Times New Roman" w:hAnsi="Times New Roman" w:eastAsia="仿宋" w:cs="Times New Roman"/>
                      <w:color w:val="auto"/>
                      <w:kern w:val="0"/>
                      <w:sz w:val="21"/>
                      <w:szCs w:val="21"/>
                      <w:highlight w:val="none"/>
                      <w:lang w:val="en-US" w:eastAsia="zh-CN" w:bidi="ar"/>
                    </w:rPr>
                    <w:t>10</w:t>
                  </w:r>
                </w:p>
              </w:tc>
              <w:tc>
                <w:tcPr>
                  <w:tcW w:w="1252" w:type="pct"/>
                  <w:tcBorders>
                    <w:tl2br w:val="nil"/>
                    <w:tr2bl w:val="nil"/>
                  </w:tcBorders>
                  <w:noWrap w:val="0"/>
                  <w:vAlign w:val="center"/>
                </w:tcPr>
                <w:p w14:paraId="2B715298">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三次元（海克斯康）</w:t>
                  </w:r>
                </w:p>
              </w:tc>
              <w:tc>
                <w:tcPr>
                  <w:tcW w:w="2032" w:type="pct"/>
                  <w:tcBorders>
                    <w:tl2br w:val="nil"/>
                    <w:tr2bl w:val="nil"/>
                  </w:tcBorders>
                  <w:noWrap w:val="0"/>
                  <w:vAlign w:val="center"/>
                </w:tcPr>
                <w:p w14:paraId="50287CAE">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1000*1500*800精度：1.9+3.3L/1000um</w:t>
                  </w:r>
                </w:p>
              </w:tc>
              <w:tc>
                <w:tcPr>
                  <w:tcW w:w="687" w:type="pct"/>
                  <w:tcBorders>
                    <w:tl2br w:val="nil"/>
                    <w:tr2bl w:val="nil"/>
                  </w:tcBorders>
                  <w:noWrap w:val="0"/>
                  <w:vAlign w:val="center"/>
                </w:tcPr>
                <w:p w14:paraId="3DF619B4">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1</w:t>
                  </w:r>
                </w:p>
              </w:tc>
              <w:tc>
                <w:tcPr>
                  <w:tcW w:w="577" w:type="pct"/>
                  <w:vMerge w:val="continue"/>
                  <w:tcBorders>
                    <w:tl2br w:val="nil"/>
                    <w:tr2bl w:val="nil"/>
                  </w:tcBorders>
                  <w:noWrap w:val="0"/>
                  <w:vAlign w:val="center"/>
                </w:tcPr>
                <w:p w14:paraId="471C09CF">
                  <w:pPr>
                    <w:jc w:val="center"/>
                    <w:rPr>
                      <w:rFonts w:hint="default" w:ascii="Times New Roman" w:hAnsi="Times New Roman" w:eastAsia="仿宋" w:cs="Times New Roman"/>
                      <w:color w:val="auto"/>
                      <w:sz w:val="21"/>
                      <w:szCs w:val="21"/>
                      <w:highlight w:val="none"/>
                    </w:rPr>
                  </w:pPr>
                </w:p>
              </w:tc>
            </w:tr>
            <w:tr w14:paraId="0D6C3E0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shd w:val="clear" w:color="auto" w:fill="auto"/>
                  <w:noWrap w:val="0"/>
                  <w:vAlign w:val="center"/>
                </w:tcPr>
                <w:p w14:paraId="6E605380">
                  <w:pPr>
                    <w:widowControl/>
                    <w:jc w:val="center"/>
                    <w:textAlignment w:val="center"/>
                    <w:rPr>
                      <w:rFonts w:hint="default" w:ascii="Times New Roman" w:hAnsi="Times New Roman" w:eastAsia="仿宋" w:cs="Times New Roman"/>
                      <w:color w:val="auto"/>
                      <w:kern w:val="0"/>
                      <w:sz w:val="21"/>
                      <w:szCs w:val="21"/>
                      <w:highlight w:val="none"/>
                      <w:lang w:val="en-US" w:eastAsia="zh-CN" w:bidi="ar"/>
                    </w:rPr>
                  </w:pPr>
                  <w:r>
                    <w:rPr>
                      <w:rFonts w:hint="default" w:ascii="Times New Roman" w:hAnsi="Times New Roman" w:eastAsia="仿宋" w:cs="Times New Roman"/>
                      <w:color w:val="auto"/>
                      <w:kern w:val="0"/>
                      <w:sz w:val="21"/>
                      <w:szCs w:val="21"/>
                      <w:highlight w:val="none"/>
                      <w:lang w:bidi="ar"/>
                    </w:rPr>
                    <w:t>11</w:t>
                  </w:r>
                </w:p>
              </w:tc>
              <w:tc>
                <w:tcPr>
                  <w:tcW w:w="1252" w:type="pct"/>
                  <w:tcBorders>
                    <w:tl2br w:val="nil"/>
                    <w:tr2bl w:val="nil"/>
                  </w:tcBorders>
                  <w:noWrap w:val="0"/>
                  <w:vAlign w:val="center"/>
                </w:tcPr>
                <w:p w14:paraId="2E2C3AEB">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湿式工作台</w:t>
                  </w:r>
                </w:p>
              </w:tc>
              <w:tc>
                <w:tcPr>
                  <w:tcW w:w="2032" w:type="pct"/>
                  <w:tcBorders>
                    <w:tl2br w:val="nil"/>
                    <w:tr2bl w:val="nil"/>
                  </w:tcBorders>
                  <w:noWrap w:val="0"/>
                  <w:vAlign w:val="center"/>
                </w:tcPr>
                <w:p w14:paraId="5A9F94C8">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JS-SDMT1600</w:t>
                  </w:r>
                </w:p>
              </w:tc>
              <w:tc>
                <w:tcPr>
                  <w:tcW w:w="687" w:type="pct"/>
                  <w:tcBorders>
                    <w:tl2br w:val="nil"/>
                    <w:tr2bl w:val="nil"/>
                  </w:tcBorders>
                  <w:noWrap w:val="0"/>
                  <w:vAlign w:val="center"/>
                </w:tcPr>
                <w:p w14:paraId="08A61CC4">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2</w:t>
                  </w:r>
                </w:p>
              </w:tc>
              <w:tc>
                <w:tcPr>
                  <w:tcW w:w="577" w:type="pct"/>
                  <w:tcBorders>
                    <w:tl2br w:val="nil"/>
                    <w:tr2bl w:val="nil"/>
                  </w:tcBorders>
                  <w:noWrap w:val="0"/>
                  <w:vAlign w:val="center"/>
                </w:tcPr>
                <w:p w14:paraId="6E1DF03F">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去毛刺</w:t>
                  </w:r>
                </w:p>
              </w:tc>
            </w:tr>
            <w:tr w14:paraId="5C9DB69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shd w:val="clear" w:color="auto" w:fill="auto"/>
                  <w:noWrap w:val="0"/>
                  <w:vAlign w:val="center"/>
                </w:tcPr>
                <w:p w14:paraId="6AD18B88">
                  <w:pPr>
                    <w:widowControl/>
                    <w:jc w:val="center"/>
                    <w:textAlignment w:val="center"/>
                    <w:rPr>
                      <w:rFonts w:hint="default" w:ascii="Times New Roman" w:hAnsi="Times New Roman" w:eastAsia="仿宋" w:cs="Times New Roman"/>
                      <w:color w:val="auto"/>
                      <w:kern w:val="0"/>
                      <w:sz w:val="21"/>
                      <w:szCs w:val="21"/>
                      <w:highlight w:val="none"/>
                      <w:lang w:val="en-US" w:eastAsia="zh-CN" w:bidi="ar"/>
                    </w:rPr>
                  </w:pPr>
                  <w:r>
                    <w:rPr>
                      <w:rFonts w:hint="default" w:ascii="Times New Roman" w:hAnsi="Times New Roman" w:eastAsia="仿宋" w:cs="Times New Roman"/>
                      <w:color w:val="auto"/>
                      <w:kern w:val="0"/>
                      <w:sz w:val="21"/>
                      <w:szCs w:val="21"/>
                      <w:highlight w:val="none"/>
                      <w:lang w:bidi="ar"/>
                    </w:rPr>
                    <w:t>12</w:t>
                  </w:r>
                </w:p>
              </w:tc>
              <w:tc>
                <w:tcPr>
                  <w:tcW w:w="1252" w:type="pct"/>
                  <w:tcBorders>
                    <w:tl2br w:val="nil"/>
                    <w:tr2bl w:val="nil"/>
                  </w:tcBorders>
                  <w:noWrap w:val="0"/>
                  <w:vAlign w:val="center"/>
                </w:tcPr>
                <w:p w14:paraId="0968940D">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压块机</w:t>
                  </w:r>
                </w:p>
              </w:tc>
              <w:tc>
                <w:tcPr>
                  <w:tcW w:w="2032" w:type="pct"/>
                  <w:tcBorders>
                    <w:tl2br w:val="nil"/>
                    <w:tr2bl w:val="nil"/>
                  </w:tcBorders>
                  <w:noWrap w:val="0"/>
                  <w:vAlign w:val="center"/>
                </w:tcPr>
                <w:p w14:paraId="0B315A92">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10YR9/2</w:t>
                  </w:r>
                </w:p>
              </w:tc>
              <w:tc>
                <w:tcPr>
                  <w:tcW w:w="687" w:type="pct"/>
                  <w:tcBorders>
                    <w:tl2br w:val="nil"/>
                    <w:tr2bl w:val="nil"/>
                  </w:tcBorders>
                  <w:noWrap w:val="0"/>
                  <w:vAlign w:val="center"/>
                </w:tcPr>
                <w:p w14:paraId="2547B4E8">
                  <w:pPr>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61CE2626">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环保设施</w:t>
                  </w:r>
                </w:p>
              </w:tc>
            </w:tr>
            <w:tr w14:paraId="70B49E1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9E11A68">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13</w:t>
                  </w:r>
                </w:p>
              </w:tc>
              <w:tc>
                <w:tcPr>
                  <w:tcW w:w="1252" w:type="pct"/>
                  <w:tcBorders>
                    <w:tl2br w:val="nil"/>
                    <w:tr2bl w:val="nil"/>
                  </w:tcBorders>
                  <w:noWrap w:val="0"/>
                  <w:vAlign w:val="center"/>
                </w:tcPr>
                <w:p w14:paraId="0330B247">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空压机</w:t>
                  </w:r>
                </w:p>
              </w:tc>
              <w:tc>
                <w:tcPr>
                  <w:tcW w:w="2032" w:type="pct"/>
                  <w:tcBorders>
                    <w:tl2br w:val="nil"/>
                    <w:tr2bl w:val="nil"/>
                  </w:tcBorders>
                  <w:noWrap w:val="0"/>
                  <w:vAlign w:val="center"/>
                </w:tcPr>
                <w:p w14:paraId="6FE1F23D">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w:t>
                  </w:r>
                </w:p>
              </w:tc>
              <w:tc>
                <w:tcPr>
                  <w:tcW w:w="687" w:type="pct"/>
                  <w:tcBorders>
                    <w:tl2br w:val="nil"/>
                    <w:tr2bl w:val="nil"/>
                  </w:tcBorders>
                  <w:noWrap w:val="0"/>
                  <w:vAlign w:val="center"/>
                </w:tcPr>
                <w:p w14:paraId="3B3C8F33">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7AE437EB">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供气，采用的是无油空压机</w:t>
                  </w:r>
                </w:p>
              </w:tc>
            </w:tr>
            <w:tr w14:paraId="405A99C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53F39C74">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14</w:t>
                  </w:r>
                </w:p>
              </w:tc>
              <w:tc>
                <w:tcPr>
                  <w:tcW w:w="1252" w:type="pct"/>
                  <w:tcBorders>
                    <w:tl2br w:val="nil"/>
                    <w:tr2bl w:val="nil"/>
                  </w:tcBorders>
                  <w:noWrap w:val="0"/>
                  <w:vAlign w:val="center"/>
                </w:tcPr>
                <w:p w14:paraId="4F14A13E">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叉车</w:t>
                  </w:r>
                </w:p>
              </w:tc>
              <w:tc>
                <w:tcPr>
                  <w:tcW w:w="2032" w:type="pct"/>
                  <w:tcBorders>
                    <w:tl2br w:val="nil"/>
                    <w:tr2bl w:val="nil"/>
                  </w:tcBorders>
                  <w:noWrap w:val="0"/>
                  <w:vAlign w:val="center"/>
                </w:tcPr>
                <w:p w14:paraId="10285AC6">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w:t>
                  </w:r>
                </w:p>
              </w:tc>
              <w:tc>
                <w:tcPr>
                  <w:tcW w:w="687" w:type="pct"/>
                  <w:tcBorders>
                    <w:tl2br w:val="nil"/>
                    <w:tr2bl w:val="nil"/>
                  </w:tcBorders>
                  <w:noWrap w:val="0"/>
                  <w:vAlign w:val="center"/>
                </w:tcPr>
                <w:p w14:paraId="25FD252D">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045A19DE">
                  <w:pPr>
                    <w:jc w:val="center"/>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val="en-US" w:eastAsia="zh-CN"/>
                    </w:rPr>
                    <w:t>搬运</w:t>
                  </w:r>
                </w:p>
              </w:tc>
            </w:tr>
            <w:tr w14:paraId="48CD2E4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3A0ECDF9">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15</w:t>
                  </w:r>
                </w:p>
              </w:tc>
              <w:tc>
                <w:tcPr>
                  <w:tcW w:w="1252" w:type="pct"/>
                  <w:tcBorders>
                    <w:tl2br w:val="nil"/>
                    <w:tr2bl w:val="nil"/>
                  </w:tcBorders>
                  <w:noWrap w:val="0"/>
                  <w:vAlign w:val="center"/>
                </w:tcPr>
                <w:p w14:paraId="7A738C2E">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油雾净化装置</w:t>
                  </w:r>
                </w:p>
              </w:tc>
              <w:tc>
                <w:tcPr>
                  <w:tcW w:w="2032" w:type="pct"/>
                  <w:tcBorders>
                    <w:tl2br w:val="nil"/>
                    <w:tr2bl w:val="nil"/>
                  </w:tcBorders>
                  <w:noWrap w:val="0"/>
                  <w:vAlign w:val="center"/>
                </w:tcPr>
                <w:p w14:paraId="1EA3E9BD">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RB-700</w:t>
                  </w:r>
                </w:p>
              </w:tc>
              <w:tc>
                <w:tcPr>
                  <w:tcW w:w="687" w:type="pct"/>
                  <w:tcBorders>
                    <w:tl2br w:val="nil"/>
                    <w:tr2bl w:val="nil"/>
                  </w:tcBorders>
                  <w:noWrap w:val="0"/>
                  <w:vAlign w:val="center"/>
                </w:tcPr>
                <w:p w14:paraId="5434B838">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85</w:t>
                  </w:r>
                </w:p>
              </w:tc>
              <w:tc>
                <w:tcPr>
                  <w:tcW w:w="577" w:type="pct"/>
                  <w:tcBorders>
                    <w:tl2br w:val="nil"/>
                    <w:tr2bl w:val="nil"/>
                  </w:tcBorders>
                  <w:noWrap w:val="0"/>
                  <w:vAlign w:val="center"/>
                </w:tcPr>
                <w:p w14:paraId="22DC8F07">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废气工程</w:t>
                  </w:r>
                </w:p>
              </w:tc>
            </w:tr>
          </w:tbl>
          <w:p w14:paraId="7D255573">
            <w:pPr>
              <w:adjustRightInd w:val="0"/>
              <w:snapToGrid w:val="0"/>
              <w:spacing w:line="360" w:lineRule="auto"/>
              <w:rPr>
                <w:rFonts w:hint="eastAsia" w:ascii="Times New Roman" w:hAnsi="Times New Roman" w:eastAsia="宋体" w:cs="Times New Roman"/>
                <w:b/>
                <w:color w:val="auto"/>
                <w:sz w:val="24"/>
                <w:szCs w:val="24"/>
                <w:highlight w:val="none"/>
                <w:lang w:eastAsia="zh-CN"/>
              </w:rPr>
            </w:pPr>
            <w:r>
              <w:rPr>
                <w:rFonts w:hint="eastAsia" w:cs="Times New Roman"/>
                <w:b/>
                <w:color w:val="auto"/>
                <w:sz w:val="24"/>
                <w:szCs w:val="24"/>
                <w:highlight w:val="none"/>
                <w:lang w:val="en-US" w:eastAsia="zh-CN"/>
              </w:rPr>
              <w:t>7</w:t>
            </w:r>
            <w:r>
              <w:rPr>
                <w:rFonts w:hint="default" w:ascii="Times New Roman" w:hAnsi="Times New Roman" w:eastAsia="宋体" w:cs="Times New Roman"/>
                <w:b/>
                <w:color w:val="auto"/>
                <w:sz w:val="24"/>
                <w:szCs w:val="24"/>
                <w:highlight w:val="none"/>
                <w:lang w:val="en-US" w:eastAsia="zh-CN"/>
              </w:rPr>
              <w:t>、</w:t>
            </w:r>
            <w:r>
              <w:rPr>
                <w:rFonts w:hint="eastAsia" w:cs="Times New Roman"/>
                <w:b/>
                <w:color w:val="auto"/>
                <w:sz w:val="24"/>
                <w:szCs w:val="24"/>
                <w:highlight w:val="none"/>
                <w:lang w:val="en-US" w:eastAsia="zh-CN"/>
              </w:rPr>
              <w:t>水平衡图</w:t>
            </w:r>
          </w:p>
          <w:p w14:paraId="26FB9517">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rPr>
              <w:t>生活用水</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bCs/>
                <w:color w:val="auto"/>
                <w:sz w:val="24"/>
                <w:szCs w:val="24"/>
                <w:highlight w:val="none"/>
              </w:rPr>
              <w:t>员工</w:t>
            </w:r>
            <w:r>
              <w:rPr>
                <w:rFonts w:hint="eastAsia" w:cs="Times New Roman"/>
                <w:bCs/>
                <w:color w:val="auto"/>
                <w:sz w:val="24"/>
                <w:szCs w:val="24"/>
                <w:highlight w:val="none"/>
                <w:lang w:val="en-US" w:eastAsia="zh-CN"/>
              </w:rPr>
              <w:t>25</w:t>
            </w:r>
            <w:r>
              <w:rPr>
                <w:rFonts w:hint="default" w:ascii="Times New Roman" w:hAnsi="Times New Roman" w:eastAsia="宋体" w:cs="Times New Roman"/>
                <w:bCs/>
                <w:color w:val="auto"/>
                <w:sz w:val="24"/>
                <w:szCs w:val="24"/>
                <w:highlight w:val="none"/>
              </w:rPr>
              <w:t>人</w:t>
            </w:r>
            <w:r>
              <w:rPr>
                <w:rFonts w:hint="default" w:ascii="Times New Roman" w:hAnsi="Times New Roman" w:eastAsia="宋体" w:cs="Times New Roman"/>
                <w:color w:val="auto"/>
                <w:sz w:val="24"/>
                <w:szCs w:val="24"/>
                <w:highlight w:val="none"/>
              </w:rPr>
              <w:t>，年运行天数</w:t>
            </w:r>
            <w:r>
              <w:rPr>
                <w:rFonts w:hint="eastAsia"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天</w:t>
            </w:r>
            <w:r>
              <w:rPr>
                <w:rFonts w:hint="default" w:ascii="Times New Roman" w:hAnsi="Times New Roman" w:eastAsia="宋体" w:cs="Times New Roman"/>
                <w:color w:val="auto"/>
                <w:sz w:val="24"/>
                <w:szCs w:val="24"/>
                <w:highlight w:val="none"/>
                <w:lang w:eastAsia="zh-CN"/>
              </w:rPr>
              <w:t>（</w:t>
            </w:r>
            <w:r>
              <w:rPr>
                <w:rFonts w:hint="eastAsia" w:cs="Times New Roman"/>
                <w:color w:val="auto"/>
                <w:sz w:val="24"/>
                <w:szCs w:val="24"/>
                <w:highlight w:val="none"/>
                <w:lang w:val="en-US" w:eastAsia="zh-CN"/>
              </w:rPr>
              <w:t>两</w:t>
            </w:r>
            <w:r>
              <w:rPr>
                <w:rFonts w:hint="default" w:ascii="Times New Roman" w:hAnsi="Times New Roman" w:eastAsia="宋体" w:cs="Times New Roman"/>
                <w:color w:val="auto"/>
                <w:sz w:val="24"/>
                <w:szCs w:val="24"/>
                <w:highlight w:val="none"/>
                <w:lang w:val="en-US" w:eastAsia="zh-CN"/>
              </w:rPr>
              <w:t>班制</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根据《建筑给水排水设计标准》</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GB</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50015-2019</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中</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车间工人的生活用水定额应根据车间性质确定</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宜采用30L/</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人·班</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~50L/</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人·班</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本项目取</w:t>
            </w:r>
            <w:r>
              <w:rPr>
                <w:rFonts w:hint="default" w:ascii="Times New Roman" w:hAnsi="Times New Roman" w:eastAsia="宋体" w:cs="Times New Roman"/>
                <w:color w:val="auto"/>
                <w:sz w:val="24"/>
                <w:szCs w:val="24"/>
                <w:highlight w:val="none"/>
              </w:rPr>
              <w:t>50L/</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人·班</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则用水量为</w:t>
            </w:r>
            <w:r>
              <w:rPr>
                <w:rFonts w:hint="eastAsia" w:cs="Times New Roman"/>
                <w:color w:val="auto"/>
                <w:sz w:val="24"/>
                <w:szCs w:val="24"/>
                <w:highlight w:val="none"/>
                <w:lang w:val="en-US" w:eastAsia="zh-CN"/>
              </w:rPr>
              <w:t>375</w:t>
            </w:r>
            <w:r>
              <w:rPr>
                <w:rFonts w:hint="default" w:ascii="Times New Roman" w:hAnsi="Times New Roman" w:eastAsia="宋体" w:cs="Times New Roman"/>
                <w:color w:val="auto"/>
                <w:sz w:val="24"/>
                <w:szCs w:val="24"/>
                <w:highlight w:val="none"/>
              </w:rPr>
              <w:t>t/a</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生活污水（</w:t>
            </w:r>
            <w:r>
              <w:rPr>
                <w:rFonts w:hint="eastAsia"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t/a，排污系数按0.8计）</w:t>
            </w:r>
            <w:r>
              <w:rPr>
                <w:rFonts w:hint="eastAsia" w:cs="Times New Roman"/>
                <w:color w:val="auto"/>
                <w:sz w:val="24"/>
                <w:szCs w:val="24"/>
                <w:highlight w:val="none"/>
                <w:lang w:eastAsia="zh-CN"/>
              </w:rPr>
              <w:t>经市政污水管网排入苏州市相润排水管理有限公司（漕湖污水处理厂）处理</w:t>
            </w:r>
            <w:r>
              <w:rPr>
                <w:rFonts w:hint="default" w:ascii="Times New Roman" w:hAnsi="Times New Roman" w:eastAsia="宋体" w:cs="Times New Roman"/>
                <w:color w:val="auto"/>
                <w:sz w:val="24"/>
                <w:szCs w:val="24"/>
                <w:highlight w:val="none"/>
              </w:rPr>
              <w:t>。</w:t>
            </w:r>
          </w:p>
          <w:p w14:paraId="5E7569C4">
            <w:pPr>
              <w:adjustRightInd w:val="0"/>
              <w:snapToGrid w:val="0"/>
              <w:spacing w:line="360" w:lineRule="auto"/>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②切削液制备用水：本项目加工中心采用切削液辅助加工，加工过程中将切削液与自来水按一定的比例（1：20）混合后使用，根据企业提供信息，切削液用量为3t/a，自来水用量为60m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/a。切削液循环使用，定期更换，根据建设单位提供信息，年产生5t废切削液作为危废，委托有资质单位处置。</w:t>
            </w:r>
          </w:p>
          <w:p w14:paraId="0F9CF4B7">
            <w:pPr>
              <w:adjustRightInd w:val="0"/>
              <w:snapToGrid w:val="0"/>
              <w:spacing w:line="360" w:lineRule="auto"/>
              <w:ind w:firstLine="480" w:firstLineChars="200"/>
              <w:rPr>
                <w:rFonts w:hint="eastAsia" w:ascii="Times New Roman" w:hAnsi="Times New Roman" w:eastAsia="宋体" w:cs="Times New Roman"/>
                <w:color w:val="auto"/>
                <w:kern w:val="0"/>
                <w:sz w:val="24"/>
                <w:szCs w:val="24"/>
                <w:highlight w:val="none"/>
                <w:lang w:val="en-US" w:eastAsia="zh-CN" w:bidi="ar-SA"/>
              </w:rPr>
            </w:pPr>
            <w:r>
              <w:rPr>
                <w:rFonts w:hint="eastAsia" w:cs="Times New Roman"/>
                <w:color w:val="auto"/>
                <w:sz w:val="24"/>
                <w:szCs w:val="24"/>
                <w:highlight w:val="none"/>
                <w:lang w:val="en-US" w:eastAsia="zh-CN"/>
              </w:rPr>
              <w:t>③湿式去毛刺用水：项目去毛刺用水在加工过程中每天损耗约蓄水量的10%，去毛刺水循环利用，定期捞渣，补充损耗，根据建设单位提供信息，湿式工作台槽体蓄水量为500L，年工作300d，则需补充用水15m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/a。</w:t>
            </w:r>
          </w:p>
          <w:p w14:paraId="68C6B9D5">
            <w:pPr>
              <w:pStyle w:val="6"/>
              <w:rPr>
                <w:rFonts w:hint="eastAsia"/>
                <w:color w:val="auto"/>
                <w:highlight w:val="none"/>
                <w:lang w:val="en-US" w:eastAsia="zh-CN"/>
              </w:rPr>
            </w:pPr>
            <w:r>
              <w:rPr>
                <w:rFonts w:hint="eastAsia"/>
                <w:color w:val="auto"/>
                <w:highlight w:val="none"/>
                <w:lang w:val="en-US" w:eastAsia="zh-CN"/>
              </w:rPr>
              <w:object>
                <v:shape id="_x0000_i1025" o:spt="75" type="#_x0000_t75" style="height:213pt;width:398.25pt;" o:ole="t" filled="f" o:preferrelative="t" stroked="f" coordsize="21600,21600">
                  <v:path/>
                  <v:fill on="f" focussize="0,0"/>
                  <v:stroke on="f"/>
                  <v:imagedata r:id="rId10" o:title=""/>
                  <o:lock v:ext="edit" aspectratio="f"/>
                  <w10:wrap type="none"/>
                  <w10:anchorlock/>
                </v:shape>
                <o:OLEObject Type="Embed" ProgID="Visio.Drawing.15" ShapeID="_x0000_i1025" DrawAspect="Content" ObjectID="_1468075725" r:id="rId9">
                  <o:LockedField>false</o:LockedField>
                </o:OLEObject>
              </w:object>
            </w:r>
          </w:p>
          <w:p w14:paraId="570DFE5F">
            <w:pPr>
              <w:adjustRightInd w:val="0"/>
              <w:snapToGrid w:val="0"/>
              <w:spacing w:line="360" w:lineRule="auto"/>
              <w:ind w:firstLine="482" w:firstLineChars="200"/>
              <w:jc w:val="center"/>
              <w:rPr>
                <w:rFonts w:hint="eastAsia" w:eastAsia="宋体"/>
                <w:b/>
                <w:color w:val="auto"/>
                <w:szCs w:val="21"/>
                <w:highlight w:val="none"/>
                <w:lang w:eastAsia="zh-CN"/>
              </w:rPr>
            </w:pPr>
            <w:r>
              <w:rPr>
                <w:b/>
                <w:color w:val="auto"/>
                <w:sz w:val="24"/>
                <w:szCs w:val="24"/>
                <w:highlight w:val="none"/>
              </w:rPr>
              <w:t>图</w:t>
            </w:r>
            <w:r>
              <w:rPr>
                <w:rFonts w:hint="eastAsia"/>
                <w:b/>
                <w:color w:val="auto"/>
                <w:sz w:val="24"/>
                <w:szCs w:val="24"/>
                <w:highlight w:val="none"/>
              </w:rPr>
              <w:t>2-1  本项目水平衡图</w:t>
            </w:r>
            <w:r>
              <w:rPr>
                <w:rFonts w:hint="eastAsia"/>
                <w:b/>
                <w:color w:val="auto"/>
                <w:sz w:val="24"/>
                <w:szCs w:val="24"/>
                <w:highlight w:val="none"/>
                <w:lang w:eastAsia="zh-CN"/>
              </w:rPr>
              <w:t>（</w:t>
            </w:r>
            <w:r>
              <w:rPr>
                <w:rFonts w:hint="eastAsia"/>
                <w:b/>
                <w:color w:val="auto"/>
                <w:sz w:val="24"/>
                <w:szCs w:val="24"/>
                <w:highlight w:val="none"/>
                <w:lang w:val="en-US" w:eastAsia="zh-CN"/>
              </w:rPr>
              <w:t>t/a</w:t>
            </w:r>
            <w:r>
              <w:rPr>
                <w:rFonts w:hint="eastAsia"/>
                <w:b/>
                <w:color w:val="auto"/>
                <w:sz w:val="24"/>
                <w:szCs w:val="24"/>
                <w:highlight w:val="none"/>
                <w:lang w:eastAsia="zh-CN"/>
              </w:rPr>
              <w:t>）</w:t>
            </w:r>
          </w:p>
          <w:p w14:paraId="6C67F23B">
            <w:pPr>
              <w:pStyle w:val="6"/>
              <w:spacing w:before="0" w:after="0" w:line="360" w:lineRule="auto"/>
              <w:ind w:right="0"/>
              <w:rPr>
                <w:rFonts w:hint="eastAsia" w:ascii="Times New Roman" w:hAnsi="Times New Roman" w:eastAsia="宋体" w:cs="Times New Roman"/>
                <w:color w:val="auto"/>
                <w:sz w:val="24"/>
                <w:szCs w:val="24"/>
                <w:highlight w:val="none"/>
              </w:rPr>
            </w:pPr>
            <w:r>
              <w:rPr>
                <w:rFonts w:hint="eastAsia"/>
                <w:b/>
                <w:bCs/>
                <w:color w:val="auto"/>
                <w:sz w:val="24"/>
                <w:szCs w:val="24"/>
                <w:highlight w:val="none"/>
                <w:lang w:val="en-US" w:eastAsia="zh-CN"/>
              </w:rPr>
              <w:t>8、</w:t>
            </w:r>
            <w:r>
              <w:rPr>
                <w:rFonts w:hint="eastAsia"/>
                <w:b/>
                <w:bCs/>
                <w:color w:val="auto"/>
                <w:sz w:val="24"/>
                <w:szCs w:val="24"/>
                <w:highlight w:val="none"/>
              </w:rPr>
              <w:t>厂区平面布置</w:t>
            </w:r>
          </w:p>
          <w:p w14:paraId="6E9DFB26">
            <w:pPr>
              <w:pStyle w:val="6"/>
              <w:spacing w:before="0" w:after="0" w:line="360" w:lineRule="auto"/>
              <w:ind w:right="0"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rPr>
              <w:t>本项目位于苏州市漕湖街道永昌路28号A栋11单元，</w:t>
            </w:r>
            <w:r>
              <w:rPr>
                <w:rFonts w:hint="eastAsia" w:ascii="Times New Roman" w:hAnsi="Times New Roman" w:eastAsia="宋体" w:cs="Times New Roman"/>
                <w:color w:val="auto"/>
                <w:sz w:val="24"/>
                <w:szCs w:val="24"/>
                <w:highlight w:val="none"/>
                <w:lang w:val="en-US" w:eastAsia="zh-CN"/>
              </w:rPr>
              <w:t>厂区内共</w:t>
            </w:r>
            <w:r>
              <w:rPr>
                <w:rFonts w:hint="eastAsia"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幢</w:t>
            </w:r>
            <w:r>
              <w:rPr>
                <w:rFonts w:hint="eastAsia" w:cs="Times New Roman"/>
                <w:color w:val="auto"/>
                <w:sz w:val="24"/>
                <w:szCs w:val="24"/>
                <w:highlight w:val="none"/>
                <w:lang w:val="en-US" w:eastAsia="zh-CN"/>
              </w:rPr>
              <w:t>生产</w:t>
            </w:r>
            <w:r>
              <w:rPr>
                <w:rFonts w:hint="eastAsia" w:ascii="Times New Roman" w:hAnsi="Times New Roman" w:eastAsia="宋体" w:cs="Times New Roman"/>
                <w:color w:val="auto"/>
                <w:sz w:val="24"/>
                <w:szCs w:val="24"/>
                <w:highlight w:val="none"/>
                <w:lang w:val="en-US" w:eastAsia="zh-CN"/>
              </w:rPr>
              <w:t>厂房。本项目</w:t>
            </w:r>
            <w:r>
              <w:rPr>
                <w:rFonts w:hint="eastAsia" w:cs="Times New Roman"/>
                <w:color w:val="auto"/>
                <w:sz w:val="24"/>
                <w:szCs w:val="24"/>
                <w:highlight w:val="none"/>
                <w:lang w:val="en-US" w:eastAsia="zh-CN"/>
              </w:rPr>
              <w:t>位于3幢3层，</w:t>
            </w:r>
            <w:r>
              <w:rPr>
                <w:rFonts w:hint="eastAsia" w:ascii="Times New Roman" w:hAnsi="Times New Roman" w:eastAsia="宋体" w:cs="Times New Roman"/>
                <w:color w:val="auto"/>
                <w:sz w:val="24"/>
                <w:szCs w:val="24"/>
                <w:highlight w:val="none"/>
                <w:lang w:val="en-US" w:eastAsia="zh-CN"/>
              </w:rPr>
              <w:t>车间出入口位于车间</w:t>
            </w:r>
            <w:r>
              <w:rPr>
                <w:rFonts w:hint="eastAsia" w:cs="Times New Roman"/>
                <w:color w:val="auto"/>
                <w:sz w:val="24"/>
                <w:szCs w:val="24"/>
                <w:highlight w:val="none"/>
                <w:lang w:val="en-US" w:eastAsia="zh-CN"/>
              </w:rPr>
              <w:t>西</w:t>
            </w:r>
            <w:r>
              <w:rPr>
                <w:rFonts w:hint="eastAsia" w:ascii="Times New Roman" w:hAnsi="Times New Roman" w:eastAsia="宋体" w:cs="Times New Roman"/>
                <w:color w:val="auto"/>
                <w:sz w:val="24"/>
                <w:szCs w:val="24"/>
                <w:highlight w:val="none"/>
                <w:lang w:val="en-US" w:eastAsia="zh-CN"/>
              </w:rPr>
              <w:t>侧，车间内部由南到北、由西到东依次设</w:t>
            </w:r>
            <w:r>
              <w:rPr>
                <w:rFonts w:hint="eastAsia" w:cs="Times New Roman"/>
                <w:color w:val="auto"/>
                <w:sz w:val="24"/>
                <w:szCs w:val="24"/>
                <w:highlight w:val="none"/>
                <w:lang w:val="en-US" w:eastAsia="zh-CN"/>
              </w:rPr>
              <w:t>成危废暂存间、压块间、机加工区域、食堂、原料暂存间、检验区、办公室、一般固废暂存间、去毛刺区，</w:t>
            </w:r>
            <w:r>
              <w:rPr>
                <w:rFonts w:hint="eastAsia" w:ascii="Times New Roman" w:hAnsi="Times New Roman" w:eastAsia="宋体" w:cs="Times New Roman"/>
                <w:color w:val="auto"/>
                <w:sz w:val="24"/>
                <w:szCs w:val="24"/>
                <w:highlight w:val="none"/>
                <w:lang w:val="en-US" w:eastAsia="zh-CN"/>
              </w:rPr>
              <w:t>项目平面布置总体较为合理，且符合防火、环保、卫生和安全等规范要求。项目车间整体布局规划合理，可满足项目生产需求。项目厂区平面布置见附图3。</w:t>
            </w:r>
          </w:p>
          <w:p w14:paraId="64F29F20">
            <w:pPr>
              <w:pStyle w:val="6"/>
              <w:spacing w:before="0" w:after="0" w:line="360" w:lineRule="auto"/>
              <w:ind w:right="0" w:firstLine="480" w:firstLineChars="200"/>
              <w:rPr>
                <w:color w:val="auto"/>
                <w:highlight w:val="none"/>
                <w:vertAlign w:val="baseline"/>
              </w:rPr>
            </w:pPr>
            <w:r>
              <w:rPr>
                <w:rFonts w:hint="eastAsia" w:ascii="Times New Roman" w:hAnsi="Times New Roman" w:eastAsia="宋体" w:cs="Times New Roman"/>
                <w:color w:val="auto"/>
                <w:sz w:val="24"/>
                <w:szCs w:val="24"/>
                <w:highlight w:val="none"/>
                <w:lang w:val="en-US" w:eastAsia="zh-CN"/>
              </w:rPr>
              <w:t>厂区外东侧为</w:t>
            </w:r>
            <w:r>
              <w:rPr>
                <w:rFonts w:hint="eastAsia" w:cs="Times New Roman"/>
                <w:color w:val="auto"/>
                <w:sz w:val="24"/>
                <w:szCs w:val="24"/>
                <w:highlight w:val="none"/>
                <w:lang w:val="en-US" w:eastAsia="zh-CN"/>
              </w:rPr>
              <w:t>小河</w:t>
            </w:r>
            <w:r>
              <w:rPr>
                <w:rFonts w:hint="eastAsia"/>
                <w:color w:val="auto"/>
                <w:sz w:val="24"/>
                <w:szCs w:val="24"/>
                <w:highlight w:val="none"/>
                <w:lang w:val="en-US" w:eastAsia="zh-CN"/>
              </w:rPr>
              <w:t>，隔河为艾博莱特苏州科技有限公司、苏州丰联精密制造有限公司、久利科技（苏州）有限公司，南侧为漕湖产业园，西侧为永昌路，隔路为空地，北侧为康阳路和永昌泾，隔河为空地。企业周边环境概况图见附图2，企业车间平面布置图见附图3</w:t>
            </w:r>
            <w:r>
              <w:rPr>
                <w:rFonts w:hint="eastAsia"/>
                <w:color w:val="auto"/>
                <w:sz w:val="24"/>
                <w:szCs w:val="24"/>
                <w:highlight w:val="none"/>
              </w:rPr>
              <w:t>。</w:t>
            </w:r>
          </w:p>
        </w:tc>
      </w:tr>
    </w:tbl>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506"/>
      </w:tblGrid>
      <w:tr w14:paraId="5EB8E1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28" w:type="pct"/>
            <w:vAlign w:val="center"/>
          </w:tcPr>
          <w:p w14:paraId="2D9E5F16">
            <w:pPr>
              <w:pStyle w:val="19"/>
              <w:adjustRightInd w:val="0"/>
              <w:snapToGrid w:val="0"/>
              <w:spacing w:before="0" w:beforeAutospacing="0" w:after="0" w:afterAutospacing="0"/>
              <w:jc w:val="center"/>
              <w:rPr>
                <w:rFonts w:ascii="Times New Roman" w:hAnsi="Times New Roman"/>
                <w:color w:val="auto"/>
                <w:sz w:val="21"/>
                <w:szCs w:val="21"/>
                <w:highlight w:val="none"/>
              </w:rPr>
            </w:pPr>
            <w:r>
              <w:rPr>
                <w:rFonts w:ascii="Times New Roman" w:hAnsi="Times New Roman"/>
                <w:color w:val="auto"/>
                <w:sz w:val="24"/>
                <w:szCs w:val="24"/>
                <w:highlight w:val="none"/>
              </w:rPr>
              <w:t>工艺流程和产排污环节</w:t>
            </w:r>
          </w:p>
        </w:tc>
        <w:tc>
          <w:tcPr>
            <w:tcW w:w="4771" w:type="pct"/>
          </w:tcPr>
          <w:p w14:paraId="57CC262D">
            <w:pPr>
              <w:spacing w:line="360" w:lineRule="auto"/>
              <w:rPr>
                <w:rFonts w:hint="default" w:ascii="Times New Roman" w:hAnsi="Times New Roman" w:eastAsia="宋体" w:cs="Times New Roman"/>
                <w:b/>
                <w:bCs/>
                <w:color w:val="auto"/>
                <w:sz w:val="24"/>
                <w:szCs w:val="24"/>
                <w:highlight w:val="none"/>
              </w:rPr>
            </w:pPr>
            <w:r>
              <w:rPr>
                <w:rFonts w:hint="eastAsia" w:cs="Times New Roman"/>
                <w:b/>
                <w:bCs/>
                <w:color w:val="auto"/>
                <w:sz w:val="24"/>
                <w:szCs w:val="24"/>
                <w:highlight w:val="none"/>
                <w:lang w:val="en-US" w:eastAsia="zh-CN"/>
              </w:rPr>
              <w:t>9</w:t>
            </w:r>
            <w:r>
              <w:rPr>
                <w:rFonts w:hint="eastAsia"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工艺流程简述</w:t>
            </w:r>
          </w:p>
          <w:p w14:paraId="3AA73F45">
            <w:pPr>
              <w:spacing w:line="360" w:lineRule="auto"/>
              <w:rPr>
                <w:rFonts w:hint="default" w:ascii="Times New Roman" w:hAnsi="Times New Roman" w:eastAsia="宋体" w:cs="Times New Roman"/>
                <w:b/>
                <w:color w:val="auto"/>
                <w:sz w:val="24"/>
                <w:szCs w:val="24"/>
                <w:highlight w:val="none"/>
              </w:rPr>
            </w:pPr>
            <w:r>
              <w:rPr>
                <w:rFonts w:hint="eastAsia" w:cs="Times New Roman"/>
                <w:b/>
                <w:color w:val="auto"/>
                <w:sz w:val="24"/>
                <w:szCs w:val="24"/>
                <w:highlight w:val="none"/>
                <w:lang w:val="en-US" w:eastAsia="zh-CN"/>
              </w:rPr>
              <w:t>9</w:t>
            </w:r>
            <w:r>
              <w:rPr>
                <w:rFonts w:hint="default" w:ascii="Times New Roman" w:hAnsi="Times New Roman" w:eastAsia="宋体" w:cs="Times New Roman"/>
                <w:b/>
                <w:color w:val="auto"/>
                <w:sz w:val="24"/>
                <w:szCs w:val="24"/>
                <w:highlight w:val="none"/>
              </w:rPr>
              <w:t>.1  施工期</w:t>
            </w:r>
          </w:p>
          <w:p w14:paraId="79568719">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利用已建工业厂房进行生产，没有土建施工，不产生土建施工的相关环境影响如机械噪声和扬尘等污染问题。但在设备安装过程会产生一些机械噪声，源强峰值可达85~100分贝，因此，为控制设备安装期间的噪声污染，施工单位应尽量采用低噪声的器械，避免夜间进行高噪声振动操作，从而减轻对厂界周围声环境的影响。另外设备安装期间产生生活污水应排入污水管网，生活垃圾应及时收集处理，设备安装</w:t>
            </w:r>
            <w:r>
              <w:rPr>
                <w:rFonts w:hint="eastAsia" w:cs="Times New Roman"/>
                <w:color w:val="auto"/>
                <w:sz w:val="24"/>
                <w:szCs w:val="24"/>
                <w:highlight w:val="none"/>
                <w:lang w:eastAsia="zh-CN"/>
              </w:rPr>
              <w:t>期间</w:t>
            </w:r>
            <w:r>
              <w:rPr>
                <w:rFonts w:hint="default" w:ascii="Times New Roman" w:hAnsi="Times New Roman" w:eastAsia="宋体" w:cs="Times New Roman"/>
                <w:color w:val="auto"/>
                <w:sz w:val="24"/>
                <w:szCs w:val="24"/>
                <w:highlight w:val="none"/>
              </w:rPr>
              <w:t>产生的固废应妥善处理，能回用的应回用，不能回用的应根据固废的性质不同交由不同的处理部门处理。设备安装期的影响较短暂，随着安装调试的结束，环境影响随即停止。施工</w:t>
            </w:r>
            <w:r>
              <w:rPr>
                <w:rFonts w:hint="eastAsia" w:cs="Times New Roman"/>
                <w:color w:val="auto"/>
                <w:sz w:val="24"/>
                <w:szCs w:val="24"/>
                <w:highlight w:val="none"/>
                <w:lang w:eastAsia="zh-CN"/>
              </w:rPr>
              <w:t>期间</w:t>
            </w:r>
            <w:r>
              <w:rPr>
                <w:rFonts w:hint="default" w:ascii="Times New Roman" w:hAnsi="Times New Roman" w:eastAsia="宋体" w:cs="Times New Roman"/>
                <w:color w:val="auto"/>
                <w:sz w:val="24"/>
                <w:szCs w:val="24"/>
                <w:highlight w:val="none"/>
              </w:rPr>
              <w:t>无需对现有厂房</w:t>
            </w:r>
            <w:r>
              <w:rPr>
                <w:rFonts w:hint="eastAsia" w:cs="Times New Roman"/>
                <w:color w:val="auto"/>
                <w:sz w:val="24"/>
                <w:szCs w:val="24"/>
                <w:highlight w:val="none"/>
                <w:lang w:eastAsia="zh-CN"/>
              </w:rPr>
              <w:t>做</w:t>
            </w:r>
            <w:r>
              <w:rPr>
                <w:rFonts w:hint="default" w:ascii="Times New Roman" w:hAnsi="Times New Roman" w:eastAsia="宋体" w:cs="Times New Roman"/>
                <w:color w:val="auto"/>
                <w:sz w:val="24"/>
                <w:szCs w:val="24"/>
                <w:highlight w:val="none"/>
              </w:rPr>
              <w:t>适用性改造。</w:t>
            </w:r>
          </w:p>
          <w:p w14:paraId="7517950B">
            <w:pPr>
              <w:spacing w:line="360" w:lineRule="auto"/>
              <w:rPr>
                <w:rFonts w:hint="eastAsia"/>
                <w:b/>
                <w:color w:val="auto"/>
                <w:sz w:val="24"/>
                <w:szCs w:val="24"/>
                <w:highlight w:val="none"/>
              </w:rPr>
            </w:pPr>
            <w:r>
              <w:rPr>
                <w:rFonts w:hint="eastAsia"/>
                <w:b/>
                <w:color w:val="auto"/>
                <w:sz w:val="24"/>
                <w:szCs w:val="24"/>
                <w:highlight w:val="none"/>
                <w:lang w:val="en-US" w:eastAsia="zh-CN"/>
              </w:rPr>
              <w:t>9</w:t>
            </w:r>
            <w:r>
              <w:rPr>
                <w:rFonts w:hint="eastAsia"/>
                <w:b/>
                <w:color w:val="auto"/>
                <w:sz w:val="24"/>
                <w:szCs w:val="24"/>
                <w:highlight w:val="none"/>
              </w:rPr>
              <w:t>.2  运营期</w:t>
            </w:r>
          </w:p>
          <w:p w14:paraId="51257C8F">
            <w:pPr>
              <w:spacing w:line="360" w:lineRule="auto"/>
              <w:ind w:firstLine="482" w:firstLineChars="200"/>
              <w:rPr>
                <w:rFonts w:hint="eastAsia"/>
                <w:b/>
                <w:color w:val="auto"/>
                <w:sz w:val="24"/>
                <w:szCs w:val="24"/>
                <w:highlight w:val="none"/>
                <w:lang w:val="en-US" w:eastAsia="zh-CN"/>
              </w:rPr>
            </w:pPr>
            <w:r>
              <w:rPr>
                <w:rFonts w:hint="eastAsia"/>
                <w:b/>
                <w:color w:val="auto"/>
                <w:sz w:val="24"/>
                <w:szCs w:val="24"/>
                <w:highlight w:val="none"/>
                <w:lang w:val="en-US" w:eastAsia="zh-CN"/>
              </w:rPr>
              <w:t>精密零部件生产工艺流程：</w:t>
            </w:r>
          </w:p>
          <w:p w14:paraId="51F17A92">
            <w:pPr>
              <w:spacing w:line="360" w:lineRule="auto"/>
              <w:rPr>
                <w:rFonts w:hint="default"/>
                <w:b/>
                <w:color w:val="auto"/>
                <w:sz w:val="24"/>
                <w:szCs w:val="24"/>
                <w:highlight w:val="none"/>
                <w:lang w:val="en-US" w:eastAsia="zh-CN"/>
              </w:rPr>
            </w:pPr>
            <w:r>
              <w:rPr>
                <w:rFonts w:hint="default"/>
                <w:b/>
                <w:color w:val="auto"/>
                <w:sz w:val="24"/>
                <w:szCs w:val="24"/>
                <w:highlight w:val="none"/>
                <w:lang w:val="en-US" w:eastAsia="zh-CN"/>
              </w:rPr>
              <w:object>
                <v:shape id="_x0000_i1026" o:spt="75" type="#_x0000_t75" style="height:236.65pt;width:464.25pt;" o:ole="t" filled="f" o:preferrelative="t" stroked="f" coordsize="21600,21600">
                  <v:path/>
                  <v:fill on="f" focussize="0,0"/>
                  <v:stroke on="f"/>
                  <v:imagedata r:id="rId12" o:title=""/>
                  <o:lock v:ext="edit" aspectratio="f"/>
                  <w10:wrap type="none"/>
                  <w10:anchorlock/>
                </v:shape>
                <o:OLEObject Type="Embed" ProgID="Visio.Drawing.15" ShapeID="_x0000_i1026" DrawAspect="Content" ObjectID="_1468075726" r:id="rId11">
                  <o:LockedField>false</o:LockedField>
                </o:OLEObject>
              </w:object>
            </w:r>
          </w:p>
          <w:p w14:paraId="4E72BAFD">
            <w:pPr>
              <w:adjustRightInd w:val="0"/>
              <w:snapToGrid w:val="0"/>
              <w:spacing w:line="240" w:lineRule="auto"/>
              <w:jc w:val="center"/>
              <w:rPr>
                <w:b/>
                <w:bCs/>
                <w:color w:val="auto"/>
                <w:sz w:val="24"/>
                <w:szCs w:val="24"/>
                <w:highlight w:val="none"/>
              </w:rPr>
            </w:pPr>
            <w:r>
              <w:rPr>
                <w:b/>
                <w:bCs/>
                <w:color w:val="auto"/>
                <w:sz w:val="24"/>
                <w:szCs w:val="24"/>
                <w:highlight w:val="none"/>
              </w:rPr>
              <w:t>图2-</w:t>
            </w:r>
            <w:r>
              <w:rPr>
                <w:rFonts w:hint="eastAsia"/>
                <w:b/>
                <w:bCs/>
                <w:color w:val="auto"/>
                <w:sz w:val="24"/>
                <w:szCs w:val="24"/>
                <w:highlight w:val="none"/>
                <w:lang w:val="en-US" w:eastAsia="zh-CN"/>
              </w:rPr>
              <w:t>2</w:t>
            </w:r>
            <w:r>
              <w:rPr>
                <w:rFonts w:hint="eastAsia"/>
                <w:b/>
                <w:bCs/>
                <w:color w:val="auto"/>
                <w:sz w:val="24"/>
                <w:szCs w:val="24"/>
                <w:highlight w:val="none"/>
              </w:rPr>
              <w:t xml:space="preserve">  </w:t>
            </w:r>
            <w:r>
              <w:rPr>
                <w:rFonts w:hint="eastAsia"/>
                <w:b/>
                <w:bCs/>
                <w:color w:val="auto"/>
                <w:sz w:val="24"/>
                <w:szCs w:val="24"/>
                <w:highlight w:val="none"/>
                <w:lang w:val="en-US" w:eastAsia="zh-CN"/>
              </w:rPr>
              <w:t>精密零部件</w:t>
            </w:r>
            <w:r>
              <w:rPr>
                <w:b/>
                <w:bCs/>
                <w:color w:val="auto"/>
                <w:sz w:val="24"/>
                <w:szCs w:val="24"/>
                <w:highlight w:val="none"/>
              </w:rPr>
              <w:t>生产工艺</w:t>
            </w:r>
            <w:r>
              <w:rPr>
                <w:rFonts w:hint="eastAsia"/>
                <w:b/>
                <w:bCs/>
                <w:color w:val="auto"/>
                <w:sz w:val="24"/>
                <w:szCs w:val="24"/>
                <w:highlight w:val="none"/>
                <w:lang w:val="en-US" w:eastAsia="zh-CN"/>
              </w:rPr>
              <w:t>流程</w:t>
            </w:r>
            <w:r>
              <w:rPr>
                <w:b/>
                <w:bCs/>
                <w:color w:val="auto"/>
                <w:sz w:val="24"/>
                <w:szCs w:val="24"/>
                <w:highlight w:val="none"/>
              </w:rPr>
              <w:t>及产污节点图</w:t>
            </w:r>
          </w:p>
          <w:p w14:paraId="1DDBBDC8">
            <w:pPr>
              <w:adjustRightInd w:val="0"/>
              <w:snapToGrid w:val="0"/>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工艺流程简述：</w:t>
            </w:r>
          </w:p>
          <w:p w14:paraId="4EF8E9BB">
            <w:pPr>
              <w:pStyle w:val="45"/>
              <w:keepNext w:val="0"/>
              <w:keepLines w:val="0"/>
              <w:pageBreakBefore w:val="0"/>
              <w:widowControl/>
              <w:kinsoku/>
              <w:wordWrap/>
              <w:overflowPunct/>
              <w:topLinePunct w:val="0"/>
              <w:autoSpaceDE/>
              <w:autoSpaceDN/>
              <w:bidi w:val="0"/>
              <w:adjustRightInd/>
              <w:snapToGrid w:val="0"/>
              <w:spacing w:before="0" w:after="0" w:line="360" w:lineRule="auto"/>
              <w:ind w:left="0" w:leftChars="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①来料检验：员工目测检验外购的铝合金是否有缺料、碰伤、压伤，采用卷尺测量来料宽度、厚度是否达标；采用硬度计测量硬度是否达标</w:t>
            </w:r>
            <w:r>
              <w:rPr>
                <w:rFonts w:hint="eastAsia" w:eastAsia="宋体" w:cs="Times New Roman"/>
                <w:color w:val="auto"/>
                <w:kern w:val="2"/>
                <w:sz w:val="24"/>
                <w:szCs w:val="24"/>
                <w:highlight w:val="none"/>
                <w:lang w:val="en-US" w:eastAsia="zh-CN" w:bidi="ar-SA"/>
              </w:rPr>
              <w:t>，此过程会产生不合格品S1</w:t>
            </w:r>
            <w:r>
              <w:rPr>
                <w:rFonts w:hint="eastAsia" w:ascii="Times New Roman" w:hAnsi="Times New Roman" w:eastAsia="宋体" w:cs="Times New Roman"/>
                <w:color w:val="auto"/>
                <w:kern w:val="2"/>
                <w:sz w:val="24"/>
                <w:szCs w:val="24"/>
                <w:highlight w:val="none"/>
                <w:lang w:val="en-US" w:eastAsia="zh-CN" w:bidi="ar-SA"/>
              </w:rPr>
              <w:t>。</w:t>
            </w:r>
          </w:p>
          <w:p w14:paraId="76864816">
            <w:pPr>
              <w:pStyle w:val="45"/>
              <w:keepNext w:val="0"/>
              <w:keepLines w:val="0"/>
              <w:pageBreakBefore w:val="0"/>
              <w:widowControl/>
              <w:kinsoku/>
              <w:wordWrap/>
              <w:overflowPunct/>
              <w:topLinePunct w:val="0"/>
              <w:autoSpaceDE/>
              <w:autoSpaceDN/>
              <w:bidi w:val="0"/>
              <w:adjustRightInd/>
              <w:snapToGrid w:val="0"/>
              <w:spacing w:before="0" w:after="0" w:line="360" w:lineRule="auto"/>
              <w:ind w:left="0" w:leftChars="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②机加工：将原料装载到治具上，将程序输入CNC机床进行产品机加工，工作过程CNC设备操作舱门关闭。此环节利用切削液，将切削液与水1：20混合（手工调配），切削液以柱塞泵压力输送喷雾的形式在密闭加工的CNC空间中，喷到加工件的表面润滑和降温，即可对设备进行冷却，又可清除加工过程飞扬的金属屑，因此加工环节无粉尘。金属屑被切削液清除进入切削液中，设备自带过滤分离器，过滤后的切削液回用，定期补充损耗；切削液发黄发臭时进行更换，</w:t>
            </w:r>
            <w:r>
              <w:rPr>
                <w:rFonts w:hint="eastAsia" w:eastAsia="宋体" w:cs="Times New Roman"/>
                <w:color w:val="auto"/>
                <w:kern w:val="2"/>
                <w:sz w:val="24"/>
                <w:szCs w:val="24"/>
                <w:highlight w:val="none"/>
                <w:lang w:val="en-US" w:eastAsia="zh-CN" w:bidi="ar-SA"/>
              </w:rPr>
              <w:t>因此会产生沾染切削液的废</w:t>
            </w:r>
            <w:r>
              <w:rPr>
                <w:rFonts w:hint="eastAsia" w:ascii="Times New Roman" w:hAnsi="Times New Roman" w:eastAsia="宋体" w:cs="Times New Roman"/>
                <w:color w:val="auto"/>
                <w:kern w:val="2"/>
                <w:sz w:val="24"/>
                <w:szCs w:val="24"/>
                <w:highlight w:val="none"/>
                <w:lang w:val="en-US" w:eastAsia="zh-CN" w:bidi="ar-SA"/>
              </w:rPr>
              <w:t>金属屑S1、废切削液S2</w:t>
            </w:r>
            <w:r>
              <w:rPr>
                <w:rFonts w:hint="eastAsia" w:eastAsia="宋体" w:cs="Times New Roman"/>
                <w:color w:val="auto"/>
                <w:kern w:val="2"/>
                <w:sz w:val="24"/>
                <w:szCs w:val="24"/>
                <w:highlight w:val="none"/>
                <w:lang w:val="en-US" w:eastAsia="zh-CN" w:bidi="ar-SA"/>
              </w:rPr>
              <w:t>，油雾废气</w:t>
            </w:r>
            <w:r>
              <w:rPr>
                <w:rFonts w:hint="eastAsia" w:ascii="Times New Roman" w:hAnsi="Times New Roman" w:eastAsia="宋体" w:cs="Times New Roman"/>
                <w:color w:val="auto"/>
                <w:kern w:val="2"/>
                <w:sz w:val="24"/>
                <w:szCs w:val="24"/>
                <w:highlight w:val="none"/>
                <w:lang w:val="en-US" w:eastAsia="zh-CN" w:bidi="ar-SA"/>
              </w:rPr>
              <w:t>G1；</w:t>
            </w:r>
          </w:p>
          <w:p w14:paraId="299D33BC">
            <w:pPr>
              <w:pStyle w:val="45"/>
              <w:keepNext w:val="0"/>
              <w:keepLines w:val="0"/>
              <w:pageBreakBefore w:val="0"/>
              <w:widowControl/>
              <w:kinsoku/>
              <w:wordWrap/>
              <w:overflowPunct/>
              <w:topLinePunct w:val="0"/>
              <w:autoSpaceDE/>
              <w:autoSpaceDN/>
              <w:bidi w:val="0"/>
              <w:adjustRightInd/>
              <w:snapToGrid w:val="0"/>
              <w:spacing w:before="0" w:after="0" w:line="360" w:lineRule="auto"/>
              <w:ind w:left="0" w:leftChars="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③</w:t>
            </w:r>
            <w:r>
              <w:rPr>
                <w:rFonts w:hint="eastAsia" w:ascii="Times New Roman" w:hAnsi="Times New Roman" w:eastAsia="宋体" w:cs="Times New Roman"/>
                <w:color w:val="auto"/>
                <w:kern w:val="2"/>
                <w:sz w:val="24"/>
                <w:szCs w:val="24"/>
                <w:highlight w:val="none"/>
                <w:lang w:val="en-US" w:eastAsia="zh-CN" w:bidi="ar-SA"/>
              </w:rPr>
              <w:t>去毛刺：该工段使用气动工具手工去除半成品表面的毛刺，达到产品的要求，此过程在湿式工作台操作，湿式工作台用水循环使用，定期补水和捞渣，因此会产生废渣S4。</w:t>
            </w:r>
          </w:p>
          <w:p w14:paraId="3A8FA7E0">
            <w:pPr>
              <w:pStyle w:val="45"/>
              <w:keepNext w:val="0"/>
              <w:keepLines w:val="0"/>
              <w:pageBreakBefore w:val="0"/>
              <w:widowControl/>
              <w:kinsoku/>
              <w:wordWrap/>
              <w:overflowPunct/>
              <w:topLinePunct w:val="0"/>
              <w:autoSpaceDE/>
              <w:autoSpaceDN/>
              <w:bidi w:val="0"/>
              <w:adjustRightInd/>
              <w:snapToGrid w:val="0"/>
              <w:spacing w:before="0" w:after="0" w:line="360" w:lineRule="auto"/>
              <w:ind w:left="0" w:leftChars="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④</w:t>
            </w:r>
            <w:r>
              <w:rPr>
                <w:rFonts w:hint="eastAsia" w:ascii="Times New Roman" w:hAnsi="Times New Roman" w:eastAsia="宋体" w:cs="Times New Roman"/>
                <w:color w:val="auto"/>
                <w:kern w:val="2"/>
                <w:sz w:val="24"/>
                <w:szCs w:val="24"/>
                <w:highlight w:val="none"/>
                <w:lang w:val="en-US" w:eastAsia="zh-CN" w:bidi="ar-SA"/>
              </w:rPr>
              <w:t>过程检测：检查机加工、去毛刺过程是否有漏加工、碰伤、脏污等，脏污使用</w:t>
            </w:r>
            <w:r>
              <w:rPr>
                <w:rFonts w:hint="eastAsia" w:eastAsia="宋体" w:cs="Times New Roman"/>
                <w:color w:val="auto"/>
                <w:kern w:val="2"/>
                <w:sz w:val="24"/>
                <w:szCs w:val="24"/>
                <w:highlight w:val="none"/>
                <w:lang w:val="en-US" w:eastAsia="zh-CN" w:bidi="ar-SA"/>
              </w:rPr>
              <w:t>无尘纸</w:t>
            </w:r>
            <w:r>
              <w:rPr>
                <w:rFonts w:hint="eastAsia" w:ascii="Times New Roman" w:hAnsi="Times New Roman" w:eastAsia="宋体" w:cs="Times New Roman"/>
                <w:color w:val="auto"/>
                <w:kern w:val="2"/>
                <w:sz w:val="24"/>
                <w:szCs w:val="24"/>
                <w:highlight w:val="none"/>
                <w:lang w:val="en-US" w:eastAsia="zh-CN" w:bidi="ar-SA"/>
              </w:rPr>
              <w:t>进行擦拭，该过程会产生</w:t>
            </w:r>
            <w:r>
              <w:rPr>
                <w:rFonts w:hint="eastAsia" w:eastAsia="宋体" w:cs="Times New Roman"/>
                <w:color w:val="auto"/>
                <w:kern w:val="2"/>
                <w:sz w:val="24"/>
                <w:szCs w:val="24"/>
                <w:highlight w:val="none"/>
                <w:lang w:val="en-US" w:eastAsia="zh-CN" w:bidi="ar-SA"/>
              </w:rPr>
              <w:t>废无尘纸S5、</w:t>
            </w:r>
            <w:r>
              <w:rPr>
                <w:rFonts w:hint="eastAsia" w:ascii="Times New Roman" w:hAnsi="Times New Roman" w:eastAsia="宋体" w:cs="Times New Roman"/>
                <w:color w:val="auto"/>
                <w:kern w:val="2"/>
                <w:sz w:val="24"/>
                <w:szCs w:val="24"/>
                <w:highlight w:val="none"/>
                <w:lang w:val="en-US" w:eastAsia="zh-CN" w:bidi="ar-SA"/>
              </w:rPr>
              <w:t>不合格品S</w:t>
            </w:r>
            <w:r>
              <w:rPr>
                <w:rFonts w:hint="eastAsia" w:eastAsia="宋体" w:cs="Times New Roman"/>
                <w:color w:val="auto"/>
                <w:kern w:val="2"/>
                <w:sz w:val="24"/>
                <w:szCs w:val="24"/>
                <w:highlight w:val="none"/>
                <w:lang w:val="en-US" w:eastAsia="zh-CN" w:bidi="ar-SA"/>
              </w:rPr>
              <w:t>6。</w:t>
            </w:r>
          </w:p>
          <w:p w14:paraId="7DA0CBC7">
            <w:pPr>
              <w:adjustRightInd w:val="0"/>
              <w:snapToGrid w:val="0"/>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其他产污环节：</w:t>
            </w:r>
          </w:p>
          <w:p w14:paraId="7F0F30F4">
            <w:pPr>
              <w:adjustRightInd w:val="0"/>
              <w:snapToGrid w:val="0"/>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b w:val="0"/>
                <w:bCs w:val="0"/>
                <w:color w:val="auto"/>
                <w:sz w:val="24"/>
                <w:szCs w:val="24"/>
                <w:highlight w:val="none"/>
                <w:lang w:val="en-US" w:eastAsia="zh-CN"/>
              </w:rPr>
              <w:t>拆包产生的废包</w:t>
            </w:r>
            <w:r>
              <w:rPr>
                <w:rFonts w:hint="eastAsia" w:ascii="Times New Roman" w:hAnsi="Times New Roman" w:eastAsia="宋体" w:cs="Times New Roman"/>
                <w:b w:val="0"/>
                <w:bCs w:val="0"/>
                <w:color w:val="auto"/>
                <w:sz w:val="24"/>
                <w:szCs w:val="24"/>
                <w:highlight w:val="none"/>
                <w:lang w:val="en-US" w:eastAsia="zh-CN"/>
              </w:rPr>
              <w:t>装材料S</w:t>
            </w:r>
            <w:r>
              <w:rPr>
                <w:rFonts w:hint="eastAsia" w:cs="Times New Roman"/>
                <w:b w:val="0"/>
                <w:bCs w:val="0"/>
                <w:color w:val="auto"/>
                <w:sz w:val="24"/>
                <w:szCs w:val="24"/>
                <w:highlight w:val="none"/>
                <w:lang w:val="en-US" w:eastAsia="zh-CN"/>
              </w:rPr>
              <w:t>7</w:t>
            </w:r>
            <w:r>
              <w:rPr>
                <w:rFonts w:hint="eastAsia" w:ascii="Times New Roman" w:hAnsi="Times New Roman" w:eastAsia="宋体" w:cs="Times New Roman"/>
                <w:b w:val="0"/>
                <w:bCs w:val="0"/>
                <w:color w:val="auto"/>
                <w:sz w:val="24"/>
                <w:szCs w:val="24"/>
                <w:highlight w:val="none"/>
                <w:lang w:val="en-US" w:eastAsia="zh-CN"/>
              </w:rPr>
              <w:t>；</w:t>
            </w:r>
          </w:p>
          <w:p w14:paraId="00F9E4F6">
            <w:pPr>
              <w:adjustRightInd w:val="0"/>
              <w:snapToGrid w:val="0"/>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切削液</w:t>
            </w:r>
            <w:r>
              <w:rPr>
                <w:rFonts w:hint="eastAsia" w:cs="Times New Roman"/>
                <w:b w:val="0"/>
                <w:bCs w:val="0"/>
                <w:color w:val="auto"/>
                <w:sz w:val="24"/>
                <w:szCs w:val="24"/>
                <w:highlight w:val="none"/>
                <w:lang w:val="en-US" w:eastAsia="zh-CN"/>
              </w:rPr>
              <w:t>使用</w:t>
            </w:r>
            <w:r>
              <w:rPr>
                <w:rFonts w:hint="eastAsia" w:ascii="Times New Roman" w:hAnsi="Times New Roman" w:eastAsia="宋体" w:cs="Times New Roman"/>
                <w:b w:val="0"/>
                <w:bCs w:val="0"/>
                <w:color w:val="auto"/>
                <w:sz w:val="24"/>
                <w:szCs w:val="24"/>
                <w:highlight w:val="none"/>
                <w:lang w:val="en-US" w:eastAsia="zh-CN"/>
              </w:rPr>
              <w:t>产生的废包装桶S</w:t>
            </w:r>
            <w:r>
              <w:rPr>
                <w:rFonts w:hint="eastAsia" w:cs="Times New Roman"/>
                <w:b w:val="0"/>
                <w:bCs w:val="0"/>
                <w:color w:val="auto"/>
                <w:sz w:val="24"/>
                <w:szCs w:val="24"/>
                <w:highlight w:val="none"/>
                <w:lang w:val="en-US" w:eastAsia="zh-CN"/>
              </w:rPr>
              <w:t>8</w:t>
            </w:r>
            <w:r>
              <w:rPr>
                <w:rFonts w:hint="eastAsia" w:ascii="Times New Roman" w:hAnsi="Times New Roman" w:eastAsia="宋体" w:cs="Times New Roman"/>
                <w:b w:val="0"/>
                <w:bCs w:val="0"/>
                <w:color w:val="auto"/>
                <w:sz w:val="24"/>
                <w:szCs w:val="24"/>
                <w:highlight w:val="none"/>
                <w:lang w:val="en-US" w:eastAsia="zh-CN"/>
              </w:rPr>
              <w:t>；</w:t>
            </w:r>
          </w:p>
          <w:p w14:paraId="040EBE94">
            <w:pPr>
              <w:adjustRightInd w:val="0"/>
              <w:snapToGrid w:val="0"/>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机器维修保养液压油使用产生的废油桶S9和</w:t>
            </w:r>
            <w:r>
              <w:rPr>
                <w:rFonts w:hint="eastAsia" w:ascii="Times New Roman" w:hAnsi="Times New Roman" w:eastAsia="宋体" w:cs="Times New Roman"/>
                <w:b w:val="0"/>
                <w:bCs w:val="0"/>
                <w:color w:val="auto"/>
                <w:sz w:val="24"/>
                <w:szCs w:val="24"/>
                <w:highlight w:val="none"/>
                <w:lang w:val="en-US" w:eastAsia="zh-CN"/>
              </w:rPr>
              <w:t>废液压油S1</w:t>
            </w:r>
            <w:r>
              <w:rPr>
                <w:rFonts w:hint="eastAsia" w:cs="Times New Roman"/>
                <w:b w:val="0"/>
                <w:bCs w:val="0"/>
                <w:color w:val="auto"/>
                <w:sz w:val="24"/>
                <w:szCs w:val="24"/>
                <w:highlight w:val="none"/>
                <w:lang w:val="en-US" w:eastAsia="zh-CN"/>
              </w:rPr>
              <w:t>0；</w:t>
            </w:r>
          </w:p>
          <w:p w14:paraId="74D23EBC">
            <w:pPr>
              <w:adjustRightInd w:val="0"/>
              <w:snapToGrid w:val="0"/>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加工中心切削液过滤产生的废</w:t>
            </w:r>
            <w:r>
              <w:rPr>
                <w:rFonts w:hint="default" w:ascii="Times New Roman" w:hAnsi="Times New Roman" w:eastAsia="宋体" w:cs="Times New Roman"/>
                <w:b w:val="0"/>
                <w:bCs w:val="0"/>
                <w:color w:val="auto"/>
                <w:sz w:val="24"/>
                <w:szCs w:val="24"/>
                <w:highlight w:val="none"/>
                <w:lang w:val="en-US" w:eastAsia="zh-CN"/>
              </w:rPr>
              <w:t>过滤网S</w:t>
            </w:r>
            <w:r>
              <w:rPr>
                <w:rFonts w:hint="eastAsia" w:cs="Times New Roman"/>
                <w:b w:val="0"/>
                <w:bCs w:val="0"/>
                <w:color w:val="auto"/>
                <w:sz w:val="24"/>
                <w:szCs w:val="24"/>
                <w:highlight w:val="none"/>
                <w:lang w:val="en-US" w:eastAsia="zh-CN"/>
              </w:rPr>
              <w:t>11</w:t>
            </w:r>
            <w:r>
              <w:rPr>
                <w:rFonts w:hint="eastAsia" w:ascii="Times New Roman" w:hAnsi="Times New Roman" w:eastAsia="宋体" w:cs="Times New Roman"/>
                <w:b w:val="0"/>
                <w:bCs w:val="0"/>
                <w:color w:val="auto"/>
                <w:sz w:val="24"/>
                <w:szCs w:val="24"/>
                <w:highlight w:val="none"/>
                <w:lang w:val="en-US" w:eastAsia="zh-CN"/>
              </w:rPr>
              <w:t>；</w:t>
            </w:r>
          </w:p>
          <w:p w14:paraId="71EB96A6">
            <w:pPr>
              <w:adjustRightInd w:val="0"/>
              <w:snapToGrid w:val="0"/>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叉车电池更换产生的叉车废电瓶S12；</w:t>
            </w:r>
          </w:p>
          <w:p w14:paraId="29BE0597">
            <w:pPr>
              <w:adjustRightInd w:val="0"/>
              <w:snapToGrid w:val="0"/>
              <w:spacing w:line="360" w:lineRule="auto"/>
              <w:ind w:firstLine="480" w:firstLineChars="200"/>
              <w:rPr>
                <w:rFonts w:hint="default" w:eastAsia="宋体"/>
                <w:b/>
                <w:bCs/>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职工生活产生的生活垃圾S1</w:t>
            </w:r>
            <w:r>
              <w:rPr>
                <w:rFonts w:hint="eastAsia"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lang w:val="en-US" w:eastAsia="zh-CN"/>
              </w:rPr>
              <w:t>。</w:t>
            </w:r>
          </w:p>
          <w:p w14:paraId="62B285CE">
            <w:pPr>
              <w:adjustRightInd w:val="0"/>
              <w:snapToGrid w:val="0"/>
              <w:spacing w:line="360" w:lineRule="auto"/>
              <w:ind w:firstLine="482" w:firstLineChars="200"/>
              <w:rPr>
                <w:rFonts w:hint="eastAsia"/>
                <w:b/>
                <w:bCs/>
                <w:color w:val="auto"/>
                <w:sz w:val="24"/>
                <w:szCs w:val="24"/>
                <w:highlight w:val="none"/>
              </w:rPr>
            </w:pPr>
            <w:r>
              <w:rPr>
                <w:rFonts w:hint="eastAsia"/>
                <w:b/>
                <w:bCs/>
                <w:color w:val="auto"/>
                <w:sz w:val="24"/>
                <w:szCs w:val="24"/>
                <w:highlight w:val="none"/>
              </w:rPr>
              <w:t>产污环节汇总：</w:t>
            </w:r>
          </w:p>
          <w:p w14:paraId="5BF390AD">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主要产污环节和排污特征</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791"/>
              <w:gridCol w:w="1806"/>
              <w:gridCol w:w="2505"/>
              <w:gridCol w:w="3378"/>
            </w:tblGrid>
            <w:tr w14:paraId="6922C6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tcBorders>
                    <w:tl2br w:val="nil"/>
                    <w:tr2bl w:val="nil"/>
                  </w:tcBorders>
                  <w:vAlign w:val="center"/>
                </w:tcPr>
                <w:p w14:paraId="360F9478">
                  <w:pPr>
                    <w:pStyle w:val="29"/>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类别</w:t>
                  </w:r>
                </w:p>
              </w:tc>
              <w:tc>
                <w:tcPr>
                  <w:tcW w:w="427" w:type="pct"/>
                  <w:tcBorders>
                    <w:tl2br w:val="nil"/>
                    <w:tr2bl w:val="nil"/>
                  </w:tcBorders>
                  <w:vAlign w:val="center"/>
                </w:tcPr>
                <w:p w14:paraId="2C4525B5">
                  <w:pPr>
                    <w:pStyle w:val="29"/>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代码</w:t>
                  </w:r>
                </w:p>
              </w:tc>
              <w:tc>
                <w:tcPr>
                  <w:tcW w:w="975" w:type="pct"/>
                  <w:tcBorders>
                    <w:tl2br w:val="nil"/>
                    <w:tr2bl w:val="nil"/>
                  </w:tcBorders>
                  <w:vAlign w:val="center"/>
                </w:tcPr>
                <w:p w14:paraId="62677BFA">
                  <w:pPr>
                    <w:pStyle w:val="29"/>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产生工序</w:t>
                  </w:r>
                </w:p>
              </w:tc>
              <w:tc>
                <w:tcPr>
                  <w:tcW w:w="1352" w:type="pct"/>
                  <w:tcBorders>
                    <w:tl2br w:val="nil"/>
                    <w:tr2bl w:val="nil"/>
                  </w:tcBorders>
                  <w:vAlign w:val="center"/>
                </w:tcPr>
                <w:p w14:paraId="0A8E2BC5">
                  <w:pPr>
                    <w:pStyle w:val="29"/>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污染物</w:t>
                  </w:r>
                </w:p>
              </w:tc>
              <w:tc>
                <w:tcPr>
                  <w:tcW w:w="1823" w:type="pct"/>
                  <w:tcBorders>
                    <w:tl2br w:val="nil"/>
                    <w:tr2bl w:val="nil"/>
                  </w:tcBorders>
                  <w:vAlign w:val="center"/>
                </w:tcPr>
                <w:p w14:paraId="2F4A88D4">
                  <w:pPr>
                    <w:pStyle w:val="29"/>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污染治理措施</w:t>
                  </w:r>
                </w:p>
              </w:tc>
            </w:tr>
            <w:tr w14:paraId="378AD5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tcBorders>
                    <w:tl2br w:val="nil"/>
                    <w:tr2bl w:val="nil"/>
                  </w:tcBorders>
                  <w:vAlign w:val="center"/>
                </w:tcPr>
                <w:p w14:paraId="2BAD3B6B">
                  <w:pPr>
                    <w:pStyle w:val="29"/>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废气</w:t>
                  </w:r>
                </w:p>
              </w:tc>
              <w:tc>
                <w:tcPr>
                  <w:tcW w:w="427" w:type="pct"/>
                  <w:tcBorders>
                    <w:tl2br w:val="nil"/>
                    <w:tr2bl w:val="nil"/>
                  </w:tcBorders>
                  <w:vAlign w:val="center"/>
                </w:tcPr>
                <w:p w14:paraId="29A287B3">
                  <w:pPr>
                    <w:pStyle w:val="29"/>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G1</w:t>
                  </w:r>
                </w:p>
              </w:tc>
              <w:tc>
                <w:tcPr>
                  <w:tcW w:w="975" w:type="pct"/>
                  <w:tcBorders>
                    <w:tl2br w:val="nil"/>
                    <w:tr2bl w:val="nil"/>
                  </w:tcBorders>
                  <w:vAlign w:val="center"/>
                </w:tcPr>
                <w:p w14:paraId="13C98FC2">
                  <w:pPr>
                    <w:pStyle w:val="29"/>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机加工</w:t>
                  </w:r>
                </w:p>
              </w:tc>
              <w:tc>
                <w:tcPr>
                  <w:tcW w:w="1352" w:type="pct"/>
                  <w:tcBorders>
                    <w:tl2br w:val="nil"/>
                    <w:tr2bl w:val="nil"/>
                  </w:tcBorders>
                  <w:vAlign w:val="center"/>
                </w:tcPr>
                <w:p w14:paraId="19A5899D">
                  <w:pPr>
                    <w:pStyle w:val="29"/>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非甲烷总烃</w:t>
                  </w:r>
                </w:p>
              </w:tc>
              <w:tc>
                <w:tcPr>
                  <w:tcW w:w="1823" w:type="pct"/>
                  <w:tcBorders>
                    <w:tl2br w:val="nil"/>
                    <w:tr2bl w:val="nil"/>
                  </w:tcBorders>
                  <w:vAlign w:val="center"/>
                </w:tcPr>
                <w:p w14:paraId="236ACB14">
                  <w:pPr>
                    <w:pStyle w:val="29"/>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经设备自带油雾净化装置处理后无组织排放</w:t>
                  </w:r>
                </w:p>
              </w:tc>
            </w:tr>
            <w:tr w14:paraId="6350D0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tcBorders>
                    <w:tl2br w:val="nil"/>
                    <w:tr2bl w:val="nil"/>
                  </w:tcBorders>
                  <w:vAlign w:val="center"/>
                </w:tcPr>
                <w:p w14:paraId="67A01CC2">
                  <w:pPr>
                    <w:pStyle w:val="29"/>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废水</w:t>
                  </w:r>
                </w:p>
              </w:tc>
              <w:tc>
                <w:tcPr>
                  <w:tcW w:w="427" w:type="pct"/>
                  <w:tcBorders>
                    <w:tl2br w:val="nil"/>
                    <w:tr2bl w:val="nil"/>
                  </w:tcBorders>
                  <w:vAlign w:val="center"/>
                </w:tcPr>
                <w:p w14:paraId="439616D7">
                  <w:pPr>
                    <w:pStyle w:val="29"/>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w:t>
                  </w:r>
                </w:p>
              </w:tc>
              <w:tc>
                <w:tcPr>
                  <w:tcW w:w="975" w:type="pct"/>
                  <w:tcBorders>
                    <w:tl2br w:val="nil"/>
                    <w:tr2bl w:val="nil"/>
                  </w:tcBorders>
                  <w:vAlign w:val="center"/>
                </w:tcPr>
                <w:p w14:paraId="453773D8">
                  <w:pPr>
                    <w:pStyle w:val="29"/>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生活污水</w:t>
                  </w:r>
                </w:p>
              </w:tc>
              <w:tc>
                <w:tcPr>
                  <w:tcW w:w="1352" w:type="pct"/>
                  <w:tcBorders>
                    <w:tl2br w:val="nil"/>
                    <w:tr2bl w:val="nil"/>
                  </w:tcBorders>
                  <w:vAlign w:val="center"/>
                </w:tcPr>
                <w:p w14:paraId="6ED65124">
                  <w:pPr>
                    <w:pStyle w:val="29"/>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生活污水（pH、</w:t>
                  </w:r>
                  <w:r>
                    <w:rPr>
                      <w:rFonts w:hint="default" w:ascii="Times New Roman" w:hAnsi="Times New Roman" w:eastAsia="仿宋" w:cs="Times New Roman"/>
                      <w:color w:val="auto"/>
                      <w:sz w:val="21"/>
                      <w:szCs w:val="21"/>
                      <w:highlight w:val="none"/>
                    </w:rPr>
                    <w:t>COD、SS、NH</w:t>
                  </w:r>
                  <w:r>
                    <w:rPr>
                      <w:rFonts w:hint="default" w:ascii="Times New Roman" w:hAnsi="Times New Roman" w:eastAsia="仿宋" w:cs="Times New Roman"/>
                      <w:color w:val="auto"/>
                      <w:sz w:val="21"/>
                      <w:szCs w:val="21"/>
                      <w:highlight w:val="none"/>
                      <w:vertAlign w:val="subscript"/>
                    </w:rPr>
                    <w:t>3</w:t>
                  </w:r>
                  <w:r>
                    <w:rPr>
                      <w:rFonts w:hint="default" w:ascii="Times New Roman" w:hAnsi="Times New Roman" w:eastAsia="仿宋" w:cs="Times New Roman"/>
                      <w:color w:val="auto"/>
                      <w:sz w:val="21"/>
                      <w:szCs w:val="21"/>
                      <w:highlight w:val="none"/>
                    </w:rPr>
                    <w:t>-N、TP、TN</w:t>
                  </w:r>
                  <w:r>
                    <w:rPr>
                      <w:rFonts w:hint="default" w:ascii="Times New Roman" w:hAnsi="Times New Roman" w:eastAsia="仿宋" w:cs="Times New Roman"/>
                      <w:color w:val="auto"/>
                      <w:sz w:val="21"/>
                      <w:szCs w:val="21"/>
                      <w:highlight w:val="none"/>
                      <w:lang w:val="en-US" w:eastAsia="zh-CN"/>
                    </w:rPr>
                    <w:t>）</w:t>
                  </w:r>
                </w:p>
              </w:tc>
              <w:tc>
                <w:tcPr>
                  <w:tcW w:w="1823" w:type="pct"/>
                  <w:tcBorders>
                    <w:tl2br w:val="nil"/>
                    <w:tr2bl w:val="nil"/>
                  </w:tcBorders>
                  <w:vAlign w:val="center"/>
                </w:tcPr>
                <w:p w14:paraId="527464C0">
                  <w:pPr>
                    <w:pStyle w:val="29"/>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纳管</w:t>
                  </w:r>
                  <w:r>
                    <w:rPr>
                      <w:rFonts w:hint="default" w:ascii="Times New Roman" w:hAnsi="Times New Roman" w:eastAsia="仿宋" w:cs="Times New Roman"/>
                      <w:color w:val="auto"/>
                      <w:sz w:val="21"/>
                      <w:szCs w:val="21"/>
                      <w:highlight w:val="none"/>
                    </w:rPr>
                    <w:t>排入苏州市相润排水管理有限公司（</w:t>
                  </w:r>
                  <w:r>
                    <w:rPr>
                      <w:rFonts w:hint="eastAsia" w:eastAsia="仿宋" w:cs="Times New Roman"/>
                      <w:color w:val="auto"/>
                      <w:sz w:val="21"/>
                      <w:szCs w:val="21"/>
                      <w:highlight w:val="none"/>
                      <w:lang w:val="en-US" w:eastAsia="zh-CN"/>
                    </w:rPr>
                    <w:t>漕湖</w:t>
                  </w:r>
                  <w:r>
                    <w:rPr>
                      <w:rFonts w:hint="default" w:ascii="Times New Roman" w:hAnsi="Times New Roman" w:eastAsia="仿宋" w:cs="Times New Roman"/>
                      <w:color w:val="auto"/>
                      <w:sz w:val="21"/>
                      <w:szCs w:val="21"/>
                      <w:highlight w:val="none"/>
                    </w:rPr>
                    <w:t>污水处理厂）</w:t>
                  </w:r>
                </w:p>
              </w:tc>
            </w:tr>
            <w:tr w14:paraId="18337C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restart"/>
                  <w:tcBorders>
                    <w:tl2br w:val="nil"/>
                    <w:tr2bl w:val="nil"/>
                  </w:tcBorders>
                  <w:vAlign w:val="center"/>
                </w:tcPr>
                <w:p w14:paraId="7BBFC3E4">
                  <w:pPr>
                    <w:pStyle w:val="29"/>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固废</w:t>
                  </w:r>
                </w:p>
              </w:tc>
              <w:tc>
                <w:tcPr>
                  <w:tcW w:w="427" w:type="pct"/>
                  <w:tcBorders>
                    <w:tl2br w:val="nil"/>
                    <w:tr2bl w:val="nil"/>
                  </w:tcBorders>
                  <w:vAlign w:val="center"/>
                </w:tcPr>
                <w:p w14:paraId="21435948">
                  <w:pPr>
                    <w:pStyle w:val="29"/>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S1</w:t>
                  </w:r>
                </w:p>
              </w:tc>
              <w:tc>
                <w:tcPr>
                  <w:tcW w:w="975" w:type="pct"/>
                  <w:tcBorders>
                    <w:tl2br w:val="nil"/>
                    <w:tr2bl w:val="nil"/>
                  </w:tcBorders>
                  <w:vAlign w:val="center"/>
                </w:tcPr>
                <w:p w14:paraId="54A4FEB1">
                  <w:pPr>
                    <w:pStyle w:val="29"/>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来料检验</w:t>
                  </w:r>
                </w:p>
              </w:tc>
              <w:tc>
                <w:tcPr>
                  <w:tcW w:w="1352" w:type="pct"/>
                  <w:tcBorders>
                    <w:tl2br w:val="nil"/>
                    <w:tr2bl w:val="nil"/>
                  </w:tcBorders>
                  <w:vAlign w:val="center"/>
                </w:tcPr>
                <w:p w14:paraId="395FE0B6">
                  <w:pPr>
                    <w:pStyle w:val="29"/>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不合格品</w:t>
                  </w:r>
                </w:p>
              </w:tc>
              <w:tc>
                <w:tcPr>
                  <w:tcW w:w="1823" w:type="pct"/>
                  <w:tcBorders>
                    <w:tl2br w:val="nil"/>
                    <w:tr2bl w:val="nil"/>
                  </w:tcBorders>
                  <w:vAlign w:val="center"/>
                </w:tcPr>
                <w:p w14:paraId="15641971">
                  <w:pPr>
                    <w:pStyle w:val="29"/>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外售</w:t>
                  </w:r>
                </w:p>
              </w:tc>
            </w:tr>
            <w:tr w14:paraId="6E4E68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38FB34A1">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vAlign w:val="center"/>
                </w:tcPr>
                <w:p w14:paraId="48D28ABC">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S2</w:t>
                  </w:r>
                </w:p>
              </w:tc>
              <w:tc>
                <w:tcPr>
                  <w:tcW w:w="975" w:type="pct"/>
                  <w:tcBorders>
                    <w:tl2br w:val="nil"/>
                    <w:tr2bl w:val="nil"/>
                  </w:tcBorders>
                  <w:vAlign w:val="center"/>
                </w:tcPr>
                <w:p w14:paraId="7F6AED2F">
                  <w:pPr>
                    <w:pStyle w:val="29"/>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机加工</w:t>
                  </w:r>
                </w:p>
              </w:tc>
              <w:tc>
                <w:tcPr>
                  <w:tcW w:w="1352" w:type="pct"/>
                  <w:tcBorders>
                    <w:tl2br w:val="nil"/>
                    <w:tr2bl w:val="nil"/>
                  </w:tcBorders>
                  <w:vAlign w:val="center"/>
                </w:tcPr>
                <w:p w14:paraId="447F75E7">
                  <w:pPr>
                    <w:pStyle w:val="29"/>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沾染切削液的废金属屑</w:t>
                  </w:r>
                </w:p>
              </w:tc>
              <w:tc>
                <w:tcPr>
                  <w:tcW w:w="1823" w:type="pct"/>
                  <w:tcBorders>
                    <w:tl2br w:val="nil"/>
                    <w:tr2bl w:val="nil"/>
                  </w:tcBorders>
                  <w:vAlign w:val="center"/>
                </w:tcPr>
                <w:p w14:paraId="334D5D99">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委托有资质单位处置</w:t>
                  </w:r>
                </w:p>
              </w:tc>
            </w:tr>
            <w:tr w14:paraId="3E1CF1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22A586DB">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vAlign w:val="center"/>
                </w:tcPr>
                <w:p w14:paraId="2146F27D">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S3</w:t>
                  </w:r>
                </w:p>
              </w:tc>
              <w:tc>
                <w:tcPr>
                  <w:tcW w:w="975" w:type="pct"/>
                  <w:tcBorders>
                    <w:tl2br w:val="nil"/>
                    <w:tr2bl w:val="nil"/>
                  </w:tcBorders>
                  <w:vAlign w:val="center"/>
                </w:tcPr>
                <w:p w14:paraId="087E5920">
                  <w:pPr>
                    <w:pStyle w:val="29"/>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机加工</w:t>
                  </w:r>
                </w:p>
              </w:tc>
              <w:tc>
                <w:tcPr>
                  <w:tcW w:w="1352" w:type="pct"/>
                  <w:tcBorders>
                    <w:tl2br w:val="nil"/>
                    <w:tr2bl w:val="nil"/>
                  </w:tcBorders>
                  <w:vAlign w:val="center"/>
                </w:tcPr>
                <w:p w14:paraId="0B3B9A63">
                  <w:pPr>
                    <w:pStyle w:val="29"/>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废切削液</w:t>
                  </w:r>
                </w:p>
              </w:tc>
              <w:tc>
                <w:tcPr>
                  <w:tcW w:w="1823" w:type="pct"/>
                  <w:tcBorders>
                    <w:tl2br w:val="nil"/>
                    <w:tr2bl w:val="nil"/>
                  </w:tcBorders>
                  <w:vAlign w:val="center"/>
                </w:tcPr>
                <w:p w14:paraId="634EA509">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委托有资质单位处置</w:t>
                  </w:r>
                </w:p>
              </w:tc>
            </w:tr>
            <w:tr w14:paraId="71803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7E1B9136">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vAlign w:val="center"/>
                </w:tcPr>
                <w:p w14:paraId="3F9212A0">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S4</w:t>
                  </w:r>
                </w:p>
              </w:tc>
              <w:tc>
                <w:tcPr>
                  <w:tcW w:w="975" w:type="pct"/>
                  <w:tcBorders>
                    <w:tl2br w:val="nil"/>
                    <w:tr2bl w:val="nil"/>
                  </w:tcBorders>
                  <w:vAlign w:val="center"/>
                </w:tcPr>
                <w:p w14:paraId="45BCE5A9">
                  <w:pPr>
                    <w:pStyle w:val="29"/>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湿式去毛刺</w:t>
                  </w:r>
                </w:p>
              </w:tc>
              <w:tc>
                <w:tcPr>
                  <w:tcW w:w="1352" w:type="pct"/>
                  <w:tcBorders>
                    <w:tl2br w:val="nil"/>
                    <w:tr2bl w:val="nil"/>
                  </w:tcBorders>
                  <w:vAlign w:val="center"/>
                </w:tcPr>
                <w:p w14:paraId="5224C6F3">
                  <w:pPr>
                    <w:pStyle w:val="29"/>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废渣</w:t>
                  </w:r>
                </w:p>
              </w:tc>
              <w:tc>
                <w:tcPr>
                  <w:tcW w:w="1823" w:type="pct"/>
                  <w:tcBorders>
                    <w:tl2br w:val="nil"/>
                    <w:tr2bl w:val="nil"/>
                  </w:tcBorders>
                  <w:vAlign w:val="center"/>
                </w:tcPr>
                <w:p w14:paraId="63755D97">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外售</w:t>
                  </w:r>
                </w:p>
              </w:tc>
            </w:tr>
            <w:tr w14:paraId="58E405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4682A140">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shd w:val="clear" w:color="auto" w:fill="auto"/>
                  <w:vAlign w:val="center"/>
                </w:tcPr>
                <w:p w14:paraId="75D70DA0">
                  <w:pPr>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bidi="ar-SA"/>
                    </w:rPr>
                    <w:t>S</w:t>
                  </w:r>
                  <w:r>
                    <w:rPr>
                      <w:rFonts w:hint="eastAsia" w:eastAsia="仿宋" w:cs="Times New Roman"/>
                      <w:color w:val="auto"/>
                      <w:kern w:val="0"/>
                      <w:sz w:val="21"/>
                      <w:szCs w:val="21"/>
                      <w:highlight w:val="none"/>
                      <w:lang w:val="en-US" w:eastAsia="zh-CN" w:bidi="ar-SA"/>
                    </w:rPr>
                    <w:t>5</w:t>
                  </w:r>
                </w:p>
              </w:tc>
              <w:tc>
                <w:tcPr>
                  <w:tcW w:w="975" w:type="pct"/>
                  <w:vMerge w:val="restart"/>
                  <w:tcBorders>
                    <w:tl2br w:val="nil"/>
                    <w:tr2bl w:val="nil"/>
                  </w:tcBorders>
                  <w:shd w:val="clear" w:color="auto" w:fill="auto"/>
                  <w:vAlign w:val="center"/>
                </w:tcPr>
                <w:p w14:paraId="3700C5BD">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过程</w:t>
                  </w:r>
                  <w:r>
                    <w:rPr>
                      <w:rFonts w:hint="default" w:ascii="Times New Roman" w:hAnsi="Times New Roman" w:eastAsia="仿宋" w:cs="Times New Roman"/>
                      <w:color w:val="auto"/>
                      <w:kern w:val="0"/>
                      <w:sz w:val="21"/>
                      <w:szCs w:val="21"/>
                      <w:highlight w:val="none"/>
                      <w:lang w:val="en-US" w:eastAsia="zh-CN" w:bidi="ar-SA"/>
                    </w:rPr>
                    <w:t>检验</w:t>
                  </w:r>
                </w:p>
              </w:tc>
              <w:tc>
                <w:tcPr>
                  <w:tcW w:w="1352" w:type="pct"/>
                  <w:tcBorders>
                    <w:tl2br w:val="nil"/>
                    <w:tr2bl w:val="nil"/>
                  </w:tcBorders>
                  <w:shd w:val="clear" w:color="auto" w:fill="auto"/>
                  <w:vAlign w:val="center"/>
                </w:tcPr>
                <w:p w14:paraId="7CCDD2F7">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废无尘纸</w:t>
                  </w:r>
                </w:p>
              </w:tc>
              <w:tc>
                <w:tcPr>
                  <w:tcW w:w="1823" w:type="pct"/>
                  <w:tcBorders>
                    <w:tl2br w:val="nil"/>
                    <w:tr2bl w:val="nil"/>
                  </w:tcBorders>
                  <w:vAlign w:val="center"/>
                </w:tcPr>
                <w:p w14:paraId="7239BC3E">
                  <w:pPr>
                    <w:jc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eastAsia="zh-CN"/>
                    </w:rPr>
                    <w:t>委托有资质单位处置</w:t>
                  </w:r>
                </w:p>
              </w:tc>
            </w:tr>
            <w:tr w14:paraId="03ED3D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71DB6480">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shd w:val="clear" w:color="auto" w:fill="auto"/>
                  <w:vAlign w:val="center"/>
                </w:tcPr>
                <w:p w14:paraId="641CA330">
                  <w:pPr>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S</w:t>
                  </w:r>
                  <w:r>
                    <w:rPr>
                      <w:rFonts w:hint="eastAsia" w:eastAsia="仿宋" w:cs="Times New Roman"/>
                      <w:color w:val="auto"/>
                      <w:sz w:val="21"/>
                      <w:szCs w:val="21"/>
                      <w:highlight w:val="none"/>
                      <w:lang w:val="en-US" w:eastAsia="zh-CN"/>
                    </w:rPr>
                    <w:t>6</w:t>
                  </w:r>
                </w:p>
              </w:tc>
              <w:tc>
                <w:tcPr>
                  <w:tcW w:w="975" w:type="pct"/>
                  <w:vMerge w:val="continue"/>
                  <w:tcBorders>
                    <w:tl2br w:val="nil"/>
                    <w:tr2bl w:val="nil"/>
                  </w:tcBorders>
                  <w:shd w:val="clear" w:color="auto" w:fill="auto"/>
                  <w:vAlign w:val="center"/>
                </w:tcPr>
                <w:p w14:paraId="65B02C6F">
                  <w:pPr>
                    <w:pStyle w:val="29"/>
                    <w:jc w:val="center"/>
                    <w:rPr>
                      <w:rFonts w:hint="default" w:ascii="Times New Roman" w:hAnsi="Times New Roman" w:eastAsia="仿宋" w:cs="Times New Roman"/>
                      <w:color w:val="auto"/>
                      <w:kern w:val="0"/>
                      <w:sz w:val="21"/>
                      <w:szCs w:val="21"/>
                      <w:highlight w:val="none"/>
                      <w:lang w:val="en-US" w:eastAsia="zh-CN" w:bidi="ar-SA"/>
                    </w:rPr>
                  </w:pPr>
                </w:p>
              </w:tc>
              <w:tc>
                <w:tcPr>
                  <w:tcW w:w="1352" w:type="pct"/>
                  <w:tcBorders>
                    <w:tl2br w:val="nil"/>
                    <w:tr2bl w:val="nil"/>
                  </w:tcBorders>
                  <w:shd w:val="clear" w:color="auto" w:fill="auto"/>
                  <w:vAlign w:val="center"/>
                </w:tcPr>
                <w:p w14:paraId="742AF664">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不合格品</w:t>
                  </w:r>
                </w:p>
              </w:tc>
              <w:tc>
                <w:tcPr>
                  <w:tcW w:w="1823" w:type="pct"/>
                  <w:tcBorders>
                    <w:tl2br w:val="nil"/>
                    <w:tr2bl w:val="nil"/>
                  </w:tcBorders>
                  <w:vAlign w:val="center"/>
                </w:tcPr>
                <w:p w14:paraId="21D310BC">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外售</w:t>
                  </w:r>
                </w:p>
              </w:tc>
            </w:tr>
            <w:tr w14:paraId="695265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3C5E3D5D">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shd w:val="clear" w:color="auto" w:fill="auto"/>
                  <w:vAlign w:val="center"/>
                </w:tcPr>
                <w:p w14:paraId="3A9209A7">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S</w:t>
                  </w:r>
                  <w:r>
                    <w:rPr>
                      <w:rFonts w:hint="eastAsia" w:eastAsia="仿宋" w:cs="Times New Roman"/>
                      <w:color w:val="auto"/>
                      <w:sz w:val="21"/>
                      <w:szCs w:val="21"/>
                      <w:highlight w:val="none"/>
                      <w:lang w:val="en-US" w:eastAsia="zh-CN"/>
                    </w:rPr>
                    <w:t>7</w:t>
                  </w:r>
                </w:p>
              </w:tc>
              <w:tc>
                <w:tcPr>
                  <w:tcW w:w="975" w:type="pct"/>
                  <w:tcBorders>
                    <w:tl2br w:val="nil"/>
                    <w:tr2bl w:val="nil"/>
                  </w:tcBorders>
                  <w:vAlign w:val="center"/>
                </w:tcPr>
                <w:p w14:paraId="14173B96">
                  <w:pPr>
                    <w:pStyle w:val="29"/>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拆包</w:t>
                  </w:r>
                </w:p>
              </w:tc>
              <w:tc>
                <w:tcPr>
                  <w:tcW w:w="1352" w:type="pct"/>
                  <w:tcBorders>
                    <w:tl2br w:val="nil"/>
                    <w:tr2bl w:val="nil"/>
                  </w:tcBorders>
                  <w:shd w:val="clear" w:color="auto" w:fill="auto"/>
                  <w:vAlign w:val="center"/>
                </w:tcPr>
                <w:p w14:paraId="064A5F4C">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bidi="ar-SA"/>
                    </w:rPr>
                    <w:t>废包装材料</w:t>
                  </w:r>
                </w:p>
              </w:tc>
              <w:tc>
                <w:tcPr>
                  <w:tcW w:w="1823" w:type="pct"/>
                  <w:tcBorders>
                    <w:tl2br w:val="nil"/>
                    <w:tr2bl w:val="nil"/>
                  </w:tcBorders>
                  <w:vAlign w:val="center"/>
                </w:tcPr>
                <w:p w14:paraId="284BEE96">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外售</w:t>
                  </w:r>
                </w:p>
              </w:tc>
            </w:tr>
            <w:tr w14:paraId="6FC4DA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36F586AC">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shd w:val="clear" w:color="auto" w:fill="auto"/>
                  <w:vAlign w:val="center"/>
                </w:tcPr>
                <w:p w14:paraId="31DF68CE">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S8</w:t>
                  </w:r>
                </w:p>
              </w:tc>
              <w:tc>
                <w:tcPr>
                  <w:tcW w:w="975" w:type="pct"/>
                  <w:tcBorders>
                    <w:tl2br w:val="nil"/>
                    <w:tr2bl w:val="nil"/>
                  </w:tcBorders>
                  <w:shd w:val="clear" w:color="auto" w:fill="auto"/>
                  <w:vAlign w:val="center"/>
                </w:tcPr>
                <w:p w14:paraId="04D8265C">
                  <w:pPr>
                    <w:pStyle w:val="29"/>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机加工</w:t>
                  </w:r>
                </w:p>
              </w:tc>
              <w:tc>
                <w:tcPr>
                  <w:tcW w:w="1352" w:type="pct"/>
                  <w:tcBorders>
                    <w:tl2br w:val="nil"/>
                    <w:tr2bl w:val="nil"/>
                  </w:tcBorders>
                  <w:shd w:val="clear" w:color="auto" w:fill="auto"/>
                  <w:vAlign w:val="center"/>
                </w:tcPr>
                <w:p w14:paraId="02D9A0CA">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废包装桶</w:t>
                  </w:r>
                </w:p>
              </w:tc>
              <w:tc>
                <w:tcPr>
                  <w:tcW w:w="1823" w:type="pct"/>
                  <w:tcBorders>
                    <w:tl2br w:val="nil"/>
                    <w:tr2bl w:val="nil"/>
                  </w:tcBorders>
                  <w:shd w:val="clear" w:color="auto" w:fill="auto"/>
                  <w:vAlign w:val="center"/>
                </w:tcPr>
                <w:p w14:paraId="247B13C8">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委托有资质单位处置</w:t>
                  </w:r>
                </w:p>
              </w:tc>
            </w:tr>
            <w:tr w14:paraId="789A13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6CCC0AC3">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shd w:val="clear" w:color="auto" w:fill="auto"/>
                  <w:vAlign w:val="center"/>
                </w:tcPr>
                <w:p w14:paraId="02BDB68C">
                  <w:pPr>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S9</w:t>
                  </w:r>
                </w:p>
              </w:tc>
              <w:tc>
                <w:tcPr>
                  <w:tcW w:w="975" w:type="pct"/>
                  <w:tcBorders>
                    <w:tl2br w:val="nil"/>
                    <w:tr2bl w:val="nil"/>
                  </w:tcBorders>
                  <w:shd w:val="clear" w:color="auto" w:fill="auto"/>
                  <w:vAlign w:val="center"/>
                </w:tcPr>
                <w:p w14:paraId="2A15D873">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sz w:val="21"/>
                      <w:szCs w:val="21"/>
                      <w:highlight w:val="none"/>
                      <w:lang w:val="en-US" w:eastAsia="zh-CN"/>
                    </w:rPr>
                    <w:t>机器维修保养</w:t>
                  </w:r>
                </w:p>
              </w:tc>
              <w:tc>
                <w:tcPr>
                  <w:tcW w:w="1352" w:type="pct"/>
                  <w:tcBorders>
                    <w:tl2br w:val="nil"/>
                    <w:tr2bl w:val="nil"/>
                  </w:tcBorders>
                  <w:shd w:val="clear" w:color="auto" w:fill="auto"/>
                  <w:vAlign w:val="center"/>
                </w:tcPr>
                <w:p w14:paraId="136E9A43">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bidi="ar-SA"/>
                    </w:rPr>
                    <w:t>废</w:t>
                  </w:r>
                  <w:r>
                    <w:rPr>
                      <w:rFonts w:hint="eastAsia" w:eastAsia="仿宋" w:cs="Times New Roman"/>
                      <w:color w:val="auto"/>
                      <w:kern w:val="0"/>
                      <w:sz w:val="21"/>
                      <w:szCs w:val="21"/>
                      <w:highlight w:val="none"/>
                      <w:lang w:val="en-US" w:eastAsia="zh-CN" w:bidi="ar-SA"/>
                    </w:rPr>
                    <w:t>油</w:t>
                  </w:r>
                  <w:r>
                    <w:rPr>
                      <w:rFonts w:hint="default" w:ascii="Times New Roman" w:hAnsi="Times New Roman" w:eastAsia="仿宋" w:cs="Times New Roman"/>
                      <w:color w:val="auto"/>
                      <w:kern w:val="0"/>
                      <w:sz w:val="21"/>
                      <w:szCs w:val="21"/>
                      <w:highlight w:val="none"/>
                      <w:lang w:val="en-US" w:eastAsia="zh-CN" w:bidi="ar-SA"/>
                    </w:rPr>
                    <w:t>桶</w:t>
                  </w:r>
                </w:p>
              </w:tc>
              <w:tc>
                <w:tcPr>
                  <w:tcW w:w="1823" w:type="pct"/>
                  <w:tcBorders>
                    <w:tl2br w:val="nil"/>
                    <w:tr2bl w:val="nil"/>
                  </w:tcBorders>
                  <w:shd w:val="clear" w:color="auto" w:fill="auto"/>
                  <w:vAlign w:val="center"/>
                </w:tcPr>
                <w:p w14:paraId="2B83EF20">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委托有资质单位处置</w:t>
                  </w:r>
                </w:p>
              </w:tc>
            </w:tr>
            <w:tr w14:paraId="24B4B4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13F49188">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shd w:val="clear" w:color="auto" w:fill="auto"/>
                  <w:vAlign w:val="center"/>
                </w:tcPr>
                <w:p w14:paraId="1E7D68BB">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S10</w:t>
                  </w:r>
                </w:p>
              </w:tc>
              <w:tc>
                <w:tcPr>
                  <w:tcW w:w="975" w:type="pct"/>
                  <w:tcBorders>
                    <w:tl2br w:val="nil"/>
                    <w:tr2bl w:val="nil"/>
                  </w:tcBorders>
                  <w:shd w:val="clear" w:color="auto" w:fill="auto"/>
                  <w:vAlign w:val="center"/>
                </w:tcPr>
                <w:p w14:paraId="387826A3">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sz w:val="21"/>
                      <w:szCs w:val="21"/>
                      <w:highlight w:val="none"/>
                      <w:lang w:val="en-US" w:eastAsia="zh-CN"/>
                    </w:rPr>
                    <w:t>机器维修保养</w:t>
                  </w:r>
                </w:p>
              </w:tc>
              <w:tc>
                <w:tcPr>
                  <w:tcW w:w="1352" w:type="pct"/>
                  <w:tcBorders>
                    <w:tl2br w:val="nil"/>
                    <w:tr2bl w:val="nil"/>
                  </w:tcBorders>
                  <w:shd w:val="clear" w:color="auto" w:fill="auto"/>
                  <w:vAlign w:val="center"/>
                </w:tcPr>
                <w:p w14:paraId="793E7EB9">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bidi="ar-SA"/>
                    </w:rPr>
                    <w:t>废</w:t>
                  </w:r>
                  <w:r>
                    <w:rPr>
                      <w:rFonts w:hint="eastAsia" w:eastAsia="仿宋" w:cs="Times New Roman"/>
                      <w:color w:val="auto"/>
                      <w:kern w:val="0"/>
                      <w:sz w:val="21"/>
                      <w:szCs w:val="21"/>
                      <w:highlight w:val="none"/>
                      <w:lang w:val="en-US" w:eastAsia="zh-CN" w:bidi="ar-SA"/>
                    </w:rPr>
                    <w:t>液压油</w:t>
                  </w:r>
                </w:p>
              </w:tc>
              <w:tc>
                <w:tcPr>
                  <w:tcW w:w="1823" w:type="pct"/>
                  <w:tcBorders>
                    <w:tl2br w:val="nil"/>
                    <w:tr2bl w:val="nil"/>
                  </w:tcBorders>
                  <w:shd w:val="clear" w:color="auto" w:fill="auto"/>
                  <w:vAlign w:val="center"/>
                </w:tcPr>
                <w:p w14:paraId="010F3F4B">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委托有资质单位处置</w:t>
                  </w:r>
                </w:p>
              </w:tc>
            </w:tr>
            <w:tr w14:paraId="4D172F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4EAA2186">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shd w:val="clear" w:color="auto" w:fill="auto"/>
                  <w:vAlign w:val="center"/>
                </w:tcPr>
                <w:p w14:paraId="4BB33442">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S11</w:t>
                  </w:r>
                </w:p>
              </w:tc>
              <w:tc>
                <w:tcPr>
                  <w:tcW w:w="975" w:type="pct"/>
                  <w:tcBorders>
                    <w:tl2br w:val="nil"/>
                    <w:tr2bl w:val="nil"/>
                  </w:tcBorders>
                  <w:shd w:val="clear" w:color="auto" w:fill="auto"/>
                  <w:vAlign w:val="center"/>
                </w:tcPr>
                <w:p w14:paraId="78BC136E">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机加工</w:t>
                  </w:r>
                </w:p>
              </w:tc>
              <w:tc>
                <w:tcPr>
                  <w:tcW w:w="1352" w:type="pct"/>
                  <w:tcBorders>
                    <w:tl2br w:val="nil"/>
                    <w:tr2bl w:val="nil"/>
                  </w:tcBorders>
                  <w:shd w:val="clear" w:color="auto" w:fill="auto"/>
                  <w:vAlign w:val="center"/>
                </w:tcPr>
                <w:p w14:paraId="2578E3C3">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bidi="ar-SA"/>
                    </w:rPr>
                    <w:t>废</w:t>
                  </w:r>
                  <w:r>
                    <w:rPr>
                      <w:rFonts w:hint="eastAsia" w:eastAsia="仿宋" w:cs="Times New Roman"/>
                      <w:color w:val="auto"/>
                      <w:kern w:val="0"/>
                      <w:sz w:val="21"/>
                      <w:szCs w:val="21"/>
                      <w:highlight w:val="none"/>
                      <w:lang w:val="en-US" w:eastAsia="zh-CN" w:bidi="ar-SA"/>
                    </w:rPr>
                    <w:t>过滤网</w:t>
                  </w:r>
                </w:p>
              </w:tc>
              <w:tc>
                <w:tcPr>
                  <w:tcW w:w="1823" w:type="pct"/>
                  <w:tcBorders>
                    <w:tl2br w:val="nil"/>
                    <w:tr2bl w:val="nil"/>
                  </w:tcBorders>
                  <w:shd w:val="clear" w:color="auto" w:fill="auto"/>
                  <w:vAlign w:val="center"/>
                </w:tcPr>
                <w:p w14:paraId="0EFDFA0F">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委托有资质单位处置</w:t>
                  </w:r>
                </w:p>
              </w:tc>
            </w:tr>
            <w:tr w14:paraId="7003EB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579DC2D4">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shd w:val="clear" w:color="auto" w:fill="auto"/>
                  <w:vAlign w:val="center"/>
                </w:tcPr>
                <w:p w14:paraId="61EF1DEB">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S12</w:t>
                  </w:r>
                </w:p>
              </w:tc>
              <w:tc>
                <w:tcPr>
                  <w:tcW w:w="975" w:type="pct"/>
                  <w:tcBorders>
                    <w:tl2br w:val="nil"/>
                    <w:tr2bl w:val="nil"/>
                  </w:tcBorders>
                  <w:shd w:val="clear" w:color="auto" w:fill="auto"/>
                  <w:vAlign w:val="center"/>
                </w:tcPr>
                <w:p w14:paraId="4DACDD14">
                  <w:pPr>
                    <w:pStyle w:val="29"/>
                    <w:jc w:val="center"/>
                    <w:rPr>
                      <w:rFonts w:hint="default"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锂电池叉车</w:t>
                  </w:r>
                </w:p>
              </w:tc>
              <w:tc>
                <w:tcPr>
                  <w:tcW w:w="1352" w:type="pct"/>
                  <w:tcBorders>
                    <w:tl2br w:val="nil"/>
                    <w:tr2bl w:val="nil"/>
                  </w:tcBorders>
                  <w:shd w:val="clear" w:color="auto" w:fill="auto"/>
                  <w:vAlign w:val="center"/>
                </w:tcPr>
                <w:p w14:paraId="4596EC49">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叉车废电瓶</w:t>
                  </w:r>
                </w:p>
              </w:tc>
              <w:tc>
                <w:tcPr>
                  <w:tcW w:w="1823" w:type="pct"/>
                  <w:tcBorders>
                    <w:tl2br w:val="nil"/>
                    <w:tr2bl w:val="nil"/>
                  </w:tcBorders>
                  <w:shd w:val="clear" w:color="auto" w:fill="auto"/>
                  <w:vAlign w:val="center"/>
                </w:tcPr>
                <w:p w14:paraId="711DF6CF">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外售</w:t>
                  </w:r>
                </w:p>
              </w:tc>
            </w:tr>
            <w:tr w14:paraId="58E2A2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vAlign w:val="center"/>
                </w:tcPr>
                <w:p w14:paraId="30590CCD">
                  <w:pPr>
                    <w:pStyle w:val="29"/>
                    <w:jc w:val="center"/>
                    <w:rPr>
                      <w:rFonts w:hint="default" w:ascii="Times New Roman" w:hAnsi="Times New Roman" w:eastAsia="仿宋" w:cs="Times New Roman"/>
                      <w:color w:val="auto"/>
                      <w:sz w:val="21"/>
                      <w:szCs w:val="21"/>
                      <w:highlight w:val="none"/>
                    </w:rPr>
                  </w:pPr>
                </w:p>
              </w:tc>
              <w:tc>
                <w:tcPr>
                  <w:tcW w:w="427" w:type="pct"/>
                  <w:tcBorders>
                    <w:tl2br w:val="nil"/>
                    <w:tr2bl w:val="nil"/>
                  </w:tcBorders>
                  <w:shd w:val="clear" w:color="auto" w:fill="auto"/>
                  <w:vAlign w:val="center"/>
                </w:tcPr>
                <w:p w14:paraId="31420EB0">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S1</w:t>
                  </w:r>
                  <w:r>
                    <w:rPr>
                      <w:rFonts w:hint="eastAsia" w:eastAsia="仿宋" w:cs="Times New Roman"/>
                      <w:color w:val="auto"/>
                      <w:sz w:val="21"/>
                      <w:szCs w:val="21"/>
                      <w:highlight w:val="none"/>
                      <w:lang w:val="en-US" w:eastAsia="zh-CN"/>
                    </w:rPr>
                    <w:t>3</w:t>
                  </w:r>
                </w:p>
              </w:tc>
              <w:tc>
                <w:tcPr>
                  <w:tcW w:w="975" w:type="pct"/>
                  <w:tcBorders>
                    <w:tl2br w:val="nil"/>
                    <w:tr2bl w:val="nil"/>
                  </w:tcBorders>
                  <w:shd w:val="clear" w:color="auto" w:fill="auto"/>
                  <w:vAlign w:val="center"/>
                </w:tcPr>
                <w:p w14:paraId="08E5AB4A">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rPr>
                    <w:t>职工生活</w:t>
                  </w:r>
                </w:p>
              </w:tc>
              <w:tc>
                <w:tcPr>
                  <w:tcW w:w="1352" w:type="pct"/>
                  <w:tcBorders>
                    <w:tl2br w:val="nil"/>
                    <w:tr2bl w:val="nil"/>
                  </w:tcBorders>
                  <w:shd w:val="clear" w:color="auto" w:fill="auto"/>
                  <w:vAlign w:val="center"/>
                </w:tcPr>
                <w:p w14:paraId="0F57E836">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rPr>
                    <w:t>生活垃圾</w:t>
                  </w:r>
                </w:p>
              </w:tc>
              <w:tc>
                <w:tcPr>
                  <w:tcW w:w="1823" w:type="pct"/>
                  <w:tcBorders>
                    <w:tl2br w:val="nil"/>
                    <w:tr2bl w:val="nil"/>
                  </w:tcBorders>
                  <w:shd w:val="clear" w:color="auto" w:fill="auto"/>
                  <w:vAlign w:val="center"/>
                </w:tcPr>
                <w:p w14:paraId="193D016F">
                  <w:pPr>
                    <w:pStyle w:val="29"/>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rPr>
                    <w:t>环卫清运</w:t>
                  </w:r>
                </w:p>
              </w:tc>
            </w:tr>
            <w:tr w14:paraId="27C2D7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tcBorders>
                    <w:tl2br w:val="nil"/>
                    <w:tr2bl w:val="nil"/>
                  </w:tcBorders>
                  <w:vAlign w:val="center"/>
                </w:tcPr>
                <w:p w14:paraId="106B799C">
                  <w:pPr>
                    <w:pStyle w:val="29"/>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噪声</w:t>
                  </w:r>
                </w:p>
              </w:tc>
              <w:tc>
                <w:tcPr>
                  <w:tcW w:w="427" w:type="pct"/>
                  <w:tcBorders>
                    <w:tl2br w:val="nil"/>
                    <w:tr2bl w:val="nil"/>
                  </w:tcBorders>
                  <w:vAlign w:val="center"/>
                </w:tcPr>
                <w:p w14:paraId="23E9D7EB">
                  <w:pPr>
                    <w:pStyle w:val="29"/>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N</w:t>
                  </w:r>
                </w:p>
              </w:tc>
              <w:tc>
                <w:tcPr>
                  <w:tcW w:w="975" w:type="pct"/>
                  <w:tcBorders>
                    <w:tl2br w:val="nil"/>
                    <w:tr2bl w:val="nil"/>
                  </w:tcBorders>
                  <w:vAlign w:val="center"/>
                </w:tcPr>
                <w:p w14:paraId="5C3FF075">
                  <w:pPr>
                    <w:pStyle w:val="29"/>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运营期</w:t>
                  </w:r>
                  <w:r>
                    <w:rPr>
                      <w:rFonts w:hint="default" w:ascii="Times New Roman" w:hAnsi="Times New Roman" w:eastAsia="仿宋" w:cs="Times New Roman"/>
                      <w:color w:val="auto"/>
                      <w:sz w:val="21"/>
                      <w:szCs w:val="21"/>
                      <w:highlight w:val="none"/>
                      <w:lang w:val="en-US" w:eastAsia="zh-CN"/>
                    </w:rPr>
                    <w:t>设备运行</w:t>
                  </w:r>
                </w:p>
              </w:tc>
              <w:tc>
                <w:tcPr>
                  <w:tcW w:w="1352" w:type="pct"/>
                  <w:tcBorders>
                    <w:tl2br w:val="nil"/>
                    <w:tr2bl w:val="nil"/>
                  </w:tcBorders>
                  <w:vAlign w:val="center"/>
                </w:tcPr>
                <w:p w14:paraId="01C55AFE">
                  <w:pPr>
                    <w:pStyle w:val="29"/>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等效连续噪声A声级</w:t>
                  </w:r>
                </w:p>
              </w:tc>
              <w:tc>
                <w:tcPr>
                  <w:tcW w:w="1823" w:type="pct"/>
                  <w:tcBorders>
                    <w:tl2br w:val="nil"/>
                    <w:tr2bl w:val="nil"/>
                  </w:tcBorders>
                  <w:vAlign w:val="center"/>
                </w:tcPr>
                <w:p w14:paraId="68F3CC6D">
                  <w:pPr>
                    <w:pStyle w:val="29"/>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选用低噪声设备、减振、隔声</w:t>
                  </w:r>
                  <w:r>
                    <w:rPr>
                      <w:rFonts w:hint="default" w:ascii="Times New Roman" w:hAnsi="Times New Roman" w:eastAsia="仿宋" w:cs="Times New Roman"/>
                      <w:color w:val="auto"/>
                      <w:sz w:val="21"/>
                      <w:szCs w:val="21"/>
                      <w:highlight w:val="none"/>
                      <w:lang w:val="en-US" w:eastAsia="zh-CN"/>
                    </w:rPr>
                    <w:t>等</w:t>
                  </w:r>
                </w:p>
              </w:tc>
            </w:tr>
          </w:tbl>
          <w:p w14:paraId="31806951">
            <w:pPr>
              <w:adjustRightInd w:val="0"/>
              <w:snapToGrid w:val="0"/>
              <w:rPr>
                <w:bCs/>
                <w:color w:val="auto"/>
                <w:szCs w:val="21"/>
                <w:highlight w:val="none"/>
              </w:rPr>
            </w:pPr>
          </w:p>
        </w:tc>
      </w:tr>
      <w:tr w14:paraId="70F7F1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8" w:type="pct"/>
            <w:vAlign w:val="center"/>
          </w:tcPr>
          <w:p w14:paraId="5DE4CF7E">
            <w:pPr>
              <w:pStyle w:val="19"/>
              <w:adjustRightInd w:val="0"/>
              <w:snapToGrid w:val="0"/>
              <w:spacing w:before="0" w:beforeAutospacing="0" w:after="0" w:afterAutospacing="0"/>
              <w:jc w:val="center"/>
              <w:rPr>
                <w:rFonts w:ascii="Times New Roman" w:hAnsi="Times New Roman"/>
                <w:color w:val="auto"/>
                <w:sz w:val="21"/>
                <w:szCs w:val="21"/>
                <w:highlight w:val="none"/>
              </w:rPr>
            </w:pPr>
            <w:r>
              <w:rPr>
                <w:rFonts w:ascii="Times New Roman" w:hAnsi="Times New Roman"/>
                <w:bCs/>
                <w:color w:val="auto"/>
                <w:kern w:val="2"/>
                <w:sz w:val="24"/>
                <w:szCs w:val="24"/>
                <w:highlight w:val="none"/>
              </w:rPr>
              <w:t>与项目有关的原有环境污染问题</w:t>
            </w:r>
          </w:p>
        </w:tc>
        <w:tc>
          <w:tcPr>
            <w:tcW w:w="4771" w:type="pct"/>
          </w:tcPr>
          <w:p w14:paraId="5429018F">
            <w:pPr>
              <w:keepNext w:val="0"/>
              <w:keepLines w:val="0"/>
              <w:pageBreakBefore w:val="0"/>
              <w:kinsoku/>
              <w:wordWrap/>
              <w:overflowPunct/>
              <w:topLinePunct w:val="0"/>
              <w:autoSpaceDE/>
              <w:autoSpaceDN/>
              <w:bidi w:val="0"/>
              <w:spacing w:line="360" w:lineRule="auto"/>
              <w:textAlignment w:val="auto"/>
              <w:rPr>
                <w:rFonts w:hint="default" w:ascii="Times New Roman" w:hAnsi="Times New Roman" w:cs="Times New Roman"/>
                <w:b/>
                <w:bCs/>
                <w:color w:val="auto"/>
                <w:sz w:val="24"/>
                <w:szCs w:val="24"/>
                <w:highlight w:val="none"/>
              </w:rPr>
            </w:pPr>
            <w:r>
              <w:rPr>
                <w:b/>
                <w:color w:val="auto"/>
                <w:sz w:val="24"/>
                <w:highlight w:val="none"/>
              </w:rPr>
              <w:t>现有工程环保手续履行情况</w:t>
            </w:r>
            <w:r>
              <w:rPr>
                <w:rFonts w:hint="default" w:ascii="Times New Roman" w:hAnsi="Times New Roman" w:cs="Times New Roman"/>
                <w:b/>
                <w:bCs/>
                <w:color w:val="auto"/>
                <w:sz w:val="24"/>
                <w:szCs w:val="24"/>
                <w:highlight w:val="none"/>
              </w:rPr>
              <w:t>：</w:t>
            </w:r>
          </w:p>
          <w:p w14:paraId="2E6ACA0A">
            <w:pPr>
              <w:keepNext w:val="0"/>
              <w:keepLines w:val="0"/>
              <w:pageBreakBefore w:val="0"/>
              <w:numPr>
                <w:ilvl w:val="0"/>
                <w:numId w:val="0"/>
              </w:numPr>
              <w:tabs>
                <w:tab w:val="left" w:pos="0"/>
              </w:tabs>
              <w:kinsoku/>
              <w:wordWrap/>
              <w:overflowPunct/>
              <w:topLinePunct w:val="0"/>
              <w:autoSpaceDE/>
              <w:autoSpaceDN/>
              <w:bidi w:val="0"/>
              <w:snapToGrid w:val="0"/>
              <w:spacing w:line="360" w:lineRule="auto"/>
              <w:ind w:leftChars="0" w:firstLine="0" w:firstLineChars="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1、</w:t>
            </w:r>
            <w:r>
              <w:rPr>
                <w:rFonts w:hint="default" w:ascii="Times New Roman" w:hAnsi="Times New Roman" w:cs="Times New Roman"/>
                <w:b/>
                <w:color w:val="auto"/>
                <w:sz w:val="24"/>
                <w:szCs w:val="24"/>
                <w:highlight w:val="none"/>
              </w:rPr>
              <w:t>现有项目概况</w:t>
            </w:r>
          </w:p>
          <w:p w14:paraId="3F771CA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eastAsia"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联佳科技</w:t>
            </w:r>
            <w:r>
              <w:rPr>
                <w:rFonts w:hint="eastAsia" w:cs="Times New Roman"/>
                <w:bCs/>
                <w:color w:val="auto"/>
                <w:sz w:val="24"/>
                <w:szCs w:val="24"/>
                <w:highlight w:val="none"/>
                <w:lang w:val="en-US" w:eastAsia="zh-CN"/>
              </w:rPr>
              <w:t>（</w:t>
            </w:r>
            <w:r>
              <w:rPr>
                <w:rFonts w:hint="eastAsia" w:ascii="Times New Roman" w:hAnsi="Times New Roman" w:eastAsia="宋体" w:cs="Times New Roman"/>
                <w:bCs/>
                <w:color w:val="auto"/>
                <w:sz w:val="24"/>
                <w:szCs w:val="24"/>
                <w:highlight w:val="none"/>
                <w:lang w:val="en-US" w:eastAsia="zh-CN"/>
              </w:rPr>
              <w:t>苏州</w:t>
            </w:r>
            <w:r>
              <w:rPr>
                <w:rFonts w:hint="eastAsia" w:cs="Times New Roman"/>
                <w:bCs/>
                <w:color w:val="auto"/>
                <w:sz w:val="24"/>
                <w:szCs w:val="24"/>
                <w:highlight w:val="none"/>
                <w:lang w:val="en-US" w:eastAsia="zh-CN"/>
              </w:rPr>
              <w:t>）股份</w:t>
            </w:r>
            <w:r>
              <w:rPr>
                <w:rFonts w:hint="eastAsia" w:ascii="Times New Roman" w:hAnsi="Times New Roman" w:eastAsia="宋体" w:cs="Times New Roman"/>
                <w:bCs/>
                <w:color w:val="auto"/>
                <w:sz w:val="24"/>
                <w:szCs w:val="24"/>
                <w:highlight w:val="none"/>
                <w:lang w:val="en-US" w:eastAsia="zh-CN"/>
              </w:rPr>
              <w:t>有限公司</w:t>
            </w:r>
            <w:r>
              <w:rPr>
                <w:rFonts w:hint="eastAsia" w:cs="Times New Roman"/>
                <w:bCs/>
                <w:color w:val="auto"/>
                <w:sz w:val="24"/>
                <w:szCs w:val="24"/>
                <w:highlight w:val="none"/>
                <w:lang w:val="en-US" w:eastAsia="zh-CN"/>
              </w:rPr>
              <w:t>（曾用名：联佳科技（苏州）有限公司，苏州市联佳精密机械有限公司）</w:t>
            </w:r>
            <w:r>
              <w:rPr>
                <w:rFonts w:hint="eastAsia" w:ascii="Times New Roman" w:hAnsi="Times New Roman" w:eastAsia="宋体" w:cs="Times New Roman"/>
                <w:bCs/>
                <w:color w:val="auto"/>
                <w:sz w:val="24"/>
                <w:szCs w:val="24"/>
                <w:highlight w:val="none"/>
                <w:lang w:val="en-US" w:eastAsia="zh-CN"/>
              </w:rPr>
              <w:t>创立于2004年，</w:t>
            </w:r>
            <w:r>
              <w:rPr>
                <w:rFonts w:hint="eastAsia" w:cs="Times New Roman"/>
                <w:bCs/>
                <w:color w:val="auto"/>
                <w:sz w:val="24"/>
                <w:szCs w:val="24"/>
                <w:highlight w:val="none"/>
                <w:lang w:val="en-US" w:eastAsia="zh-CN"/>
              </w:rPr>
              <w:t>注册地位于</w:t>
            </w:r>
            <w:r>
              <w:rPr>
                <w:rFonts w:hint="eastAsia" w:ascii="Times New Roman" w:hAnsi="Times New Roman" w:eastAsia="宋体" w:cs="Times New Roman"/>
                <w:bCs/>
                <w:color w:val="auto"/>
                <w:sz w:val="24"/>
                <w:szCs w:val="24"/>
                <w:highlight w:val="none"/>
                <w:lang w:val="en-US" w:eastAsia="zh-CN"/>
              </w:rPr>
              <w:t>江苏省苏州市漕湖街道由巷路3号</w:t>
            </w:r>
            <w:r>
              <w:rPr>
                <w:rFonts w:hint="eastAsia" w:cs="Times New Roman"/>
                <w:bCs/>
                <w:color w:val="auto"/>
                <w:sz w:val="24"/>
                <w:szCs w:val="24"/>
                <w:highlight w:val="none"/>
                <w:lang w:val="en-US" w:eastAsia="zh-CN"/>
              </w:rPr>
              <w:t>。</w:t>
            </w:r>
          </w:p>
          <w:p w14:paraId="3F1EB67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bCs/>
                <w:color w:val="auto"/>
                <w:sz w:val="24"/>
                <w:szCs w:val="24"/>
                <w:highlight w:val="none"/>
                <w:lang w:val="en-US" w:eastAsia="zh-CN"/>
              </w:rPr>
              <w:t>苏州市联佳精密机械有限公司租赁苏州市相城区漕湖街道由巷路3号1幢厂房建设“苏州市联佳精密机械有限公司航空航天精密零部件生产新建项目”，</w:t>
            </w:r>
            <w:r>
              <w:rPr>
                <w:rFonts w:hint="eastAsia" w:cs="Times New Roman"/>
                <w:color w:val="auto"/>
                <w:sz w:val="24"/>
                <w:szCs w:val="24"/>
                <w:highlight w:val="none"/>
                <w:lang w:val="en-US" w:eastAsia="zh-CN"/>
              </w:rPr>
              <w:t>年产航空航天精密零部件100万件，其他精密零部件10万件，先进装备组装2万套</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此项目独立运营</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与本项目</w:t>
            </w:r>
            <w:r>
              <w:rPr>
                <w:rFonts w:hint="eastAsia" w:ascii="Times New Roman" w:hAnsi="Times New Roman" w:cs="Times New Roman"/>
                <w:color w:val="auto"/>
                <w:sz w:val="24"/>
                <w:highlight w:val="none"/>
                <w:lang w:val="en-US" w:eastAsia="zh-CN"/>
              </w:rPr>
              <w:t>不存在空间位置关系。</w:t>
            </w:r>
          </w:p>
          <w:p w14:paraId="73272DED">
            <w:pPr>
              <w:keepNext w:val="0"/>
              <w:keepLines w:val="0"/>
              <w:pageBreakBefore w:val="0"/>
              <w:numPr>
                <w:ilvl w:val="0"/>
                <w:numId w:val="0"/>
              </w:numPr>
              <w:tabs>
                <w:tab w:val="left" w:pos="0"/>
              </w:tabs>
              <w:kinsoku/>
              <w:wordWrap/>
              <w:overflowPunct/>
              <w:topLinePunct w:val="0"/>
              <w:autoSpaceDE/>
              <w:autoSpaceDN/>
              <w:bidi w:val="0"/>
              <w:snapToGrid w:val="0"/>
              <w:spacing w:line="360" w:lineRule="auto"/>
              <w:ind w:leftChars="0" w:firstLine="0" w:firstLineChars="0"/>
              <w:textAlignment w:val="auto"/>
              <w:rPr>
                <w:rFonts w:hint="default" w:ascii="Times New Roman" w:hAnsi="Times New Roman" w:eastAsia="宋体" w:cs="Times New Roman"/>
                <w:b/>
                <w:color w:val="auto"/>
                <w:sz w:val="24"/>
                <w:szCs w:val="24"/>
                <w:highlight w:val="none"/>
                <w:lang w:val="en-US" w:eastAsia="zh-CN"/>
              </w:rPr>
            </w:pPr>
            <w:r>
              <w:rPr>
                <w:rFonts w:hint="eastAsia" w:cs="Times New Roman"/>
                <w:b/>
                <w:color w:val="auto"/>
                <w:sz w:val="24"/>
                <w:szCs w:val="24"/>
                <w:highlight w:val="none"/>
                <w:lang w:val="en-US" w:eastAsia="zh-CN"/>
              </w:rPr>
              <w:t>2</w:t>
            </w:r>
            <w:r>
              <w:rPr>
                <w:rFonts w:hint="default" w:ascii="Times New Roman" w:hAnsi="Times New Roman" w:cs="Times New Roman"/>
                <w:b/>
                <w:color w:val="auto"/>
                <w:sz w:val="24"/>
                <w:szCs w:val="24"/>
                <w:highlight w:val="none"/>
                <w:lang w:val="en-US" w:eastAsia="zh-CN"/>
              </w:rPr>
              <w:t>、</w:t>
            </w:r>
            <w:r>
              <w:rPr>
                <w:rFonts w:hint="default" w:ascii="Times New Roman" w:hAnsi="Times New Roman" w:cs="Times New Roman"/>
                <w:b/>
                <w:color w:val="auto"/>
                <w:sz w:val="24"/>
                <w:szCs w:val="24"/>
                <w:highlight w:val="none"/>
              </w:rPr>
              <w:t>现有项目</w:t>
            </w:r>
            <w:r>
              <w:rPr>
                <w:rFonts w:hint="eastAsia" w:cs="Times New Roman"/>
                <w:b/>
                <w:color w:val="auto"/>
                <w:sz w:val="24"/>
                <w:szCs w:val="24"/>
                <w:highlight w:val="none"/>
                <w:lang w:val="en-US" w:eastAsia="zh-CN"/>
              </w:rPr>
              <w:t>审批及验收情况</w:t>
            </w:r>
          </w:p>
          <w:p w14:paraId="2D3CBFD4">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现有项目审批及验收情况如下：</w:t>
            </w:r>
          </w:p>
          <w:p w14:paraId="40060CC5">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现有项目审批及验收情况一览表</w:t>
            </w:r>
          </w:p>
          <w:tbl>
            <w:tblPr>
              <w:tblStyle w:val="22"/>
              <w:tblW w:w="4996"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2169"/>
              <w:gridCol w:w="1441"/>
              <w:gridCol w:w="1799"/>
              <w:gridCol w:w="1575"/>
              <w:gridCol w:w="1589"/>
              <w:gridCol w:w="680"/>
            </w:tblGrid>
            <w:tr w14:paraId="67A3EDA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71" w:type="pct"/>
                  <w:tcBorders>
                    <w:tl2br w:val="nil"/>
                    <w:tr2bl w:val="nil"/>
                  </w:tcBorders>
                  <w:noWrap w:val="0"/>
                  <w:vAlign w:val="center"/>
                </w:tcPr>
                <w:p w14:paraId="131869B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项目名称</w:t>
                  </w:r>
                </w:p>
              </w:tc>
              <w:tc>
                <w:tcPr>
                  <w:tcW w:w="778" w:type="pct"/>
                  <w:tcBorders>
                    <w:tl2br w:val="nil"/>
                    <w:tr2bl w:val="nil"/>
                  </w:tcBorders>
                  <w:noWrap w:val="0"/>
                  <w:vAlign w:val="center"/>
                </w:tcPr>
                <w:p w14:paraId="2C798A9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项目地址</w:t>
                  </w:r>
                </w:p>
              </w:tc>
              <w:tc>
                <w:tcPr>
                  <w:tcW w:w="971" w:type="pct"/>
                  <w:tcBorders>
                    <w:tl2br w:val="nil"/>
                    <w:tr2bl w:val="nil"/>
                  </w:tcBorders>
                  <w:noWrap w:val="0"/>
                  <w:vAlign w:val="center"/>
                </w:tcPr>
                <w:p w14:paraId="6CFD3AD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设计能力</w:t>
                  </w:r>
                </w:p>
              </w:tc>
              <w:tc>
                <w:tcPr>
                  <w:tcW w:w="850" w:type="pct"/>
                  <w:tcBorders>
                    <w:tl2br w:val="nil"/>
                    <w:tr2bl w:val="nil"/>
                  </w:tcBorders>
                  <w:noWrap w:val="0"/>
                  <w:vAlign w:val="center"/>
                </w:tcPr>
                <w:p w14:paraId="2BBB77B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环保批复情况</w:t>
                  </w:r>
                </w:p>
              </w:tc>
              <w:tc>
                <w:tcPr>
                  <w:tcW w:w="858" w:type="pct"/>
                  <w:tcBorders>
                    <w:tl2br w:val="nil"/>
                    <w:tr2bl w:val="nil"/>
                  </w:tcBorders>
                  <w:noWrap w:val="0"/>
                  <w:vAlign w:val="center"/>
                </w:tcPr>
                <w:p w14:paraId="4E18DD1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工程验收情况</w:t>
                  </w:r>
                </w:p>
              </w:tc>
              <w:tc>
                <w:tcPr>
                  <w:tcW w:w="367" w:type="pct"/>
                  <w:tcBorders>
                    <w:tl2br w:val="nil"/>
                    <w:tr2bl w:val="nil"/>
                  </w:tcBorders>
                  <w:noWrap w:val="0"/>
                  <w:vAlign w:val="center"/>
                </w:tcPr>
                <w:p w14:paraId="282221A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备注</w:t>
                  </w:r>
                </w:p>
              </w:tc>
            </w:tr>
            <w:tr w14:paraId="4CBE681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171" w:type="pct"/>
                  <w:tcBorders>
                    <w:tl2br w:val="nil"/>
                    <w:tr2bl w:val="nil"/>
                  </w:tcBorders>
                  <w:noWrap w:val="0"/>
                  <w:vAlign w:val="center"/>
                </w:tcPr>
                <w:p w14:paraId="194E40F5">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color w:val="auto"/>
                      <w:kern w:val="0"/>
                      <w:sz w:val="21"/>
                      <w:szCs w:val="21"/>
                      <w:highlight w:val="none"/>
                    </w:rPr>
                  </w:pP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eastAsia="zh-CN"/>
                    </w:rPr>
                    <w:t>苏州市联佳精密机械有限公司航空航天精密零部件生产新建项目</w:t>
                  </w:r>
                  <w:r>
                    <w:rPr>
                      <w:rFonts w:hint="eastAsia" w:eastAsia="仿宋" w:cs="Times New Roman"/>
                      <w:color w:val="auto"/>
                      <w:sz w:val="21"/>
                      <w:szCs w:val="21"/>
                      <w:highlight w:val="none"/>
                      <w:lang w:eastAsia="zh-CN"/>
                    </w:rPr>
                    <w:t>》</w:t>
                  </w:r>
                </w:p>
              </w:tc>
              <w:tc>
                <w:tcPr>
                  <w:tcW w:w="778" w:type="pct"/>
                  <w:tcBorders>
                    <w:tl2br w:val="nil"/>
                    <w:tr2bl w:val="nil"/>
                  </w:tcBorders>
                  <w:noWrap w:val="0"/>
                  <w:vAlign w:val="center"/>
                </w:tcPr>
                <w:p w14:paraId="1DB01A5C">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苏州市相城区漕湖街道由巷路3号1幢厂房</w:t>
                  </w:r>
                </w:p>
              </w:tc>
              <w:tc>
                <w:tcPr>
                  <w:tcW w:w="971" w:type="pct"/>
                  <w:tcBorders>
                    <w:tl2br w:val="nil"/>
                    <w:tr2bl w:val="nil"/>
                  </w:tcBorders>
                  <w:noWrap w:val="0"/>
                  <w:vAlign w:val="center"/>
                </w:tcPr>
                <w:p w14:paraId="59565355">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rPr>
                    <w:t>年产航空航天精密零部件100万件，其他精密零部件10万件，先进装备组装2万套</w:t>
                  </w:r>
                </w:p>
              </w:tc>
              <w:tc>
                <w:tcPr>
                  <w:tcW w:w="850" w:type="pct"/>
                  <w:tcBorders>
                    <w:tl2br w:val="nil"/>
                    <w:tr2bl w:val="nil"/>
                  </w:tcBorders>
                  <w:noWrap w:val="0"/>
                  <w:vAlign w:val="center"/>
                </w:tcPr>
                <w:p w14:paraId="0CBA1C39">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rPr>
                    <w:t>相开环建〔2024〕第2001号</w:t>
                  </w:r>
                </w:p>
              </w:tc>
              <w:tc>
                <w:tcPr>
                  <w:tcW w:w="858" w:type="pct"/>
                  <w:tcBorders>
                    <w:tl2br w:val="nil"/>
                    <w:tr2bl w:val="nil"/>
                  </w:tcBorders>
                  <w:noWrap w:val="0"/>
                  <w:vAlign w:val="center"/>
                </w:tcPr>
                <w:p w14:paraId="0B0C3120">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2025年4月24日完成</w:t>
                  </w:r>
                  <w:r>
                    <w:rPr>
                      <w:rFonts w:hint="eastAsia" w:eastAsia="仿宋" w:cs="Times New Roman"/>
                      <w:color w:val="auto"/>
                      <w:sz w:val="21"/>
                      <w:szCs w:val="21"/>
                      <w:highlight w:val="none"/>
                      <w:lang w:val="en-US" w:eastAsia="zh-CN"/>
                    </w:rPr>
                    <w:t>自主</w:t>
                  </w:r>
                  <w:r>
                    <w:rPr>
                      <w:rFonts w:hint="default" w:ascii="Times New Roman" w:hAnsi="Times New Roman" w:eastAsia="仿宋" w:cs="Times New Roman"/>
                      <w:color w:val="auto"/>
                      <w:sz w:val="21"/>
                      <w:szCs w:val="21"/>
                      <w:highlight w:val="none"/>
                    </w:rPr>
                    <w:t>竣工环保验收</w:t>
                  </w:r>
                </w:p>
              </w:tc>
              <w:tc>
                <w:tcPr>
                  <w:tcW w:w="367" w:type="pct"/>
                  <w:tcBorders>
                    <w:tl2br w:val="nil"/>
                    <w:tr2bl w:val="nil"/>
                  </w:tcBorders>
                  <w:noWrap w:val="0"/>
                  <w:vAlign w:val="center"/>
                </w:tcPr>
                <w:p w14:paraId="1262CFA1">
                  <w:pPr>
                    <w:keepNext w:val="0"/>
                    <w:keepLines w:val="0"/>
                    <w:suppressLineNumbers w:val="0"/>
                    <w:spacing w:before="0" w:beforeAutospacing="0" w:after="0" w:afterAutospacing="0"/>
                    <w:ind w:left="0" w:right="0"/>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正常生产</w:t>
                  </w:r>
                </w:p>
              </w:tc>
            </w:tr>
          </w:tbl>
          <w:p w14:paraId="62BDE83C">
            <w:pPr>
              <w:keepNext w:val="0"/>
              <w:keepLines w:val="0"/>
              <w:pageBreakBefore w:val="0"/>
              <w:numPr>
                <w:ilvl w:val="0"/>
                <w:numId w:val="0"/>
              </w:numPr>
              <w:tabs>
                <w:tab w:val="left" w:pos="0"/>
              </w:tabs>
              <w:kinsoku/>
              <w:wordWrap/>
              <w:overflowPunct/>
              <w:topLinePunct w:val="0"/>
              <w:autoSpaceDE/>
              <w:autoSpaceDN/>
              <w:bidi w:val="0"/>
              <w:snapToGrid w:val="0"/>
              <w:spacing w:line="360" w:lineRule="auto"/>
              <w:ind w:leftChars="0" w:firstLine="0" w:firstLineChars="0"/>
              <w:textAlignment w:val="auto"/>
              <w:rPr>
                <w:rFonts w:hint="eastAsia" w:ascii="Times New Roman" w:hAnsi="Times New Roman" w:eastAsia="宋体" w:cs="Times New Roman"/>
                <w:b/>
                <w:color w:val="auto"/>
                <w:sz w:val="24"/>
                <w:szCs w:val="24"/>
                <w:highlight w:val="none"/>
                <w:lang w:eastAsia="zh-CN"/>
              </w:rPr>
            </w:pPr>
            <w:r>
              <w:rPr>
                <w:rFonts w:hint="eastAsia" w:ascii="Times New Roman" w:hAnsi="Times New Roman" w:eastAsia="宋体" w:cs="Times New Roman"/>
                <w:b/>
                <w:color w:val="auto"/>
                <w:sz w:val="24"/>
                <w:szCs w:val="24"/>
                <w:highlight w:val="none"/>
                <w:lang w:val="en-US" w:eastAsia="zh-CN"/>
              </w:rPr>
              <w:t>3、</w:t>
            </w:r>
            <w:r>
              <w:rPr>
                <w:rFonts w:hint="default" w:ascii="Times New Roman" w:hAnsi="Times New Roman" w:eastAsia="宋体" w:cs="Times New Roman"/>
                <w:b/>
                <w:color w:val="auto"/>
                <w:sz w:val="24"/>
                <w:szCs w:val="24"/>
                <w:highlight w:val="none"/>
              </w:rPr>
              <w:t>现有项目</w:t>
            </w:r>
            <w:r>
              <w:rPr>
                <w:rFonts w:hint="eastAsia" w:eastAsia="宋体" w:cs="Times New Roman"/>
                <w:b/>
                <w:color w:val="auto"/>
                <w:sz w:val="24"/>
                <w:szCs w:val="24"/>
                <w:highlight w:val="none"/>
                <w:lang w:val="en-US" w:eastAsia="zh-CN"/>
              </w:rPr>
              <w:t>实际建设情况</w:t>
            </w:r>
          </w:p>
          <w:p w14:paraId="443A660F">
            <w:pPr>
              <w:keepNext w:val="0"/>
              <w:keepLines w:val="0"/>
              <w:pageBreakBefore w:val="0"/>
              <w:numPr>
                <w:ilvl w:val="0"/>
                <w:numId w:val="0"/>
              </w:numPr>
              <w:tabs>
                <w:tab w:val="left" w:pos="0"/>
              </w:tabs>
              <w:kinsoku/>
              <w:wordWrap/>
              <w:overflowPunct/>
              <w:topLinePunct w:val="0"/>
              <w:autoSpaceDE/>
              <w:autoSpaceDN/>
              <w:bidi w:val="0"/>
              <w:snapToGrid w:val="0"/>
              <w:spacing w:line="360" w:lineRule="auto"/>
              <w:ind w:leftChars="0" w:firstLine="0" w:firstLineChars="0"/>
              <w:textAlignment w:val="auto"/>
              <w:rPr>
                <w:rFonts w:hint="eastAsia"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3.1</w:t>
            </w:r>
            <w:r>
              <w:rPr>
                <w:rFonts w:hint="eastAsia" w:cs="Times New Roman"/>
                <w:b/>
                <w:color w:val="auto"/>
                <w:sz w:val="24"/>
                <w:szCs w:val="24"/>
                <w:highlight w:val="none"/>
                <w:lang w:val="en-US" w:eastAsia="zh-CN"/>
              </w:rPr>
              <w:t xml:space="preserve">  </w:t>
            </w:r>
            <w:r>
              <w:rPr>
                <w:rFonts w:hint="eastAsia" w:ascii="Times New Roman" w:hAnsi="Times New Roman" w:eastAsia="宋体" w:cs="Times New Roman"/>
                <w:b/>
                <w:color w:val="auto"/>
                <w:sz w:val="24"/>
                <w:szCs w:val="24"/>
                <w:highlight w:val="none"/>
              </w:rPr>
              <w:t>现有项目产品方案</w:t>
            </w:r>
          </w:p>
          <w:p w14:paraId="0C535706">
            <w:pPr>
              <w:autoSpaceDE w:val="0"/>
              <w:autoSpaceDN w:val="0"/>
              <w:adjustRightInd w:val="0"/>
              <w:spacing w:line="360" w:lineRule="auto"/>
              <w:ind w:firstLine="480" w:firstLineChars="200"/>
              <w:rPr>
                <w:rFonts w:hint="default" w:cs="Times New Roman"/>
                <w:bCs w:val="0"/>
                <w:color w:val="auto"/>
                <w:kern w:val="2"/>
                <w:sz w:val="24"/>
                <w:szCs w:val="22"/>
                <w:highlight w:val="none"/>
                <w:lang w:eastAsia="zh-CN"/>
              </w:rPr>
            </w:pPr>
            <w:r>
              <w:rPr>
                <w:rFonts w:hint="default" w:ascii="Times New Roman" w:hAnsi="Times New Roman" w:cs="Times New Roman"/>
                <w:bCs w:val="0"/>
                <w:color w:val="auto"/>
                <w:kern w:val="2"/>
                <w:sz w:val="24"/>
                <w:szCs w:val="22"/>
                <w:highlight w:val="none"/>
              </w:rPr>
              <w:t>现有项目产品方案</w:t>
            </w:r>
            <w:r>
              <w:rPr>
                <w:rFonts w:hint="default" w:cs="Times New Roman"/>
                <w:bCs w:val="0"/>
                <w:color w:val="auto"/>
                <w:kern w:val="2"/>
                <w:sz w:val="24"/>
                <w:szCs w:val="22"/>
                <w:highlight w:val="none"/>
                <w:lang w:val="en-US" w:eastAsia="zh-CN"/>
              </w:rPr>
              <w:t>详见</w:t>
            </w:r>
            <w:r>
              <w:rPr>
                <w:rFonts w:hint="eastAsia" w:cs="Times New Roman"/>
                <w:bCs w:val="0"/>
                <w:color w:val="auto"/>
                <w:kern w:val="2"/>
                <w:sz w:val="24"/>
                <w:szCs w:val="22"/>
                <w:highlight w:val="none"/>
                <w:lang w:val="en-US" w:eastAsia="zh-CN"/>
              </w:rPr>
              <w:t>下</w:t>
            </w:r>
            <w:r>
              <w:rPr>
                <w:rFonts w:hint="default" w:cs="Times New Roman"/>
                <w:bCs w:val="0"/>
                <w:color w:val="auto"/>
                <w:kern w:val="2"/>
                <w:sz w:val="24"/>
                <w:szCs w:val="22"/>
                <w:highlight w:val="none"/>
                <w:lang w:val="en-US" w:eastAsia="zh-CN"/>
              </w:rPr>
              <w:t>表</w:t>
            </w:r>
            <w:r>
              <w:rPr>
                <w:rFonts w:hint="default" w:cs="Times New Roman"/>
                <w:bCs w:val="0"/>
                <w:color w:val="auto"/>
                <w:kern w:val="2"/>
                <w:sz w:val="24"/>
                <w:szCs w:val="22"/>
                <w:highlight w:val="none"/>
                <w:lang w:eastAsia="zh-CN"/>
              </w:rPr>
              <w:t>。</w:t>
            </w:r>
          </w:p>
          <w:p w14:paraId="08D768A1">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产品产能情况表</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03"/>
              <w:gridCol w:w="1582"/>
              <w:gridCol w:w="1691"/>
              <w:gridCol w:w="1800"/>
              <w:gridCol w:w="2149"/>
              <w:gridCol w:w="1535"/>
            </w:tblGrid>
            <w:tr w14:paraId="4FDF13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3" w:type="dxa"/>
                  <w:tcBorders>
                    <w:tl2br w:val="nil"/>
                    <w:tr2bl w:val="nil"/>
                  </w:tcBorders>
                  <w:vAlign w:val="center"/>
                </w:tcPr>
                <w:p w14:paraId="14F9F46B">
                  <w:pPr>
                    <w:pStyle w:val="29"/>
                    <w:rPr>
                      <w:rFonts w:hint="default" w:ascii="Times New Roman" w:hAnsi="Times New Roman" w:eastAsia="仿宋" w:cs="Times New Roman"/>
                      <w:b/>
                      <w:color w:val="auto"/>
                      <w:sz w:val="21"/>
                      <w:szCs w:val="21"/>
                      <w:highlight w:val="none"/>
                      <w:lang w:val="en-US" w:eastAsia="zh-CN"/>
                    </w:rPr>
                  </w:pPr>
                  <w:r>
                    <w:rPr>
                      <w:rFonts w:hint="default" w:ascii="Times New Roman" w:hAnsi="Times New Roman" w:eastAsia="仿宋" w:cs="Times New Roman"/>
                      <w:b/>
                      <w:color w:val="auto"/>
                      <w:sz w:val="21"/>
                      <w:szCs w:val="21"/>
                      <w:highlight w:val="none"/>
                      <w:lang w:val="en-US" w:eastAsia="zh-CN"/>
                    </w:rPr>
                    <w:t>序号</w:t>
                  </w:r>
                </w:p>
              </w:tc>
              <w:tc>
                <w:tcPr>
                  <w:tcW w:w="1582" w:type="dxa"/>
                  <w:tcBorders>
                    <w:tl2br w:val="nil"/>
                    <w:tr2bl w:val="nil"/>
                  </w:tcBorders>
                  <w:vAlign w:val="center"/>
                </w:tcPr>
                <w:p w14:paraId="2518B5C1">
                  <w:pPr>
                    <w:pStyle w:val="29"/>
                    <w:rPr>
                      <w:rFonts w:hint="default" w:ascii="Times New Roman" w:hAnsi="Times New Roman" w:eastAsia="仿宋" w:cs="Times New Roman"/>
                      <w:b/>
                      <w:color w:val="auto"/>
                      <w:sz w:val="21"/>
                      <w:szCs w:val="21"/>
                      <w:highlight w:val="none"/>
                      <w:lang w:val="en-US" w:eastAsia="zh-CN"/>
                    </w:rPr>
                  </w:pPr>
                  <w:r>
                    <w:rPr>
                      <w:rFonts w:hint="default" w:ascii="Times New Roman" w:hAnsi="Times New Roman" w:eastAsia="仿宋" w:cs="Times New Roman"/>
                      <w:b/>
                      <w:color w:val="auto"/>
                      <w:sz w:val="21"/>
                      <w:szCs w:val="21"/>
                      <w:highlight w:val="none"/>
                    </w:rPr>
                    <w:t>产品名称</w:t>
                  </w:r>
                </w:p>
              </w:tc>
              <w:tc>
                <w:tcPr>
                  <w:tcW w:w="1691" w:type="dxa"/>
                  <w:tcBorders>
                    <w:tl2br w:val="nil"/>
                    <w:tr2bl w:val="nil"/>
                  </w:tcBorders>
                  <w:vAlign w:val="center"/>
                </w:tcPr>
                <w:p w14:paraId="16544F24">
                  <w:pPr>
                    <w:pStyle w:val="29"/>
                    <w:rPr>
                      <w:rFonts w:hint="default" w:eastAsia="仿宋" w:cs="Times New Roman"/>
                      <w:b/>
                      <w:color w:val="auto"/>
                      <w:sz w:val="21"/>
                      <w:szCs w:val="21"/>
                      <w:highlight w:val="none"/>
                      <w:lang w:val="en-US" w:eastAsia="zh-CN"/>
                    </w:rPr>
                  </w:pPr>
                  <w:r>
                    <w:rPr>
                      <w:rFonts w:hint="eastAsia" w:eastAsia="仿宋" w:cs="Times New Roman"/>
                      <w:b/>
                      <w:color w:val="auto"/>
                      <w:sz w:val="21"/>
                      <w:szCs w:val="21"/>
                      <w:highlight w:val="none"/>
                      <w:lang w:val="en-US" w:eastAsia="zh-CN"/>
                    </w:rPr>
                    <w:t>产品规格（mm)</w:t>
                  </w:r>
                </w:p>
              </w:tc>
              <w:tc>
                <w:tcPr>
                  <w:tcW w:w="1800" w:type="dxa"/>
                  <w:tcBorders>
                    <w:tl2br w:val="nil"/>
                    <w:tr2bl w:val="nil"/>
                  </w:tcBorders>
                  <w:vAlign w:val="center"/>
                </w:tcPr>
                <w:p w14:paraId="343E5080">
                  <w:pPr>
                    <w:pStyle w:val="29"/>
                    <w:rPr>
                      <w:rFonts w:hint="default" w:ascii="Times New Roman" w:hAnsi="Times New Roman" w:eastAsia="仿宋" w:cs="Times New Roman"/>
                      <w:b/>
                      <w:color w:val="auto"/>
                      <w:sz w:val="21"/>
                      <w:szCs w:val="21"/>
                      <w:highlight w:val="none"/>
                      <w:lang w:val="en-US" w:eastAsia="zh-CN"/>
                    </w:rPr>
                  </w:pPr>
                  <w:r>
                    <w:rPr>
                      <w:rFonts w:hint="eastAsia" w:eastAsia="仿宋" w:cs="Times New Roman"/>
                      <w:b/>
                      <w:color w:val="auto"/>
                      <w:sz w:val="21"/>
                      <w:szCs w:val="21"/>
                      <w:highlight w:val="none"/>
                      <w:lang w:val="en-US" w:eastAsia="zh-CN"/>
                    </w:rPr>
                    <w:t>建设地点</w:t>
                  </w:r>
                </w:p>
              </w:tc>
              <w:tc>
                <w:tcPr>
                  <w:tcW w:w="2149" w:type="dxa"/>
                  <w:tcBorders>
                    <w:tl2br w:val="nil"/>
                    <w:tr2bl w:val="nil"/>
                  </w:tcBorders>
                  <w:vAlign w:val="center"/>
                </w:tcPr>
                <w:p w14:paraId="056B7D26">
                  <w:pPr>
                    <w:pStyle w:val="29"/>
                    <w:rPr>
                      <w:rFonts w:hint="default" w:ascii="Times New Roman" w:hAnsi="Times New Roman" w:eastAsia="仿宋" w:cs="Times New Roman"/>
                      <w:b/>
                      <w:bCs/>
                      <w:color w:val="auto"/>
                      <w:highlight w:val="none"/>
                      <w:lang w:val="en-US" w:eastAsia="zh-CN"/>
                    </w:rPr>
                  </w:pPr>
                  <w:r>
                    <w:rPr>
                      <w:rFonts w:hint="default" w:ascii="Times New Roman" w:hAnsi="Times New Roman" w:eastAsia="仿宋" w:cs="Times New Roman"/>
                      <w:b/>
                      <w:color w:val="auto"/>
                      <w:sz w:val="21"/>
                      <w:szCs w:val="21"/>
                      <w:highlight w:val="none"/>
                    </w:rPr>
                    <w:t>年设计能力</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lang w:val="en-US" w:eastAsia="zh-CN"/>
                    </w:rPr>
                    <w:t>万</w:t>
                  </w:r>
                  <w:r>
                    <w:rPr>
                      <w:rFonts w:hint="eastAsia" w:eastAsia="仿宋" w:cs="Times New Roman"/>
                      <w:b/>
                      <w:color w:val="auto"/>
                      <w:sz w:val="21"/>
                      <w:szCs w:val="21"/>
                      <w:highlight w:val="none"/>
                      <w:lang w:val="en-US" w:eastAsia="zh-CN"/>
                    </w:rPr>
                    <w:t>件</w:t>
                  </w:r>
                  <w:r>
                    <w:rPr>
                      <w:rFonts w:hint="default" w:ascii="Times New Roman" w:hAnsi="Times New Roman" w:eastAsia="仿宋" w:cs="Times New Roman"/>
                      <w:b/>
                      <w:color w:val="auto"/>
                      <w:sz w:val="21"/>
                      <w:szCs w:val="21"/>
                      <w:highlight w:val="none"/>
                      <w:lang w:val="en-US" w:eastAsia="zh-CN"/>
                    </w:rPr>
                    <w:t>/年</w:t>
                  </w:r>
                  <w:r>
                    <w:rPr>
                      <w:rFonts w:hint="default" w:ascii="Times New Roman" w:hAnsi="Times New Roman" w:eastAsia="仿宋" w:cs="Times New Roman"/>
                      <w:b/>
                      <w:color w:val="auto"/>
                      <w:sz w:val="21"/>
                      <w:szCs w:val="21"/>
                      <w:highlight w:val="none"/>
                      <w:lang w:eastAsia="zh-CN"/>
                    </w:rPr>
                    <w:t>）</w:t>
                  </w:r>
                </w:p>
              </w:tc>
              <w:tc>
                <w:tcPr>
                  <w:tcW w:w="1535" w:type="dxa"/>
                  <w:tcBorders>
                    <w:tl2br w:val="nil"/>
                    <w:tr2bl w:val="nil"/>
                  </w:tcBorders>
                  <w:vAlign w:val="center"/>
                </w:tcPr>
                <w:p w14:paraId="585B8B77">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年运行时数（h）</w:t>
                  </w:r>
                </w:p>
              </w:tc>
            </w:tr>
            <w:tr w14:paraId="1698F5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3" w:type="dxa"/>
                  <w:tcBorders>
                    <w:tl2br w:val="nil"/>
                    <w:tr2bl w:val="nil"/>
                  </w:tcBorders>
                  <w:vAlign w:val="center"/>
                </w:tcPr>
                <w:p w14:paraId="75E1A00B">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w:t>
                  </w:r>
                </w:p>
              </w:tc>
              <w:tc>
                <w:tcPr>
                  <w:tcW w:w="1582" w:type="dxa"/>
                  <w:tcBorders>
                    <w:tl2br w:val="nil"/>
                    <w:tr2bl w:val="nil"/>
                  </w:tcBorders>
                  <w:vAlign w:val="center"/>
                </w:tcPr>
                <w:p w14:paraId="1A5AC8E6">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航空航天精密零部件</w:t>
                  </w:r>
                </w:p>
              </w:tc>
              <w:tc>
                <w:tcPr>
                  <w:tcW w:w="1691" w:type="dxa"/>
                  <w:tcBorders>
                    <w:tl2br w:val="nil"/>
                    <w:tr2bl w:val="nil"/>
                  </w:tcBorders>
                  <w:vAlign w:val="center"/>
                </w:tcPr>
                <w:p w14:paraId="1E108C01">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1500*1000*200</w:t>
                  </w:r>
                </w:p>
              </w:tc>
              <w:tc>
                <w:tcPr>
                  <w:tcW w:w="1800" w:type="dxa"/>
                  <w:vMerge w:val="restart"/>
                  <w:tcBorders>
                    <w:tl2br w:val="nil"/>
                    <w:tr2bl w:val="nil"/>
                  </w:tcBorders>
                  <w:vAlign w:val="center"/>
                </w:tcPr>
                <w:p w14:paraId="35621C3A">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苏州市相城区漕湖街道由巷路3号</w:t>
                  </w:r>
                </w:p>
              </w:tc>
              <w:tc>
                <w:tcPr>
                  <w:tcW w:w="2149" w:type="dxa"/>
                  <w:tcBorders>
                    <w:tl2br w:val="nil"/>
                    <w:tr2bl w:val="nil"/>
                  </w:tcBorders>
                  <w:vAlign w:val="center"/>
                </w:tcPr>
                <w:p w14:paraId="0D240F6E">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100</w:t>
                  </w:r>
                </w:p>
              </w:tc>
              <w:tc>
                <w:tcPr>
                  <w:tcW w:w="1535" w:type="dxa"/>
                  <w:vMerge w:val="restart"/>
                  <w:tcBorders>
                    <w:tl2br w:val="nil"/>
                    <w:tr2bl w:val="nil"/>
                  </w:tcBorders>
                  <w:vAlign w:val="center"/>
                </w:tcPr>
                <w:p w14:paraId="3607F65C">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6300</w:t>
                  </w:r>
                </w:p>
              </w:tc>
            </w:tr>
            <w:tr w14:paraId="2FA241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3" w:type="dxa"/>
                  <w:tcBorders>
                    <w:tl2br w:val="nil"/>
                    <w:tr2bl w:val="nil"/>
                  </w:tcBorders>
                  <w:vAlign w:val="center"/>
                </w:tcPr>
                <w:p w14:paraId="0F81EBE6">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p>
              </w:tc>
              <w:tc>
                <w:tcPr>
                  <w:tcW w:w="1582" w:type="dxa"/>
                  <w:tcBorders>
                    <w:tl2br w:val="nil"/>
                    <w:tr2bl w:val="nil"/>
                  </w:tcBorders>
                  <w:vAlign w:val="center"/>
                </w:tcPr>
                <w:p w14:paraId="0FB09FDD">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其他精密零部件</w:t>
                  </w:r>
                </w:p>
              </w:tc>
              <w:tc>
                <w:tcPr>
                  <w:tcW w:w="1691" w:type="dxa"/>
                  <w:tcBorders>
                    <w:tl2br w:val="nil"/>
                    <w:tr2bl w:val="nil"/>
                  </w:tcBorders>
                  <w:vAlign w:val="center"/>
                </w:tcPr>
                <w:p w14:paraId="231F883B">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10*10*2~1200*800*150</w:t>
                  </w:r>
                </w:p>
              </w:tc>
              <w:tc>
                <w:tcPr>
                  <w:tcW w:w="1800" w:type="dxa"/>
                  <w:vMerge w:val="continue"/>
                  <w:tcBorders>
                    <w:tl2br w:val="nil"/>
                    <w:tr2bl w:val="nil"/>
                  </w:tcBorders>
                  <w:vAlign w:val="center"/>
                </w:tcPr>
                <w:p w14:paraId="5933610C">
                  <w:pPr>
                    <w:pStyle w:val="29"/>
                    <w:rPr>
                      <w:rFonts w:hint="default" w:ascii="Times New Roman" w:hAnsi="Times New Roman" w:eastAsia="仿宋" w:cs="Times New Roman"/>
                      <w:color w:val="auto"/>
                      <w:sz w:val="21"/>
                      <w:szCs w:val="21"/>
                      <w:highlight w:val="none"/>
                      <w:lang w:val="en-US" w:eastAsia="zh-CN"/>
                    </w:rPr>
                  </w:pPr>
                </w:p>
              </w:tc>
              <w:tc>
                <w:tcPr>
                  <w:tcW w:w="2149" w:type="dxa"/>
                  <w:tcBorders>
                    <w:tl2br w:val="nil"/>
                    <w:tr2bl w:val="nil"/>
                  </w:tcBorders>
                  <w:vAlign w:val="center"/>
                </w:tcPr>
                <w:p w14:paraId="7D4C135D">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10</w:t>
                  </w:r>
                </w:p>
              </w:tc>
              <w:tc>
                <w:tcPr>
                  <w:tcW w:w="1535" w:type="dxa"/>
                  <w:vMerge w:val="continue"/>
                  <w:tcBorders>
                    <w:tl2br w:val="nil"/>
                    <w:tr2bl w:val="nil"/>
                  </w:tcBorders>
                  <w:vAlign w:val="center"/>
                </w:tcPr>
                <w:p w14:paraId="28009588">
                  <w:pPr>
                    <w:pStyle w:val="29"/>
                    <w:rPr>
                      <w:rFonts w:hint="default" w:ascii="Times New Roman" w:hAnsi="Times New Roman" w:eastAsia="仿宋" w:cs="Times New Roman"/>
                      <w:color w:val="auto"/>
                      <w:sz w:val="21"/>
                      <w:szCs w:val="21"/>
                      <w:highlight w:val="none"/>
                      <w:lang w:val="en-US" w:eastAsia="zh-CN"/>
                    </w:rPr>
                  </w:pPr>
                </w:p>
              </w:tc>
            </w:tr>
            <w:tr w14:paraId="4351E9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3" w:type="dxa"/>
                  <w:tcBorders>
                    <w:tl2br w:val="nil"/>
                    <w:tr2bl w:val="nil"/>
                  </w:tcBorders>
                  <w:vAlign w:val="center"/>
                </w:tcPr>
                <w:p w14:paraId="66BDE3DB">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w:t>
                  </w:r>
                </w:p>
              </w:tc>
              <w:tc>
                <w:tcPr>
                  <w:tcW w:w="1582" w:type="dxa"/>
                  <w:tcBorders>
                    <w:tl2br w:val="nil"/>
                    <w:tr2bl w:val="nil"/>
                  </w:tcBorders>
                  <w:vAlign w:val="center"/>
                </w:tcPr>
                <w:p w14:paraId="2300C441">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先进装备组装</w:t>
                  </w:r>
                  <w:r>
                    <w:rPr>
                      <w:rFonts w:hint="default" w:ascii="Times New Roman" w:hAnsi="Times New Roman" w:eastAsia="仿宋" w:cs="Times New Roman"/>
                      <w:color w:val="auto"/>
                      <w:sz w:val="21"/>
                      <w:szCs w:val="21"/>
                      <w:highlight w:val="none"/>
                      <w:lang w:val="en-US" w:eastAsia="zh-CN"/>
                    </w:rPr>
                    <w:t>b</w:t>
                  </w:r>
                </w:p>
              </w:tc>
              <w:tc>
                <w:tcPr>
                  <w:tcW w:w="1691" w:type="dxa"/>
                  <w:tcBorders>
                    <w:tl2br w:val="nil"/>
                    <w:tr2bl w:val="nil"/>
                  </w:tcBorders>
                  <w:vAlign w:val="center"/>
                </w:tcPr>
                <w:p w14:paraId="716EB015">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c>
                <w:tcPr>
                  <w:tcW w:w="1800" w:type="dxa"/>
                  <w:vMerge w:val="continue"/>
                  <w:tcBorders>
                    <w:tl2br w:val="nil"/>
                    <w:tr2bl w:val="nil"/>
                  </w:tcBorders>
                  <w:vAlign w:val="center"/>
                </w:tcPr>
                <w:p w14:paraId="6FB11A0C">
                  <w:pPr>
                    <w:pStyle w:val="29"/>
                    <w:rPr>
                      <w:rFonts w:hint="default" w:ascii="Times New Roman" w:hAnsi="Times New Roman" w:eastAsia="仿宋" w:cs="Times New Roman"/>
                      <w:color w:val="auto"/>
                      <w:sz w:val="21"/>
                      <w:szCs w:val="21"/>
                      <w:highlight w:val="none"/>
                      <w:lang w:val="en-US" w:eastAsia="zh-CN"/>
                    </w:rPr>
                  </w:pPr>
                </w:p>
              </w:tc>
              <w:tc>
                <w:tcPr>
                  <w:tcW w:w="2149" w:type="dxa"/>
                  <w:tcBorders>
                    <w:tl2br w:val="nil"/>
                    <w:tr2bl w:val="nil"/>
                  </w:tcBorders>
                  <w:vAlign w:val="center"/>
                </w:tcPr>
                <w:p w14:paraId="377D5A35">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2万套</w:t>
                  </w:r>
                </w:p>
              </w:tc>
              <w:tc>
                <w:tcPr>
                  <w:tcW w:w="1535" w:type="dxa"/>
                  <w:tcBorders>
                    <w:tl2br w:val="nil"/>
                    <w:tr2bl w:val="nil"/>
                  </w:tcBorders>
                  <w:vAlign w:val="center"/>
                </w:tcPr>
                <w:p w14:paraId="28397683">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2400</w:t>
                  </w:r>
                </w:p>
              </w:tc>
            </w:tr>
          </w:tbl>
          <w:p w14:paraId="642F52D5">
            <w:pPr>
              <w:keepNext w:val="0"/>
              <w:keepLines w:val="0"/>
              <w:suppressLineNumbers w:val="0"/>
              <w:autoSpaceDE w:val="0"/>
              <w:autoSpaceDN w:val="0"/>
              <w:adjustRightInd w:val="0"/>
              <w:spacing w:before="0" w:beforeAutospacing="0" w:after="0" w:afterAutospacing="0" w:line="360" w:lineRule="auto"/>
              <w:ind w:left="0" w:right="0" w:firstLine="0" w:firstLineChars="0"/>
              <w:rPr>
                <w:rFonts w:hint="eastAsia" w:cs="Times New Roman"/>
                <w:color w:val="auto"/>
                <w:sz w:val="24"/>
                <w:szCs w:val="24"/>
                <w:highlight w:val="none"/>
                <w:lang w:val="en-US" w:eastAsia="zh-CN"/>
              </w:rPr>
            </w:pPr>
            <w:r>
              <w:rPr>
                <w:rFonts w:hint="eastAsia" w:ascii="Times New Roman" w:hAnsi="Times New Roman" w:eastAsia="宋体"/>
                <w:b/>
                <w:color w:val="auto"/>
                <w:kern w:val="0"/>
                <w:sz w:val="24"/>
                <w:szCs w:val="24"/>
                <w:highlight w:val="none"/>
                <w:lang w:val="en-US" w:eastAsia="zh-CN"/>
              </w:rPr>
              <w:t>3.2</w:t>
            </w:r>
            <w:r>
              <w:rPr>
                <w:rFonts w:hint="eastAsia"/>
                <w:b/>
                <w:color w:val="auto"/>
                <w:kern w:val="0"/>
                <w:sz w:val="24"/>
                <w:szCs w:val="24"/>
                <w:highlight w:val="none"/>
                <w:lang w:val="en-US" w:eastAsia="zh-CN"/>
              </w:rPr>
              <w:t xml:space="preserve">  </w:t>
            </w:r>
            <w:r>
              <w:rPr>
                <w:rFonts w:hint="eastAsia" w:ascii="Times New Roman" w:hAnsi="Times New Roman" w:eastAsia="宋体"/>
                <w:b/>
                <w:color w:val="auto"/>
                <w:kern w:val="0"/>
                <w:sz w:val="24"/>
                <w:szCs w:val="24"/>
                <w:highlight w:val="none"/>
                <w:lang w:val="en-US" w:eastAsia="zh-CN"/>
              </w:rPr>
              <w:t>现有项目原辅材料使用情况</w:t>
            </w:r>
          </w:p>
          <w:p w14:paraId="3C4944A7">
            <w:pPr>
              <w:autoSpaceDE w:val="0"/>
              <w:autoSpaceDN w:val="0"/>
              <w:adjustRightInd w:val="0"/>
              <w:spacing w:line="360" w:lineRule="auto"/>
              <w:ind w:firstLine="480"/>
              <w:rPr>
                <w:rFonts w:hint="default" w:cs="Times New Roman"/>
                <w:color w:val="auto"/>
                <w:sz w:val="24"/>
                <w:szCs w:val="22"/>
                <w:highlight w:val="none"/>
                <w:lang w:val="en-US" w:eastAsia="zh-CN"/>
              </w:rPr>
            </w:pPr>
            <w:r>
              <w:rPr>
                <w:rFonts w:hint="default" w:ascii="Times New Roman" w:hAnsi="Times New Roman" w:cs="Times New Roman"/>
                <w:color w:val="auto"/>
                <w:sz w:val="24"/>
                <w:szCs w:val="22"/>
                <w:highlight w:val="none"/>
                <w:lang w:eastAsia="zh-CN"/>
              </w:rPr>
              <w:t>现有项目原辅材</w:t>
            </w:r>
            <w:r>
              <w:rPr>
                <w:rFonts w:hint="default" w:ascii="Times New Roman" w:hAnsi="Times New Roman" w:cs="Times New Roman"/>
                <w:color w:val="auto"/>
                <w:sz w:val="24"/>
                <w:szCs w:val="22"/>
                <w:highlight w:val="none"/>
                <w:lang w:val="en-US" w:eastAsia="zh-CN"/>
              </w:rPr>
              <w:t>料使用</w:t>
            </w:r>
            <w:r>
              <w:rPr>
                <w:rFonts w:hint="eastAsia" w:ascii="Times New Roman" w:hAnsi="Times New Roman" w:cs="Times New Roman"/>
                <w:color w:val="auto"/>
                <w:sz w:val="24"/>
                <w:szCs w:val="22"/>
                <w:highlight w:val="none"/>
                <w:lang w:val="en-US" w:eastAsia="zh-CN"/>
              </w:rPr>
              <w:t>量</w:t>
            </w:r>
            <w:r>
              <w:rPr>
                <w:rFonts w:hint="default" w:cs="Times New Roman"/>
                <w:color w:val="auto"/>
                <w:sz w:val="24"/>
                <w:szCs w:val="22"/>
                <w:highlight w:val="none"/>
                <w:lang w:val="en-US" w:eastAsia="zh-CN"/>
              </w:rPr>
              <w:t>详见</w:t>
            </w:r>
            <w:r>
              <w:rPr>
                <w:rFonts w:hint="eastAsia" w:cs="Times New Roman"/>
                <w:color w:val="auto"/>
                <w:sz w:val="24"/>
                <w:szCs w:val="22"/>
                <w:highlight w:val="none"/>
                <w:lang w:val="en-US" w:eastAsia="zh-CN"/>
              </w:rPr>
              <w:t>下</w:t>
            </w:r>
            <w:r>
              <w:rPr>
                <w:rFonts w:hint="default" w:cs="Times New Roman"/>
                <w:color w:val="auto"/>
                <w:sz w:val="24"/>
                <w:szCs w:val="22"/>
                <w:highlight w:val="none"/>
                <w:lang w:val="en-US" w:eastAsia="zh-CN"/>
              </w:rPr>
              <w:t>表。</w:t>
            </w:r>
          </w:p>
          <w:p w14:paraId="603F112C">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原辅材料情况表</w:t>
            </w:r>
          </w:p>
          <w:tbl>
            <w:tblPr>
              <w:tblStyle w:val="22"/>
              <w:tblW w:w="4997"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1211"/>
              <w:gridCol w:w="2650"/>
              <w:gridCol w:w="683"/>
              <w:gridCol w:w="1148"/>
              <w:gridCol w:w="750"/>
              <w:gridCol w:w="583"/>
              <w:gridCol w:w="853"/>
              <w:gridCol w:w="896"/>
            </w:tblGrid>
            <w:tr w14:paraId="7FD54B0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 w:type="pct"/>
                  <w:tcBorders>
                    <w:tl2br w:val="nil"/>
                    <w:tr2bl w:val="nil"/>
                  </w:tcBorders>
                  <w:noWrap w:val="0"/>
                  <w:vAlign w:val="center"/>
                </w:tcPr>
                <w:p w14:paraId="4E9C4360">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序号</w:t>
                  </w:r>
                </w:p>
              </w:tc>
              <w:tc>
                <w:tcPr>
                  <w:tcW w:w="654" w:type="pct"/>
                  <w:tcBorders>
                    <w:tl2br w:val="nil"/>
                    <w:tr2bl w:val="nil"/>
                  </w:tcBorders>
                  <w:noWrap w:val="0"/>
                  <w:vAlign w:val="center"/>
                </w:tcPr>
                <w:p w14:paraId="13BC23FF">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原辅料名称</w:t>
                  </w:r>
                </w:p>
              </w:tc>
              <w:tc>
                <w:tcPr>
                  <w:tcW w:w="1431" w:type="pct"/>
                  <w:tcBorders>
                    <w:tl2br w:val="nil"/>
                    <w:tr2bl w:val="nil"/>
                  </w:tcBorders>
                  <w:noWrap w:val="0"/>
                  <w:vAlign w:val="center"/>
                </w:tcPr>
                <w:p w14:paraId="264C31AF">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主要成分</w:t>
                  </w:r>
                </w:p>
              </w:tc>
              <w:tc>
                <w:tcPr>
                  <w:tcW w:w="369" w:type="pct"/>
                  <w:tcBorders>
                    <w:tl2br w:val="nil"/>
                    <w:tr2bl w:val="nil"/>
                  </w:tcBorders>
                  <w:noWrap w:val="0"/>
                  <w:vAlign w:val="center"/>
                </w:tcPr>
                <w:p w14:paraId="4F1C8C45">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形态</w:t>
                  </w:r>
                </w:p>
              </w:tc>
              <w:tc>
                <w:tcPr>
                  <w:tcW w:w="620" w:type="pct"/>
                  <w:tcBorders>
                    <w:tl2br w:val="nil"/>
                    <w:tr2bl w:val="nil"/>
                  </w:tcBorders>
                  <w:noWrap w:val="0"/>
                  <w:vAlign w:val="center"/>
                </w:tcPr>
                <w:p w14:paraId="511C7A37">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包装规格</w:t>
                  </w:r>
                </w:p>
              </w:tc>
              <w:tc>
                <w:tcPr>
                  <w:tcW w:w="405" w:type="pct"/>
                  <w:tcBorders>
                    <w:tl2br w:val="nil"/>
                    <w:tr2bl w:val="nil"/>
                  </w:tcBorders>
                  <w:noWrap w:val="0"/>
                  <w:vAlign w:val="center"/>
                </w:tcPr>
                <w:p w14:paraId="4EF9BE1E">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年用量</w:t>
                  </w:r>
                </w:p>
              </w:tc>
              <w:tc>
                <w:tcPr>
                  <w:tcW w:w="315" w:type="pct"/>
                  <w:tcBorders>
                    <w:tl2br w:val="nil"/>
                    <w:tr2bl w:val="nil"/>
                  </w:tcBorders>
                  <w:noWrap w:val="0"/>
                  <w:vAlign w:val="center"/>
                </w:tcPr>
                <w:p w14:paraId="005124B0">
                  <w:pPr>
                    <w:jc w:val="center"/>
                    <w:rPr>
                      <w:rFonts w:hint="default" w:ascii="Times New Roman" w:hAnsi="Times New Roman" w:eastAsia="仿宋" w:cs="Times New Roman"/>
                      <w:b/>
                      <w:bCs/>
                      <w:color w:val="auto"/>
                      <w:szCs w:val="21"/>
                      <w:highlight w:val="none"/>
                      <w:lang w:val="en-US" w:eastAsia="zh-CN"/>
                    </w:rPr>
                  </w:pPr>
                  <w:r>
                    <w:rPr>
                      <w:rFonts w:hint="default" w:ascii="Times New Roman" w:hAnsi="Times New Roman" w:eastAsia="仿宋" w:cs="Times New Roman"/>
                      <w:b/>
                      <w:bCs/>
                      <w:color w:val="auto"/>
                      <w:szCs w:val="21"/>
                      <w:highlight w:val="none"/>
                      <w:lang w:val="en-US" w:eastAsia="zh-CN"/>
                    </w:rPr>
                    <w:t>单位</w:t>
                  </w:r>
                </w:p>
              </w:tc>
              <w:tc>
                <w:tcPr>
                  <w:tcW w:w="460" w:type="pct"/>
                  <w:tcBorders>
                    <w:tl2br w:val="nil"/>
                    <w:tr2bl w:val="nil"/>
                  </w:tcBorders>
                  <w:noWrap w:val="0"/>
                  <w:vAlign w:val="center"/>
                </w:tcPr>
                <w:p w14:paraId="1F9CDE91">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最大存储量</w:t>
                  </w:r>
                </w:p>
              </w:tc>
              <w:tc>
                <w:tcPr>
                  <w:tcW w:w="483" w:type="pct"/>
                  <w:tcBorders>
                    <w:tl2br w:val="nil"/>
                    <w:tr2bl w:val="nil"/>
                  </w:tcBorders>
                  <w:noWrap w:val="0"/>
                  <w:vAlign w:val="center"/>
                </w:tcPr>
                <w:p w14:paraId="495F1387">
                  <w:pPr>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储存位置</w:t>
                  </w:r>
                </w:p>
              </w:tc>
            </w:tr>
            <w:tr w14:paraId="6A10D0F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 w:type="pct"/>
                  <w:tcBorders>
                    <w:tl2br w:val="nil"/>
                    <w:tr2bl w:val="nil"/>
                  </w:tcBorders>
                  <w:noWrap w:val="0"/>
                  <w:vAlign w:val="center"/>
                </w:tcPr>
                <w:p w14:paraId="2EF01B6F">
                  <w:pPr>
                    <w:jc w:val="center"/>
                    <w:rPr>
                      <w:rFonts w:hint="default"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lang w:val="en-US" w:eastAsia="zh-CN"/>
                    </w:rPr>
                    <w:t>1</w:t>
                  </w:r>
                </w:p>
              </w:tc>
              <w:tc>
                <w:tcPr>
                  <w:tcW w:w="654" w:type="pct"/>
                  <w:tcBorders>
                    <w:tl2br w:val="nil"/>
                    <w:tr2bl w:val="nil"/>
                  </w:tcBorders>
                  <w:noWrap w:val="0"/>
                  <w:vAlign w:val="center"/>
                </w:tcPr>
                <w:p w14:paraId="6B0174E2">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铝合金</w:t>
                  </w:r>
                </w:p>
              </w:tc>
              <w:tc>
                <w:tcPr>
                  <w:tcW w:w="1431" w:type="pct"/>
                  <w:tcBorders>
                    <w:tl2br w:val="nil"/>
                    <w:tr2bl w:val="nil"/>
                  </w:tcBorders>
                  <w:noWrap w:val="0"/>
                  <w:vAlign w:val="center"/>
                </w:tcPr>
                <w:p w14:paraId="44DFFD61">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铝</w:t>
                  </w:r>
                </w:p>
              </w:tc>
              <w:tc>
                <w:tcPr>
                  <w:tcW w:w="369" w:type="pct"/>
                  <w:tcBorders>
                    <w:tl2br w:val="nil"/>
                    <w:tr2bl w:val="nil"/>
                  </w:tcBorders>
                  <w:noWrap w:val="0"/>
                  <w:vAlign w:val="center"/>
                </w:tcPr>
                <w:p w14:paraId="184639C6">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固态</w:t>
                  </w:r>
                </w:p>
              </w:tc>
              <w:tc>
                <w:tcPr>
                  <w:tcW w:w="620" w:type="pct"/>
                  <w:tcBorders>
                    <w:tl2br w:val="nil"/>
                    <w:tr2bl w:val="nil"/>
                  </w:tcBorders>
                  <w:noWrap w:val="0"/>
                  <w:vAlign w:val="center"/>
                </w:tcPr>
                <w:p w14:paraId="6CB115DB">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捆扎</w:t>
                  </w:r>
                </w:p>
              </w:tc>
              <w:tc>
                <w:tcPr>
                  <w:tcW w:w="405" w:type="pct"/>
                  <w:tcBorders>
                    <w:tl2br w:val="nil"/>
                    <w:tr2bl w:val="nil"/>
                  </w:tcBorders>
                  <w:noWrap w:val="0"/>
                  <w:vAlign w:val="center"/>
                </w:tcPr>
                <w:p w14:paraId="7DE759B4">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700</w:t>
                  </w:r>
                </w:p>
              </w:tc>
              <w:tc>
                <w:tcPr>
                  <w:tcW w:w="315" w:type="pct"/>
                  <w:tcBorders>
                    <w:tl2br w:val="nil"/>
                    <w:tr2bl w:val="nil"/>
                  </w:tcBorders>
                  <w:noWrap w:val="0"/>
                  <w:vAlign w:val="center"/>
                </w:tcPr>
                <w:p w14:paraId="1DDBE914">
                  <w:pPr>
                    <w:jc w:val="center"/>
                    <w:rPr>
                      <w:rFonts w:hint="default"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lang w:val="en-US" w:eastAsia="zh-CN"/>
                    </w:rPr>
                    <w:t>吨</w:t>
                  </w:r>
                </w:p>
              </w:tc>
              <w:tc>
                <w:tcPr>
                  <w:tcW w:w="460" w:type="pct"/>
                  <w:tcBorders>
                    <w:tl2br w:val="nil"/>
                    <w:tr2bl w:val="nil"/>
                  </w:tcBorders>
                  <w:noWrap w:val="0"/>
                  <w:vAlign w:val="center"/>
                </w:tcPr>
                <w:p w14:paraId="67AAFADC">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20</w:t>
                  </w:r>
                </w:p>
              </w:tc>
              <w:tc>
                <w:tcPr>
                  <w:tcW w:w="483" w:type="pct"/>
                  <w:vMerge w:val="restart"/>
                  <w:tcBorders>
                    <w:tl2br w:val="nil"/>
                    <w:tr2bl w:val="nil"/>
                  </w:tcBorders>
                  <w:noWrap w:val="0"/>
                  <w:vAlign w:val="center"/>
                </w:tcPr>
                <w:p w14:paraId="13934A89">
                  <w:pPr>
                    <w:jc w:val="center"/>
                    <w:rPr>
                      <w:rFonts w:hint="eastAsia"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原料仓库</w:t>
                  </w:r>
                </w:p>
              </w:tc>
            </w:tr>
            <w:tr w14:paraId="03CDC56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 w:type="pct"/>
                  <w:tcBorders>
                    <w:tl2br w:val="nil"/>
                    <w:tr2bl w:val="nil"/>
                  </w:tcBorders>
                  <w:noWrap w:val="0"/>
                  <w:vAlign w:val="center"/>
                </w:tcPr>
                <w:p w14:paraId="45216973">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2</w:t>
                  </w:r>
                </w:p>
              </w:tc>
              <w:tc>
                <w:tcPr>
                  <w:tcW w:w="654" w:type="pct"/>
                  <w:tcBorders>
                    <w:tl2br w:val="nil"/>
                    <w:tr2bl w:val="nil"/>
                  </w:tcBorders>
                  <w:noWrap w:val="0"/>
                  <w:vAlign w:val="center"/>
                </w:tcPr>
                <w:p w14:paraId="505125D0">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铝铸件</w:t>
                  </w:r>
                </w:p>
              </w:tc>
              <w:tc>
                <w:tcPr>
                  <w:tcW w:w="1431" w:type="pct"/>
                  <w:tcBorders>
                    <w:tl2br w:val="nil"/>
                    <w:tr2bl w:val="nil"/>
                  </w:tcBorders>
                  <w:noWrap w:val="0"/>
                  <w:vAlign w:val="center"/>
                </w:tcPr>
                <w:p w14:paraId="02CDC954">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铝</w:t>
                  </w:r>
                </w:p>
              </w:tc>
              <w:tc>
                <w:tcPr>
                  <w:tcW w:w="369" w:type="pct"/>
                  <w:tcBorders>
                    <w:tl2br w:val="nil"/>
                    <w:tr2bl w:val="nil"/>
                  </w:tcBorders>
                  <w:shd w:val="clear" w:color="auto" w:fill="auto"/>
                  <w:noWrap w:val="0"/>
                  <w:vAlign w:val="center"/>
                </w:tcPr>
                <w:p w14:paraId="426930DF">
                  <w:pPr>
                    <w:jc w:val="center"/>
                    <w:rPr>
                      <w:rFonts w:hint="eastAsia"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Cs w:val="21"/>
                      <w:highlight w:val="none"/>
                      <w:lang w:val="en-US" w:eastAsia="zh-CN"/>
                    </w:rPr>
                    <w:t>固态</w:t>
                  </w:r>
                </w:p>
              </w:tc>
              <w:tc>
                <w:tcPr>
                  <w:tcW w:w="620" w:type="pct"/>
                  <w:tcBorders>
                    <w:tl2br w:val="nil"/>
                    <w:tr2bl w:val="nil"/>
                  </w:tcBorders>
                  <w:shd w:val="clear" w:color="auto" w:fill="auto"/>
                  <w:noWrap w:val="0"/>
                  <w:vAlign w:val="center"/>
                </w:tcPr>
                <w:p w14:paraId="00401F80">
                  <w:pPr>
                    <w:jc w:val="center"/>
                    <w:rPr>
                      <w:rFonts w:hint="eastAsia"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Cs w:val="21"/>
                      <w:highlight w:val="none"/>
                      <w:lang w:val="en-US" w:eastAsia="zh-CN"/>
                    </w:rPr>
                    <w:t>捆扎</w:t>
                  </w:r>
                </w:p>
              </w:tc>
              <w:tc>
                <w:tcPr>
                  <w:tcW w:w="405" w:type="pct"/>
                  <w:tcBorders>
                    <w:tl2br w:val="nil"/>
                    <w:tr2bl w:val="nil"/>
                  </w:tcBorders>
                  <w:shd w:val="clear" w:color="auto" w:fill="auto"/>
                  <w:noWrap w:val="0"/>
                  <w:vAlign w:val="center"/>
                </w:tcPr>
                <w:p w14:paraId="7A74DA3C">
                  <w:pPr>
                    <w:jc w:val="center"/>
                    <w:rPr>
                      <w:rFonts w:hint="eastAsia"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Cs w:val="21"/>
                      <w:highlight w:val="none"/>
                      <w:lang w:val="en-US" w:eastAsia="zh-CN"/>
                    </w:rPr>
                    <w:t>6</w:t>
                  </w:r>
                </w:p>
              </w:tc>
              <w:tc>
                <w:tcPr>
                  <w:tcW w:w="315" w:type="pct"/>
                  <w:tcBorders>
                    <w:tl2br w:val="nil"/>
                    <w:tr2bl w:val="nil"/>
                  </w:tcBorders>
                  <w:shd w:val="clear" w:color="auto" w:fill="auto"/>
                  <w:noWrap w:val="0"/>
                  <w:vAlign w:val="center"/>
                </w:tcPr>
                <w:p w14:paraId="7B0EF5CF">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Cs w:val="21"/>
                      <w:highlight w:val="none"/>
                      <w:lang w:val="en-US" w:eastAsia="zh-CN"/>
                    </w:rPr>
                    <w:t>吨</w:t>
                  </w:r>
                </w:p>
              </w:tc>
              <w:tc>
                <w:tcPr>
                  <w:tcW w:w="460" w:type="pct"/>
                  <w:tcBorders>
                    <w:tl2br w:val="nil"/>
                    <w:tr2bl w:val="nil"/>
                  </w:tcBorders>
                  <w:shd w:val="clear" w:color="auto" w:fill="auto"/>
                  <w:noWrap w:val="0"/>
                  <w:vAlign w:val="center"/>
                </w:tcPr>
                <w:p w14:paraId="6DE9B2D9">
                  <w:pPr>
                    <w:jc w:val="center"/>
                    <w:rPr>
                      <w:rFonts w:hint="eastAsia"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Cs w:val="21"/>
                      <w:highlight w:val="none"/>
                      <w:lang w:val="en-US" w:eastAsia="zh-CN"/>
                    </w:rPr>
                    <w:t>1</w:t>
                  </w:r>
                </w:p>
              </w:tc>
              <w:tc>
                <w:tcPr>
                  <w:tcW w:w="483" w:type="pct"/>
                  <w:vMerge w:val="continue"/>
                  <w:tcBorders>
                    <w:tl2br w:val="nil"/>
                    <w:tr2bl w:val="nil"/>
                  </w:tcBorders>
                  <w:noWrap w:val="0"/>
                  <w:vAlign w:val="center"/>
                </w:tcPr>
                <w:p w14:paraId="3BF76539">
                  <w:pPr>
                    <w:jc w:val="center"/>
                    <w:rPr>
                      <w:rFonts w:hint="eastAsia" w:eastAsia="仿宋" w:cs="Times New Roman"/>
                      <w:color w:val="auto"/>
                      <w:szCs w:val="21"/>
                      <w:highlight w:val="none"/>
                      <w:lang w:val="en-US" w:eastAsia="zh-CN"/>
                    </w:rPr>
                  </w:pPr>
                </w:p>
              </w:tc>
            </w:tr>
            <w:tr w14:paraId="1DE3BDB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 w:type="pct"/>
                  <w:tcBorders>
                    <w:tl2br w:val="nil"/>
                    <w:tr2bl w:val="nil"/>
                  </w:tcBorders>
                  <w:noWrap w:val="0"/>
                  <w:vAlign w:val="center"/>
                </w:tcPr>
                <w:p w14:paraId="508E7DDE">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3</w:t>
                  </w:r>
                </w:p>
              </w:tc>
              <w:tc>
                <w:tcPr>
                  <w:tcW w:w="654" w:type="pct"/>
                  <w:tcBorders>
                    <w:tl2br w:val="nil"/>
                    <w:tr2bl w:val="nil"/>
                  </w:tcBorders>
                  <w:noWrap w:val="0"/>
                  <w:vAlign w:val="center"/>
                </w:tcPr>
                <w:p w14:paraId="1F77B380">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不锈钢</w:t>
                  </w:r>
                </w:p>
              </w:tc>
              <w:tc>
                <w:tcPr>
                  <w:tcW w:w="1431" w:type="pct"/>
                  <w:tcBorders>
                    <w:tl2br w:val="nil"/>
                    <w:tr2bl w:val="nil"/>
                  </w:tcBorders>
                  <w:noWrap w:val="0"/>
                  <w:vAlign w:val="center"/>
                </w:tcPr>
                <w:p w14:paraId="5B80AA8C">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不锈钢</w:t>
                  </w:r>
                </w:p>
              </w:tc>
              <w:tc>
                <w:tcPr>
                  <w:tcW w:w="369" w:type="pct"/>
                  <w:tcBorders>
                    <w:tl2br w:val="nil"/>
                    <w:tr2bl w:val="nil"/>
                  </w:tcBorders>
                  <w:noWrap w:val="0"/>
                  <w:vAlign w:val="center"/>
                </w:tcPr>
                <w:p w14:paraId="6DC17428">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固态</w:t>
                  </w:r>
                </w:p>
              </w:tc>
              <w:tc>
                <w:tcPr>
                  <w:tcW w:w="620" w:type="pct"/>
                  <w:tcBorders>
                    <w:tl2br w:val="nil"/>
                    <w:tr2bl w:val="nil"/>
                  </w:tcBorders>
                  <w:noWrap w:val="0"/>
                  <w:vAlign w:val="center"/>
                </w:tcPr>
                <w:p w14:paraId="18E1E6FD">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捆扎</w:t>
                  </w:r>
                </w:p>
              </w:tc>
              <w:tc>
                <w:tcPr>
                  <w:tcW w:w="405" w:type="pct"/>
                  <w:tcBorders>
                    <w:tl2br w:val="nil"/>
                    <w:tr2bl w:val="nil"/>
                  </w:tcBorders>
                  <w:noWrap w:val="0"/>
                  <w:vAlign w:val="center"/>
                </w:tcPr>
                <w:p w14:paraId="6C75863A">
                  <w:pPr>
                    <w:jc w:val="center"/>
                    <w:rPr>
                      <w:rFonts w:hint="default" w:eastAsia="仿宋" w:cs="Times New Roman"/>
                      <w:color w:val="auto"/>
                      <w:szCs w:val="21"/>
                      <w:highlight w:val="none"/>
                      <w:lang w:val="en-US" w:eastAsia="zh-CN"/>
                    </w:rPr>
                  </w:pPr>
                  <w:r>
                    <w:rPr>
                      <w:rFonts w:hint="eastAsia" w:eastAsia="仿宋" w:cs="Times New Roman"/>
                      <w:color w:val="auto"/>
                      <w:szCs w:val="21"/>
                      <w:highlight w:val="none"/>
                      <w:lang w:val="en-US" w:eastAsia="zh-CN"/>
                    </w:rPr>
                    <w:t>3</w:t>
                  </w:r>
                </w:p>
              </w:tc>
              <w:tc>
                <w:tcPr>
                  <w:tcW w:w="315" w:type="pct"/>
                  <w:tcBorders>
                    <w:tl2br w:val="nil"/>
                    <w:tr2bl w:val="nil"/>
                  </w:tcBorders>
                  <w:noWrap w:val="0"/>
                  <w:vAlign w:val="center"/>
                </w:tcPr>
                <w:p w14:paraId="15DC5211">
                  <w:pPr>
                    <w:jc w:val="center"/>
                    <w:rPr>
                      <w:rFonts w:hint="default"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lang w:val="en-US" w:eastAsia="zh-CN"/>
                    </w:rPr>
                    <w:t>吨</w:t>
                  </w:r>
                </w:p>
              </w:tc>
              <w:tc>
                <w:tcPr>
                  <w:tcW w:w="460" w:type="pct"/>
                  <w:tcBorders>
                    <w:tl2br w:val="nil"/>
                    <w:tr2bl w:val="nil"/>
                  </w:tcBorders>
                  <w:noWrap w:val="0"/>
                  <w:vAlign w:val="center"/>
                </w:tcPr>
                <w:p w14:paraId="7EF73997">
                  <w:pPr>
                    <w:jc w:val="center"/>
                    <w:rPr>
                      <w:rFonts w:hint="default" w:eastAsia="仿宋" w:cs="Times New Roman"/>
                      <w:color w:val="auto"/>
                      <w:szCs w:val="21"/>
                      <w:highlight w:val="none"/>
                      <w:lang w:val="en-US" w:eastAsia="zh-CN"/>
                    </w:rPr>
                  </w:pPr>
                  <w:r>
                    <w:rPr>
                      <w:rFonts w:hint="eastAsia" w:eastAsia="仿宋" w:cs="Times New Roman"/>
                      <w:color w:val="auto"/>
                      <w:szCs w:val="21"/>
                      <w:highlight w:val="none"/>
                      <w:lang w:val="en-US" w:eastAsia="zh-CN"/>
                    </w:rPr>
                    <w:t>0.5</w:t>
                  </w:r>
                </w:p>
              </w:tc>
              <w:tc>
                <w:tcPr>
                  <w:tcW w:w="483" w:type="pct"/>
                  <w:vMerge w:val="continue"/>
                  <w:tcBorders>
                    <w:tl2br w:val="nil"/>
                    <w:tr2bl w:val="nil"/>
                  </w:tcBorders>
                  <w:noWrap w:val="0"/>
                  <w:vAlign w:val="center"/>
                </w:tcPr>
                <w:p w14:paraId="12C29C73">
                  <w:pPr>
                    <w:jc w:val="center"/>
                    <w:rPr>
                      <w:rFonts w:hint="eastAsia" w:eastAsia="仿宋" w:cs="Times New Roman"/>
                      <w:color w:val="auto"/>
                      <w:szCs w:val="21"/>
                      <w:highlight w:val="none"/>
                      <w:lang w:val="en-US" w:eastAsia="zh-CN"/>
                    </w:rPr>
                  </w:pPr>
                </w:p>
              </w:tc>
            </w:tr>
            <w:tr w14:paraId="27AE116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 w:type="pct"/>
                  <w:tcBorders>
                    <w:tl2br w:val="nil"/>
                    <w:tr2bl w:val="nil"/>
                  </w:tcBorders>
                  <w:noWrap w:val="0"/>
                  <w:vAlign w:val="center"/>
                </w:tcPr>
                <w:p w14:paraId="69FB8B51">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4</w:t>
                  </w:r>
                </w:p>
              </w:tc>
              <w:tc>
                <w:tcPr>
                  <w:tcW w:w="654" w:type="pct"/>
                  <w:tcBorders>
                    <w:tl2br w:val="nil"/>
                    <w:tr2bl w:val="nil"/>
                  </w:tcBorders>
                  <w:noWrap w:val="0"/>
                  <w:vAlign w:val="center"/>
                </w:tcPr>
                <w:p w14:paraId="3876493E">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开槽销、衬套、标准件</w:t>
                  </w:r>
                </w:p>
              </w:tc>
              <w:tc>
                <w:tcPr>
                  <w:tcW w:w="1431" w:type="pct"/>
                  <w:tcBorders>
                    <w:tl2br w:val="nil"/>
                    <w:tr2bl w:val="nil"/>
                  </w:tcBorders>
                  <w:noWrap w:val="0"/>
                  <w:vAlign w:val="center"/>
                </w:tcPr>
                <w:p w14:paraId="5C63D43E">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不锈钢</w:t>
                  </w:r>
                </w:p>
              </w:tc>
              <w:tc>
                <w:tcPr>
                  <w:tcW w:w="369" w:type="pct"/>
                  <w:tcBorders>
                    <w:tl2br w:val="nil"/>
                    <w:tr2bl w:val="nil"/>
                  </w:tcBorders>
                  <w:noWrap w:val="0"/>
                  <w:vAlign w:val="center"/>
                </w:tcPr>
                <w:p w14:paraId="34A1D531">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固态</w:t>
                  </w:r>
                </w:p>
              </w:tc>
              <w:tc>
                <w:tcPr>
                  <w:tcW w:w="620" w:type="pct"/>
                  <w:tcBorders>
                    <w:tl2br w:val="nil"/>
                    <w:tr2bl w:val="nil"/>
                  </w:tcBorders>
                  <w:noWrap w:val="0"/>
                  <w:vAlign w:val="center"/>
                </w:tcPr>
                <w:p w14:paraId="1C66B446">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捆扎</w:t>
                  </w:r>
                </w:p>
              </w:tc>
              <w:tc>
                <w:tcPr>
                  <w:tcW w:w="405" w:type="pct"/>
                  <w:tcBorders>
                    <w:tl2br w:val="nil"/>
                    <w:tr2bl w:val="nil"/>
                  </w:tcBorders>
                  <w:noWrap w:val="0"/>
                  <w:vAlign w:val="center"/>
                </w:tcPr>
                <w:p w14:paraId="55EA1975">
                  <w:pPr>
                    <w:jc w:val="center"/>
                    <w:rPr>
                      <w:rFonts w:hint="default" w:eastAsia="仿宋" w:cs="Times New Roman"/>
                      <w:color w:val="auto"/>
                      <w:szCs w:val="21"/>
                      <w:highlight w:val="none"/>
                      <w:lang w:val="en-US" w:eastAsia="zh-CN"/>
                    </w:rPr>
                  </w:pPr>
                  <w:r>
                    <w:rPr>
                      <w:rFonts w:hint="eastAsia" w:eastAsia="仿宋" w:cs="Times New Roman"/>
                      <w:color w:val="auto"/>
                      <w:szCs w:val="21"/>
                      <w:highlight w:val="none"/>
                      <w:lang w:val="en-US" w:eastAsia="zh-CN"/>
                    </w:rPr>
                    <w:t>130</w:t>
                  </w:r>
                </w:p>
              </w:tc>
              <w:tc>
                <w:tcPr>
                  <w:tcW w:w="315" w:type="pct"/>
                  <w:tcBorders>
                    <w:tl2br w:val="nil"/>
                    <w:tr2bl w:val="nil"/>
                  </w:tcBorders>
                  <w:noWrap w:val="0"/>
                  <w:vAlign w:val="center"/>
                </w:tcPr>
                <w:p w14:paraId="4ACC20D0">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万件</w:t>
                  </w:r>
                </w:p>
              </w:tc>
              <w:tc>
                <w:tcPr>
                  <w:tcW w:w="460" w:type="pct"/>
                  <w:tcBorders>
                    <w:tl2br w:val="nil"/>
                    <w:tr2bl w:val="nil"/>
                  </w:tcBorders>
                  <w:noWrap w:val="0"/>
                  <w:vAlign w:val="center"/>
                </w:tcPr>
                <w:p w14:paraId="3CA6269A">
                  <w:pPr>
                    <w:jc w:val="center"/>
                    <w:rPr>
                      <w:rFonts w:hint="default" w:eastAsia="仿宋" w:cs="Times New Roman"/>
                      <w:color w:val="auto"/>
                      <w:szCs w:val="21"/>
                      <w:highlight w:val="none"/>
                      <w:lang w:val="en-US" w:eastAsia="zh-CN"/>
                    </w:rPr>
                  </w:pPr>
                  <w:r>
                    <w:rPr>
                      <w:rFonts w:hint="eastAsia" w:eastAsia="仿宋" w:cs="Times New Roman"/>
                      <w:color w:val="auto"/>
                      <w:szCs w:val="21"/>
                      <w:highlight w:val="none"/>
                      <w:lang w:val="en-US" w:eastAsia="zh-CN"/>
                    </w:rPr>
                    <w:t>10</w:t>
                  </w:r>
                </w:p>
              </w:tc>
              <w:tc>
                <w:tcPr>
                  <w:tcW w:w="483" w:type="pct"/>
                  <w:vMerge w:val="continue"/>
                  <w:tcBorders>
                    <w:tl2br w:val="nil"/>
                    <w:tr2bl w:val="nil"/>
                  </w:tcBorders>
                  <w:noWrap w:val="0"/>
                  <w:vAlign w:val="center"/>
                </w:tcPr>
                <w:p w14:paraId="2A1F64FB">
                  <w:pPr>
                    <w:jc w:val="center"/>
                    <w:rPr>
                      <w:rFonts w:hint="eastAsia" w:eastAsia="仿宋" w:cs="Times New Roman"/>
                      <w:color w:val="auto"/>
                      <w:szCs w:val="21"/>
                      <w:highlight w:val="none"/>
                      <w:lang w:val="en-US" w:eastAsia="zh-CN"/>
                    </w:rPr>
                  </w:pPr>
                </w:p>
              </w:tc>
            </w:tr>
            <w:tr w14:paraId="7FD14C2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 w:type="pct"/>
                  <w:tcBorders>
                    <w:tl2br w:val="nil"/>
                    <w:tr2bl w:val="nil"/>
                  </w:tcBorders>
                  <w:noWrap w:val="0"/>
                  <w:vAlign w:val="center"/>
                </w:tcPr>
                <w:p w14:paraId="71F869AD">
                  <w:pPr>
                    <w:jc w:val="center"/>
                    <w:rPr>
                      <w:rFonts w:hint="eastAsia"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5</w:t>
                  </w:r>
                </w:p>
              </w:tc>
              <w:tc>
                <w:tcPr>
                  <w:tcW w:w="654" w:type="pct"/>
                  <w:tcBorders>
                    <w:tl2br w:val="nil"/>
                    <w:tr2bl w:val="nil"/>
                  </w:tcBorders>
                  <w:noWrap w:val="0"/>
                  <w:vAlign w:val="center"/>
                </w:tcPr>
                <w:p w14:paraId="6D1776A8">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切削液</w:t>
                  </w:r>
                </w:p>
              </w:tc>
              <w:tc>
                <w:tcPr>
                  <w:tcW w:w="1431" w:type="pct"/>
                  <w:tcBorders>
                    <w:tl2br w:val="nil"/>
                    <w:tr2bl w:val="nil"/>
                  </w:tcBorders>
                  <w:noWrap w:val="0"/>
                  <w:vAlign w:val="center"/>
                </w:tcPr>
                <w:p w14:paraId="75F703DB">
                  <w:pPr>
                    <w:jc w:val="center"/>
                    <w:rPr>
                      <w:rFonts w:hint="default" w:ascii="Times New Roman" w:hAnsi="Times New Roman" w:eastAsia="仿宋" w:cs="Times New Roman"/>
                      <w:color w:val="auto"/>
                      <w:szCs w:val="21"/>
                      <w:highlight w:val="none"/>
                      <w:lang w:val="en-US"/>
                    </w:rPr>
                  </w:pPr>
                  <w:r>
                    <w:rPr>
                      <w:rFonts w:hint="eastAsia" w:ascii="Times New Roman" w:hAnsi="Times New Roman" w:eastAsia="仿宋" w:cs="Times New Roman"/>
                      <w:color w:val="auto"/>
                      <w:szCs w:val="21"/>
                      <w:highlight w:val="none"/>
                      <w:lang w:val="en-US" w:eastAsia="zh-CN"/>
                    </w:rPr>
                    <w:t>极压油性剂18~20%</w:t>
                  </w:r>
                  <w:r>
                    <w:rPr>
                      <w:rFonts w:hint="eastAsia" w:eastAsia="仿宋" w:cs="Times New Roman"/>
                      <w:color w:val="auto"/>
                      <w:szCs w:val="21"/>
                      <w:highlight w:val="none"/>
                      <w:lang w:val="en-US" w:eastAsia="zh-CN"/>
                    </w:rPr>
                    <w:t>、</w:t>
                  </w:r>
                  <w:r>
                    <w:rPr>
                      <w:rFonts w:hint="eastAsia" w:ascii="Times New Roman" w:hAnsi="Times New Roman" w:eastAsia="仿宋" w:cs="Times New Roman"/>
                      <w:color w:val="auto"/>
                      <w:szCs w:val="21"/>
                      <w:highlight w:val="none"/>
                      <w:lang w:val="en-US" w:eastAsia="zh-CN"/>
                    </w:rPr>
                    <w:t>抗磨润滑剂2.5-3%</w:t>
                  </w:r>
                  <w:r>
                    <w:rPr>
                      <w:rFonts w:hint="eastAsia" w:eastAsia="仿宋" w:cs="Times New Roman"/>
                      <w:color w:val="auto"/>
                      <w:szCs w:val="21"/>
                      <w:highlight w:val="none"/>
                      <w:lang w:val="en-US" w:eastAsia="zh-CN"/>
                    </w:rPr>
                    <w:t>、</w:t>
                  </w:r>
                  <w:r>
                    <w:rPr>
                      <w:rFonts w:hint="eastAsia" w:ascii="Times New Roman" w:hAnsi="Times New Roman" w:eastAsia="仿宋" w:cs="Times New Roman"/>
                      <w:color w:val="auto"/>
                      <w:szCs w:val="21"/>
                      <w:highlight w:val="none"/>
                      <w:lang w:val="en-US" w:eastAsia="zh-CN"/>
                    </w:rPr>
                    <w:t>精制基础油75-78%</w:t>
                  </w:r>
                  <w:r>
                    <w:rPr>
                      <w:rFonts w:hint="eastAsia" w:eastAsia="仿宋" w:cs="Times New Roman"/>
                      <w:color w:val="auto"/>
                      <w:szCs w:val="21"/>
                      <w:highlight w:val="none"/>
                      <w:lang w:val="en-US" w:eastAsia="zh-CN"/>
                    </w:rPr>
                    <w:t>、</w:t>
                  </w:r>
                  <w:r>
                    <w:rPr>
                      <w:rFonts w:hint="eastAsia" w:ascii="Times New Roman" w:hAnsi="Times New Roman" w:eastAsia="仿宋" w:cs="Times New Roman"/>
                      <w:color w:val="auto"/>
                      <w:szCs w:val="21"/>
                      <w:highlight w:val="none"/>
                      <w:lang w:val="en-US" w:eastAsia="zh-CN"/>
                    </w:rPr>
                    <w:t>防锈剂1.5-2%</w:t>
                  </w:r>
                </w:p>
              </w:tc>
              <w:tc>
                <w:tcPr>
                  <w:tcW w:w="369" w:type="pct"/>
                  <w:tcBorders>
                    <w:tl2br w:val="nil"/>
                    <w:tr2bl w:val="nil"/>
                  </w:tcBorders>
                  <w:noWrap w:val="0"/>
                  <w:vAlign w:val="center"/>
                </w:tcPr>
                <w:p w14:paraId="47030210">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液态</w:t>
                  </w:r>
                </w:p>
              </w:tc>
              <w:tc>
                <w:tcPr>
                  <w:tcW w:w="620" w:type="pct"/>
                  <w:tcBorders>
                    <w:tl2br w:val="nil"/>
                    <w:tr2bl w:val="nil"/>
                  </w:tcBorders>
                  <w:noWrap w:val="0"/>
                  <w:vAlign w:val="center"/>
                </w:tcPr>
                <w:p w14:paraId="757415AF">
                  <w:pPr>
                    <w:jc w:val="center"/>
                    <w:rPr>
                      <w:rFonts w:hint="default" w:ascii="Times New Roman" w:hAnsi="Times New Roman" w:eastAsia="仿宋" w:cs="Times New Roman"/>
                      <w:color w:val="auto"/>
                      <w:szCs w:val="21"/>
                      <w:highlight w:val="none"/>
                    </w:rPr>
                  </w:pPr>
                  <w:r>
                    <w:rPr>
                      <w:rFonts w:hint="eastAsia" w:eastAsia="仿宋" w:cs="Times New Roman"/>
                      <w:color w:val="auto"/>
                      <w:szCs w:val="21"/>
                      <w:highlight w:val="none"/>
                      <w:lang w:val="en-US" w:eastAsia="zh-CN"/>
                    </w:rPr>
                    <w:t>170</w:t>
                  </w:r>
                  <w:r>
                    <w:rPr>
                      <w:rFonts w:hint="eastAsia" w:ascii="Times New Roman" w:hAnsi="Times New Roman" w:eastAsia="仿宋" w:cs="Times New Roman"/>
                      <w:color w:val="auto"/>
                      <w:szCs w:val="21"/>
                      <w:highlight w:val="none"/>
                      <w:lang w:val="en-US" w:eastAsia="zh-CN"/>
                    </w:rPr>
                    <w:t>L/桶</w:t>
                  </w:r>
                </w:p>
              </w:tc>
              <w:tc>
                <w:tcPr>
                  <w:tcW w:w="405" w:type="pct"/>
                  <w:tcBorders>
                    <w:tl2br w:val="nil"/>
                    <w:tr2bl w:val="nil"/>
                  </w:tcBorders>
                  <w:noWrap w:val="0"/>
                  <w:vAlign w:val="center"/>
                </w:tcPr>
                <w:p w14:paraId="5DF8FB69">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7</w:t>
                  </w:r>
                </w:p>
              </w:tc>
              <w:tc>
                <w:tcPr>
                  <w:tcW w:w="315" w:type="pct"/>
                  <w:tcBorders>
                    <w:tl2br w:val="nil"/>
                    <w:tr2bl w:val="nil"/>
                  </w:tcBorders>
                  <w:noWrap w:val="0"/>
                  <w:vAlign w:val="center"/>
                </w:tcPr>
                <w:p w14:paraId="1062D6BC">
                  <w:pPr>
                    <w:jc w:val="center"/>
                    <w:rPr>
                      <w:rFonts w:hint="default"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lang w:val="en-US" w:eastAsia="zh-CN"/>
                    </w:rPr>
                    <w:t>吨</w:t>
                  </w:r>
                </w:p>
              </w:tc>
              <w:tc>
                <w:tcPr>
                  <w:tcW w:w="460" w:type="pct"/>
                  <w:tcBorders>
                    <w:tl2br w:val="nil"/>
                    <w:tr2bl w:val="nil"/>
                  </w:tcBorders>
                  <w:noWrap w:val="0"/>
                  <w:vAlign w:val="center"/>
                </w:tcPr>
                <w:p w14:paraId="1089DEFA">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0.7</w:t>
                  </w:r>
                </w:p>
              </w:tc>
              <w:tc>
                <w:tcPr>
                  <w:tcW w:w="483" w:type="pct"/>
                  <w:vMerge w:val="restart"/>
                  <w:tcBorders>
                    <w:tl2br w:val="nil"/>
                    <w:tr2bl w:val="nil"/>
                  </w:tcBorders>
                  <w:noWrap w:val="0"/>
                  <w:vAlign w:val="center"/>
                </w:tcPr>
                <w:p w14:paraId="001206DD">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化学品仓库</w:t>
                  </w:r>
                </w:p>
              </w:tc>
            </w:tr>
            <w:tr w14:paraId="4B12AE1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 w:type="pct"/>
                  <w:tcBorders>
                    <w:tl2br w:val="nil"/>
                    <w:tr2bl w:val="nil"/>
                  </w:tcBorders>
                  <w:noWrap w:val="0"/>
                  <w:vAlign w:val="center"/>
                </w:tcPr>
                <w:p w14:paraId="64260436">
                  <w:pPr>
                    <w:jc w:val="center"/>
                    <w:rPr>
                      <w:rFonts w:hint="eastAsia"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6</w:t>
                  </w:r>
                </w:p>
              </w:tc>
              <w:tc>
                <w:tcPr>
                  <w:tcW w:w="654" w:type="pct"/>
                  <w:tcBorders>
                    <w:tl2br w:val="nil"/>
                    <w:tr2bl w:val="nil"/>
                  </w:tcBorders>
                  <w:noWrap w:val="0"/>
                  <w:vAlign w:val="center"/>
                </w:tcPr>
                <w:p w14:paraId="13715386">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印刷油墨</w:t>
                  </w:r>
                </w:p>
              </w:tc>
              <w:tc>
                <w:tcPr>
                  <w:tcW w:w="1431" w:type="pct"/>
                  <w:tcBorders>
                    <w:tl2br w:val="nil"/>
                    <w:tr2bl w:val="nil"/>
                  </w:tcBorders>
                  <w:noWrap w:val="0"/>
                  <w:vAlign w:val="center"/>
                </w:tcPr>
                <w:p w14:paraId="47D90588">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水性丙烯酸树脂30-50%</w:t>
                  </w:r>
                  <w:r>
                    <w:rPr>
                      <w:rFonts w:hint="eastAsia"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无机颜料5-15</w:t>
                  </w:r>
                  <w:r>
                    <w:rPr>
                      <w:rFonts w:hint="eastAsia"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助剂1-3%</w:t>
                  </w:r>
                  <w:r>
                    <w:rPr>
                      <w:rFonts w:hint="eastAsia"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水40-50%</w:t>
                  </w:r>
                </w:p>
              </w:tc>
              <w:tc>
                <w:tcPr>
                  <w:tcW w:w="369" w:type="pct"/>
                  <w:tcBorders>
                    <w:tl2br w:val="nil"/>
                    <w:tr2bl w:val="nil"/>
                  </w:tcBorders>
                  <w:noWrap w:val="0"/>
                  <w:vAlign w:val="center"/>
                </w:tcPr>
                <w:p w14:paraId="484FB86A">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液态</w:t>
                  </w:r>
                </w:p>
              </w:tc>
              <w:tc>
                <w:tcPr>
                  <w:tcW w:w="620" w:type="pct"/>
                  <w:tcBorders>
                    <w:tl2br w:val="nil"/>
                    <w:tr2bl w:val="nil"/>
                  </w:tcBorders>
                  <w:noWrap w:val="0"/>
                  <w:vAlign w:val="center"/>
                </w:tcPr>
                <w:p w14:paraId="6CF8A0D7">
                  <w:pPr>
                    <w:jc w:val="center"/>
                    <w:rPr>
                      <w:rFonts w:hint="default" w:ascii="Times New Roman" w:hAnsi="Times New Roman" w:eastAsia="仿宋" w:cs="Times New Roman"/>
                      <w:color w:val="auto"/>
                      <w:szCs w:val="21"/>
                      <w:highlight w:val="none"/>
                      <w:lang w:val="en-US"/>
                    </w:rPr>
                  </w:pPr>
                  <w:r>
                    <w:rPr>
                      <w:rFonts w:hint="eastAsia" w:eastAsia="仿宋" w:cs="Times New Roman"/>
                      <w:color w:val="auto"/>
                      <w:szCs w:val="21"/>
                      <w:highlight w:val="none"/>
                      <w:lang w:val="en-US" w:eastAsia="zh-CN"/>
                    </w:rPr>
                    <w:t>750ml</w:t>
                  </w:r>
                  <w:r>
                    <w:rPr>
                      <w:rFonts w:hint="eastAsia" w:ascii="Times New Roman" w:hAnsi="Times New Roman" w:eastAsia="仿宋" w:cs="Times New Roman"/>
                      <w:color w:val="auto"/>
                      <w:szCs w:val="21"/>
                      <w:highlight w:val="none"/>
                      <w:lang w:val="en-US" w:eastAsia="zh-CN"/>
                    </w:rPr>
                    <w:t>/</w:t>
                  </w:r>
                  <w:r>
                    <w:rPr>
                      <w:rFonts w:hint="eastAsia" w:eastAsia="仿宋" w:cs="Times New Roman"/>
                      <w:color w:val="auto"/>
                      <w:szCs w:val="21"/>
                      <w:highlight w:val="none"/>
                      <w:lang w:val="en-US" w:eastAsia="zh-CN"/>
                    </w:rPr>
                    <w:t>瓶</w:t>
                  </w:r>
                </w:p>
              </w:tc>
              <w:tc>
                <w:tcPr>
                  <w:tcW w:w="405" w:type="pct"/>
                  <w:tcBorders>
                    <w:tl2br w:val="nil"/>
                    <w:tr2bl w:val="nil"/>
                  </w:tcBorders>
                  <w:noWrap w:val="0"/>
                  <w:vAlign w:val="center"/>
                </w:tcPr>
                <w:p w14:paraId="4ABA693D">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3</w:t>
                  </w:r>
                </w:p>
              </w:tc>
              <w:tc>
                <w:tcPr>
                  <w:tcW w:w="315" w:type="pct"/>
                  <w:tcBorders>
                    <w:tl2br w:val="nil"/>
                    <w:tr2bl w:val="nil"/>
                  </w:tcBorders>
                  <w:noWrap w:val="0"/>
                  <w:vAlign w:val="center"/>
                </w:tcPr>
                <w:p w14:paraId="707D98FA">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kg</w:t>
                  </w:r>
                </w:p>
              </w:tc>
              <w:tc>
                <w:tcPr>
                  <w:tcW w:w="460" w:type="pct"/>
                  <w:tcBorders>
                    <w:tl2br w:val="nil"/>
                    <w:tr2bl w:val="nil"/>
                  </w:tcBorders>
                  <w:noWrap w:val="0"/>
                  <w:vAlign w:val="center"/>
                </w:tcPr>
                <w:p w14:paraId="5982CA2C">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0.75</w:t>
                  </w:r>
                </w:p>
              </w:tc>
              <w:tc>
                <w:tcPr>
                  <w:tcW w:w="483" w:type="pct"/>
                  <w:vMerge w:val="continue"/>
                  <w:tcBorders>
                    <w:tl2br w:val="nil"/>
                    <w:tr2bl w:val="nil"/>
                  </w:tcBorders>
                  <w:noWrap w:val="0"/>
                  <w:vAlign w:val="center"/>
                </w:tcPr>
                <w:p w14:paraId="1F6DF2E3">
                  <w:pPr>
                    <w:jc w:val="center"/>
                    <w:rPr>
                      <w:rFonts w:hint="default" w:ascii="Times New Roman" w:hAnsi="Times New Roman" w:eastAsia="仿宋" w:cs="Times New Roman"/>
                      <w:color w:val="auto"/>
                      <w:szCs w:val="21"/>
                      <w:highlight w:val="none"/>
                      <w:lang w:val="en-US" w:eastAsia="zh-CN"/>
                    </w:rPr>
                  </w:pPr>
                </w:p>
              </w:tc>
            </w:tr>
            <w:tr w14:paraId="366E179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 w:type="pct"/>
                  <w:tcBorders>
                    <w:tl2br w:val="nil"/>
                    <w:tr2bl w:val="nil"/>
                  </w:tcBorders>
                  <w:noWrap w:val="0"/>
                  <w:vAlign w:val="center"/>
                </w:tcPr>
                <w:p w14:paraId="119028F4">
                  <w:pPr>
                    <w:jc w:val="center"/>
                    <w:rPr>
                      <w:rFonts w:hint="eastAsia"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7</w:t>
                  </w:r>
                </w:p>
              </w:tc>
              <w:tc>
                <w:tcPr>
                  <w:tcW w:w="654" w:type="pct"/>
                  <w:tcBorders>
                    <w:tl2br w:val="nil"/>
                    <w:tr2bl w:val="nil"/>
                  </w:tcBorders>
                  <w:noWrap w:val="0"/>
                  <w:vAlign w:val="center"/>
                </w:tcPr>
                <w:p w14:paraId="63C10A2F">
                  <w:pPr>
                    <w:jc w:val="center"/>
                    <w:rPr>
                      <w:rFonts w:hint="eastAsia"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清洗剂</w:t>
                  </w:r>
                </w:p>
              </w:tc>
              <w:tc>
                <w:tcPr>
                  <w:tcW w:w="1431" w:type="pct"/>
                  <w:tcBorders>
                    <w:tl2br w:val="nil"/>
                    <w:tr2bl w:val="nil"/>
                  </w:tcBorders>
                  <w:noWrap w:val="0"/>
                  <w:vAlign w:val="center"/>
                </w:tcPr>
                <w:p w14:paraId="1FEF3CAB">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柠檬酸钠1-5%</w:t>
                  </w:r>
                  <w:r>
                    <w:rPr>
                      <w:rFonts w:hint="eastAsia"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异构醇乙氧基化物5-10%</w:t>
                  </w:r>
                  <w:r>
                    <w:rPr>
                      <w:rFonts w:hint="eastAsia"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水85-90%</w:t>
                  </w:r>
                </w:p>
              </w:tc>
              <w:tc>
                <w:tcPr>
                  <w:tcW w:w="369" w:type="pct"/>
                  <w:tcBorders>
                    <w:tl2br w:val="nil"/>
                    <w:tr2bl w:val="nil"/>
                  </w:tcBorders>
                  <w:noWrap w:val="0"/>
                  <w:vAlign w:val="center"/>
                </w:tcPr>
                <w:p w14:paraId="21DBDCAB">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液态</w:t>
                  </w:r>
                </w:p>
              </w:tc>
              <w:tc>
                <w:tcPr>
                  <w:tcW w:w="620" w:type="pct"/>
                  <w:tcBorders>
                    <w:tl2br w:val="nil"/>
                    <w:tr2bl w:val="nil"/>
                  </w:tcBorders>
                  <w:noWrap w:val="0"/>
                  <w:vAlign w:val="center"/>
                </w:tcPr>
                <w:p w14:paraId="65A2CD63">
                  <w:pPr>
                    <w:jc w:val="center"/>
                    <w:rPr>
                      <w:rFonts w:hint="default" w:ascii="Times New Roman" w:hAnsi="Times New Roman" w:eastAsia="仿宋" w:cs="Times New Roman"/>
                      <w:color w:val="auto"/>
                      <w:szCs w:val="21"/>
                      <w:highlight w:val="none"/>
                      <w:lang w:val="en-US"/>
                    </w:rPr>
                  </w:pPr>
                  <w:r>
                    <w:rPr>
                      <w:rFonts w:hint="eastAsia" w:eastAsia="仿宋" w:cs="Times New Roman"/>
                      <w:color w:val="auto"/>
                      <w:szCs w:val="21"/>
                      <w:highlight w:val="none"/>
                      <w:lang w:val="en-US" w:eastAsia="zh-CN"/>
                    </w:rPr>
                    <w:t>25L</w:t>
                  </w:r>
                  <w:r>
                    <w:rPr>
                      <w:rFonts w:hint="eastAsia" w:ascii="Times New Roman" w:hAnsi="Times New Roman" w:eastAsia="仿宋" w:cs="Times New Roman"/>
                      <w:color w:val="auto"/>
                      <w:szCs w:val="21"/>
                      <w:highlight w:val="none"/>
                      <w:lang w:val="en-US" w:eastAsia="zh-CN"/>
                    </w:rPr>
                    <w:t>/</w:t>
                  </w:r>
                  <w:r>
                    <w:rPr>
                      <w:rFonts w:hint="eastAsia" w:eastAsia="仿宋" w:cs="Times New Roman"/>
                      <w:color w:val="auto"/>
                      <w:szCs w:val="21"/>
                      <w:highlight w:val="none"/>
                      <w:lang w:val="en-US" w:eastAsia="zh-CN"/>
                    </w:rPr>
                    <w:t>桶</w:t>
                  </w:r>
                </w:p>
              </w:tc>
              <w:tc>
                <w:tcPr>
                  <w:tcW w:w="405" w:type="pct"/>
                  <w:tcBorders>
                    <w:tl2br w:val="nil"/>
                    <w:tr2bl w:val="nil"/>
                  </w:tcBorders>
                  <w:noWrap w:val="0"/>
                  <w:vAlign w:val="center"/>
                </w:tcPr>
                <w:p w14:paraId="4F6A9601">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1</w:t>
                  </w:r>
                </w:p>
              </w:tc>
              <w:tc>
                <w:tcPr>
                  <w:tcW w:w="315" w:type="pct"/>
                  <w:tcBorders>
                    <w:tl2br w:val="nil"/>
                    <w:tr2bl w:val="nil"/>
                  </w:tcBorders>
                  <w:noWrap w:val="0"/>
                  <w:vAlign w:val="center"/>
                </w:tcPr>
                <w:p w14:paraId="53952283">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吨</w:t>
                  </w:r>
                </w:p>
              </w:tc>
              <w:tc>
                <w:tcPr>
                  <w:tcW w:w="460" w:type="pct"/>
                  <w:tcBorders>
                    <w:tl2br w:val="nil"/>
                    <w:tr2bl w:val="nil"/>
                  </w:tcBorders>
                  <w:noWrap w:val="0"/>
                  <w:vAlign w:val="center"/>
                </w:tcPr>
                <w:p w14:paraId="642C03CC">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0.25</w:t>
                  </w:r>
                </w:p>
              </w:tc>
              <w:tc>
                <w:tcPr>
                  <w:tcW w:w="483" w:type="pct"/>
                  <w:vMerge w:val="continue"/>
                  <w:tcBorders>
                    <w:tl2br w:val="nil"/>
                    <w:tr2bl w:val="nil"/>
                  </w:tcBorders>
                  <w:noWrap w:val="0"/>
                  <w:vAlign w:val="center"/>
                </w:tcPr>
                <w:p w14:paraId="0871BC07">
                  <w:pPr>
                    <w:jc w:val="center"/>
                    <w:rPr>
                      <w:rFonts w:hint="eastAsia" w:ascii="Times New Roman" w:hAnsi="Times New Roman" w:eastAsia="仿宋" w:cs="Times New Roman"/>
                      <w:color w:val="auto"/>
                      <w:szCs w:val="21"/>
                      <w:highlight w:val="none"/>
                      <w:lang w:val="en-US" w:eastAsia="zh-CN"/>
                    </w:rPr>
                  </w:pPr>
                </w:p>
              </w:tc>
            </w:tr>
            <w:tr w14:paraId="1746C73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 w:type="pct"/>
                  <w:tcBorders>
                    <w:tl2br w:val="nil"/>
                    <w:tr2bl w:val="nil"/>
                  </w:tcBorders>
                  <w:noWrap w:val="0"/>
                  <w:vAlign w:val="center"/>
                </w:tcPr>
                <w:p w14:paraId="3906E540">
                  <w:pPr>
                    <w:widowControl/>
                    <w:jc w:val="center"/>
                    <w:textAlignment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8</w:t>
                  </w:r>
                </w:p>
              </w:tc>
              <w:tc>
                <w:tcPr>
                  <w:tcW w:w="654" w:type="pct"/>
                  <w:tcBorders>
                    <w:tl2br w:val="nil"/>
                    <w:tr2bl w:val="nil"/>
                  </w:tcBorders>
                  <w:noWrap w:val="0"/>
                  <w:vAlign w:val="center"/>
                </w:tcPr>
                <w:p w14:paraId="75B262F7">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消泡剂</w:t>
                  </w:r>
                </w:p>
              </w:tc>
              <w:tc>
                <w:tcPr>
                  <w:tcW w:w="1431" w:type="pct"/>
                  <w:tcBorders>
                    <w:tl2br w:val="nil"/>
                    <w:tr2bl w:val="nil"/>
                  </w:tcBorders>
                  <w:noWrap w:val="0"/>
                  <w:vAlign w:val="center"/>
                </w:tcPr>
                <w:p w14:paraId="32C034E0">
                  <w:pPr>
                    <w:jc w:val="center"/>
                    <w:rPr>
                      <w:rFonts w:hint="eastAsia"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有机硅油＞10%</w:t>
                  </w:r>
                  <w:r>
                    <w:rPr>
                      <w:rFonts w:hint="eastAsia" w:eastAsia="仿宋" w:cs="Times New Roman"/>
                      <w:color w:val="auto"/>
                      <w:szCs w:val="21"/>
                      <w:highlight w:val="none"/>
                      <w:lang w:val="en-US" w:eastAsia="zh-CN"/>
                    </w:rPr>
                    <w:t>、</w:t>
                  </w:r>
                  <w:r>
                    <w:rPr>
                      <w:rFonts w:hint="eastAsia" w:ascii="Times New Roman" w:hAnsi="Times New Roman" w:eastAsia="仿宋" w:cs="Times New Roman"/>
                      <w:color w:val="auto"/>
                      <w:szCs w:val="21"/>
                      <w:highlight w:val="none"/>
                      <w:lang w:val="en-US" w:eastAsia="zh-CN"/>
                    </w:rPr>
                    <w:t>水＜90%</w:t>
                  </w:r>
                </w:p>
              </w:tc>
              <w:tc>
                <w:tcPr>
                  <w:tcW w:w="369" w:type="pct"/>
                  <w:tcBorders>
                    <w:tl2br w:val="nil"/>
                    <w:tr2bl w:val="nil"/>
                  </w:tcBorders>
                  <w:noWrap w:val="0"/>
                  <w:vAlign w:val="center"/>
                </w:tcPr>
                <w:p w14:paraId="61D4B0D4">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液态</w:t>
                  </w:r>
                </w:p>
              </w:tc>
              <w:tc>
                <w:tcPr>
                  <w:tcW w:w="620" w:type="pct"/>
                  <w:tcBorders>
                    <w:tl2br w:val="nil"/>
                    <w:tr2bl w:val="nil"/>
                  </w:tcBorders>
                  <w:noWrap w:val="0"/>
                  <w:vAlign w:val="center"/>
                </w:tcPr>
                <w:p w14:paraId="4EEB01D0">
                  <w:pPr>
                    <w:jc w:val="center"/>
                    <w:rPr>
                      <w:rFonts w:hint="default" w:ascii="Times New Roman" w:hAnsi="Times New Roman" w:eastAsia="仿宋" w:cs="Times New Roman"/>
                      <w:color w:val="auto"/>
                      <w:szCs w:val="21"/>
                      <w:highlight w:val="none"/>
                    </w:rPr>
                  </w:pPr>
                  <w:r>
                    <w:rPr>
                      <w:rFonts w:hint="eastAsia" w:eastAsia="仿宋" w:cs="Times New Roman"/>
                      <w:color w:val="auto"/>
                      <w:szCs w:val="21"/>
                      <w:highlight w:val="none"/>
                      <w:lang w:val="en-US" w:eastAsia="zh-CN"/>
                    </w:rPr>
                    <w:t>100L</w:t>
                  </w:r>
                  <w:r>
                    <w:rPr>
                      <w:rFonts w:hint="eastAsia" w:ascii="Times New Roman" w:hAnsi="Times New Roman" w:eastAsia="仿宋" w:cs="Times New Roman"/>
                      <w:color w:val="auto"/>
                      <w:szCs w:val="21"/>
                      <w:highlight w:val="none"/>
                      <w:lang w:val="en-US" w:eastAsia="zh-CN"/>
                    </w:rPr>
                    <w:t>/</w:t>
                  </w:r>
                  <w:r>
                    <w:rPr>
                      <w:rFonts w:hint="eastAsia" w:eastAsia="仿宋" w:cs="Times New Roman"/>
                      <w:color w:val="auto"/>
                      <w:szCs w:val="21"/>
                      <w:highlight w:val="none"/>
                      <w:lang w:val="en-US" w:eastAsia="zh-CN"/>
                    </w:rPr>
                    <w:t>桶</w:t>
                  </w:r>
                </w:p>
              </w:tc>
              <w:tc>
                <w:tcPr>
                  <w:tcW w:w="405" w:type="pct"/>
                  <w:tcBorders>
                    <w:tl2br w:val="nil"/>
                    <w:tr2bl w:val="nil"/>
                  </w:tcBorders>
                  <w:noWrap w:val="0"/>
                  <w:vAlign w:val="center"/>
                </w:tcPr>
                <w:p w14:paraId="7E5D80E5">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1.2</w:t>
                  </w:r>
                </w:p>
              </w:tc>
              <w:tc>
                <w:tcPr>
                  <w:tcW w:w="315" w:type="pct"/>
                  <w:tcBorders>
                    <w:tl2br w:val="nil"/>
                    <w:tr2bl w:val="nil"/>
                  </w:tcBorders>
                  <w:shd w:val="clear" w:color="auto" w:fill="auto"/>
                  <w:noWrap w:val="0"/>
                  <w:vAlign w:val="center"/>
                </w:tcPr>
                <w:p w14:paraId="3005014E">
                  <w:pPr>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吨</w:t>
                  </w:r>
                </w:p>
              </w:tc>
              <w:tc>
                <w:tcPr>
                  <w:tcW w:w="460" w:type="pct"/>
                  <w:tcBorders>
                    <w:tl2br w:val="nil"/>
                    <w:tr2bl w:val="nil"/>
                  </w:tcBorders>
                  <w:noWrap w:val="0"/>
                  <w:vAlign w:val="center"/>
                </w:tcPr>
                <w:p w14:paraId="72D3F24D">
                  <w:pPr>
                    <w:jc w:val="center"/>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0.2</w:t>
                  </w:r>
                </w:p>
              </w:tc>
              <w:tc>
                <w:tcPr>
                  <w:tcW w:w="483" w:type="pct"/>
                  <w:vMerge w:val="continue"/>
                  <w:tcBorders>
                    <w:tl2br w:val="nil"/>
                    <w:tr2bl w:val="nil"/>
                  </w:tcBorders>
                  <w:noWrap w:val="0"/>
                  <w:vAlign w:val="center"/>
                </w:tcPr>
                <w:p w14:paraId="195DA815">
                  <w:pPr>
                    <w:jc w:val="center"/>
                    <w:rPr>
                      <w:rFonts w:hint="default" w:ascii="Times New Roman" w:hAnsi="Times New Roman" w:eastAsia="仿宋" w:cs="Times New Roman"/>
                      <w:color w:val="auto"/>
                      <w:szCs w:val="21"/>
                      <w:highlight w:val="none"/>
                      <w:lang w:val="en-US" w:eastAsia="zh-CN"/>
                    </w:rPr>
                  </w:pPr>
                </w:p>
              </w:tc>
            </w:tr>
            <w:tr w14:paraId="7C4C48D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 w:type="pct"/>
                  <w:tcBorders>
                    <w:tl2br w:val="nil"/>
                    <w:tr2bl w:val="nil"/>
                  </w:tcBorders>
                  <w:noWrap w:val="0"/>
                  <w:vAlign w:val="center"/>
                </w:tcPr>
                <w:p w14:paraId="66FE1BC7">
                  <w:pPr>
                    <w:widowControl/>
                    <w:jc w:val="center"/>
                    <w:textAlignment w:val="center"/>
                    <w:rPr>
                      <w:rFonts w:hint="default" w:eastAsia="仿宋" w:cs="Times New Roman"/>
                      <w:color w:val="auto"/>
                      <w:kern w:val="0"/>
                      <w:sz w:val="21"/>
                      <w:szCs w:val="21"/>
                      <w:highlight w:val="none"/>
                      <w:lang w:val="en-US" w:eastAsia="zh-CN" w:bidi="ar"/>
                    </w:rPr>
                  </w:pPr>
                  <w:r>
                    <w:rPr>
                      <w:rFonts w:hint="eastAsia" w:eastAsia="仿宋" w:cs="Times New Roman"/>
                      <w:color w:val="auto"/>
                      <w:kern w:val="0"/>
                      <w:sz w:val="21"/>
                      <w:szCs w:val="21"/>
                      <w:highlight w:val="none"/>
                      <w:lang w:val="en-US" w:eastAsia="zh-CN" w:bidi="ar"/>
                    </w:rPr>
                    <w:t>9</w:t>
                  </w:r>
                </w:p>
              </w:tc>
              <w:tc>
                <w:tcPr>
                  <w:tcW w:w="654" w:type="pct"/>
                  <w:tcBorders>
                    <w:tl2br w:val="nil"/>
                    <w:tr2bl w:val="nil"/>
                  </w:tcBorders>
                  <w:noWrap w:val="0"/>
                  <w:vAlign w:val="center"/>
                </w:tcPr>
                <w:p w14:paraId="7105DC32">
                  <w:pPr>
                    <w:jc w:val="center"/>
                    <w:rPr>
                      <w:rFonts w:hint="default" w:eastAsia="仿宋" w:cs="Times New Roman"/>
                      <w:color w:val="auto"/>
                      <w:szCs w:val="21"/>
                      <w:highlight w:val="none"/>
                      <w:lang w:val="en-US" w:eastAsia="zh-CN"/>
                    </w:rPr>
                  </w:pPr>
                  <w:r>
                    <w:rPr>
                      <w:rFonts w:hint="eastAsia" w:eastAsia="仿宋" w:cs="Times New Roman"/>
                      <w:color w:val="auto"/>
                      <w:szCs w:val="21"/>
                      <w:highlight w:val="none"/>
                      <w:lang w:val="en-US" w:eastAsia="zh-CN"/>
                    </w:rPr>
                    <w:t>防锈润滑剂</w:t>
                  </w:r>
                </w:p>
              </w:tc>
              <w:tc>
                <w:tcPr>
                  <w:tcW w:w="1431" w:type="pct"/>
                  <w:tcBorders>
                    <w:tl2br w:val="nil"/>
                    <w:tr2bl w:val="nil"/>
                  </w:tcBorders>
                  <w:noWrap w:val="0"/>
                  <w:vAlign w:val="center"/>
                </w:tcPr>
                <w:p w14:paraId="4202707E">
                  <w:pPr>
                    <w:jc w:val="center"/>
                    <w:rPr>
                      <w:rFonts w:hint="eastAsia" w:eastAsia="仿宋" w:cs="Times New Roman"/>
                      <w:color w:val="auto"/>
                      <w:szCs w:val="21"/>
                      <w:highlight w:val="none"/>
                      <w:lang w:val="en-US" w:eastAsia="zh-CN"/>
                    </w:rPr>
                  </w:pPr>
                  <w:r>
                    <w:rPr>
                      <w:rFonts w:hint="eastAsia" w:eastAsia="仿宋" w:cs="Times New Roman"/>
                      <w:color w:val="auto"/>
                      <w:szCs w:val="21"/>
                      <w:highlight w:val="none"/>
                      <w:lang w:val="en-US" w:eastAsia="zh-CN"/>
                    </w:rPr>
                    <w:t>石油加氢轻馏分50-70%、二氧化碳2-3%、混合物30-50%</w:t>
                  </w:r>
                </w:p>
              </w:tc>
              <w:tc>
                <w:tcPr>
                  <w:tcW w:w="369" w:type="pct"/>
                  <w:tcBorders>
                    <w:tl2br w:val="nil"/>
                    <w:tr2bl w:val="nil"/>
                  </w:tcBorders>
                  <w:noWrap w:val="0"/>
                  <w:vAlign w:val="center"/>
                </w:tcPr>
                <w:p w14:paraId="6A72787E">
                  <w:pPr>
                    <w:jc w:val="center"/>
                    <w:rPr>
                      <w:rFonts w:hint="default"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lang w:val="en-US" w:eastAsia="zh-CN"/>
                    </w:rPr>
                    <w:t>液态</w:t>
                  </w:r>
                </w:p>
              </w:tc>
              <w:tc>
                <w:tcPr>
                  <w:tcW w:w="620" w:type="pct"/>
                  <w:tcBorders>
                    <w:tl2br w:val="nil"/>
                    <w:tr2bl w:val="nil"/>
                  </w:tcBorders>
                  <w:noWrap w:val="0"/>
                  <w:vAlign w:val="center"/>
                </w:tcPr>
                <w:p w14:paraId="284F238D">
                  <w:pPr>
                    <w:jc w:val="center"/>
                    <w:rPr>
                      <w:rFonts w:hint="default" w:ascii="Times New Roman" w:hAnsi="Times New Roman" w:eastAsia="仿宋" w:cs="Times New Roman"/>
                      <w:color w:val="auto"/>
                      <w:szCs w:val="21"/>
                      <w:highlight w:val="none"/>
                    </w:rPr>
                  </w:pPr>
                  <w:r>
                    <w:rPr>
                      <w:rFonts w:hint="eastAsia" w:eastAsia="仿宋" w:cs="Times New Roman"/>
                      <w:color w:val="auto"/>
                      <w:szCs w:val="21"/>
                      <w:highlight w:val="none"/>
                      <w:lang w:val="en-US" w:eastAsia="zh-CN"/>
                    </w:rPr>
                    <w:t>350ml</w:t>
                  </w:r>
                  <w:r>
                    <w:rPr>
                      <w:rFonts w:hint="eastAsia" w:ascii="Times New Roman" w:hAnsi="Times New Roman" w:eastAsia="仿宋" w:cs="Times New Roman"/>
                      <w:color w:val="auto"/>
                      <w:szCs w:val="21"/>
                      <w:highlight w:val="none"/>
                      <w:lang w:val="en-US" w:eastAsia="zh-CN"/>
                    </w:rPr>
                    <w:t>/</w:t>
                  </w:r>
                  <w:r>
                    <w:rPr>
                      <w:rFonts w:hint="eastAsia" w:eastAsia="仿宋" w:cs="Times New Roman"/>
                      <w:color w:val="auto"/>
                      <w:szCs w:val="21"/>
                      <w:highlight w:val="none"/>
                      <w:lang w:val="en-US" w:eastAsia="zh-CN"/>
                    </w:rPr>
                    <w:t>瓶</w:t>
                  </w:r>
                </w:p>
              </w:tc>
              <w:tc>
                <w:tcPr>
                  <w:tcW w:w="405" w:type="pct"/>
                  <w:tcBorders>
                    <w:tl2br w:val="nil"/>
                    <w:tr2bl w:val="nil"/>
                  </w:tcBorders>
                  <w:noWrap w:val="0"/>
                  <w:vAlign w:val="center"/>
                </w:tcPr>
                <w:p w14:paraId="2182CD04">
                  <w:pPr>
                    <w:jc w:val="center"/>
                    <w:rPr>
                      <w:rFonts w:hint="default" w:eastAsia="仿宋" w:cs="Times New Roman"/>
                      <w:color w:val="auto"/>
                      <w:szCs w:val="21"/>
                      <w:highlight w:val="none"/>
                      <w:lang w:val="en-US" w:eastAsia="zh-CN"/>
                    </w:rPr>
                  </w:pPr>
                  <w:r>
                    <w:rPr>
                      <w:rFonts w:hint="eastAsia" w:eastAsia="仿宋" w:cs="Times New Roman"/>
                      <w:color w:val="auto"/>
                      <w:szCs w:val="21"/>
                      <w:highlight w:val="none"/>
                      <w:lang w:val="en-US" w:eastAsia="zh-CN"/>
                    </w:rPr>
                    <w:t>42</w:t>
                  </w:r>
                </w:p>
              </w:tc>
              <w:tc>
                <w:tcPr>
                  <w:tcW w:w="315" w:type="pct"/>
                  <w:tcBorders>
                    <w:tl2br w:val="nil"/>
                    <w:tr2bl w:val="nil"/>
                  </w:tcBorders>
                  <w:shd w:val="clear" w:color="auto" w:fill="auto"/>
                  <w:noWrap w:val="0"/>
                  <w:vAlign w:val="center"/>
                </w:tcPr>
                <w:p w14:paraId="1E41A646">
                  <w:pPr>
                    <w:jc w:val="center"/>
                    <w:rPr>
                      <w:rFonts w:hint="eastAsia" w:eastAsia="仿宋" w:cs="Times New Roman"/>
                      <w:color w:val="auto"/>
                      <w:kern w:val="2"/>
                      <w:sz w:val="21"/>
                      <w:szCs w:val="21"/>
                      <w:highlight w:val="none"/>
                      <w:lang w:val="en-US" w:eastAsia="zh-CN" w:bidi="ar-SA"/>
                    </w:rPr>
                  </w:pPr>
                  <w:r>
                    <w:rPr>
                      <w:rFonts w:hint="eastAsia" w:eastAsia="仿宋" w:cs="Times New Roman"/>
                      <w:color w:val="auto"/>
                      <w:szCs w:val="21"/>
                      <w:highlight w:val="none"/>
                      <w:lang w:val="en-US" w:eastAsia="zh-CN"/>
                    </w:rPr>
                    <w:t>kg</w:t>
                  </w:r>
                </w:p>
              </w:tc>
              <w:tc>
                <w:tcPr>
                  <w:tcW w:w="460" w:type="pct"/>
                  <w:tcBorders>
                    <w:tl2br w:val="nil"/>
                    <w:tr2bl w:val="nil"/>
                  </w:tcBorders>
                  <w:noWrap w:val="0"/>
                  <w:vAlign w:val="center"/>
                </w:tcPr>
                <w:p w14:paraId="10C8C9F9">
                  <w:pPr>
                    <w:jc w:val="center"/>
                    <w:rPr>
                      <w:rFonts w:hint="eastAsia" w:eastAsia="仿宋" w:cs="Times New Roman"/>
                      <w:color w:val="auto"/>
                      <w:szCs w:val="21"/>
                      <w:highlight w:val="none"/>
                      <w:lang w:val="en-US" w:eastAsia="zh-CN"/>
                    </w:rPr>
                  </w:pPr>
                  <w:r>
                    <w:rPr>
                      <w:rFonts w:hint="eastAsia" w:eastAsia="仿宋" w:cs="Times New Roman"/>
                      <w:color w:val="auto"/>
                      <w:szCs w:val="21"/>
                      <w:highlight w:val="none"/>
                      <w:lang w:val="en-US" w:eastAsia="zh-CN"/>
                    </w:rPr>
                    <w:t>7</w:t>
                  </w:r>
                </w:p>
              </w:tc>
              <w:tc>
                <w:tcPr>
                  <w:tcW w:w="483" w:type="pct"/>
                  <w:vMerge w:val="continue"/>
                  <w:tcBorders>
                    <w:tl2br w:val="nil"/>
                    <w:tr2bl w:val="nil"/>
                  </w:tcBorders>
                  <w:noWrap w:val="0"/>
                  <w:vAlign w:val="center"/>
                </w:tcPr>
                <w:p w14:paraId="11858FD9">
                  <w:pPr>
                    <w:jc w:val="center"/>
                    <w:rPr>
                      <w:rFonts w:hint="eastAsia" w:eastAsia="仿宋" w:cs="Times New Roman"/>
                      <w:color w:val="auto"/>
                      <w:szCs w:val="21"/>
                      <w:highlight w:val="none"/>
                      <w:lang w:val="en-US" w:eastAsia="zh-CN"/>
                    </w:rPr>
                  </w:pPr>
                </w:p>
              </w:tc>
            </w:tr>
          </w:tbl>
          <w:p w14:paraId="61CFED0A">
            <w:pPr>
              <w:keepNext w:val="0"/>
              <w:keepLines w:val="0"/>
              <w:numPr>
                <w:ilvl w:val="0"/>
                <w:numId w:val="0"/>
              </w:numPr>
              <w:suppressLineNumbers w:val="0"/>
              <w:tabs>
                <w:tab w:val="left" w:pos="0"/>
              </w:tabs>
              <w:autoSpaceDE/>
              <w:autoSpaceDN/>
              <w:adjustRightInd/>
              <w:snapToGrid w:val="0"/>
              <w:spacing w:before="0" w:beforeAutospacing="0" w:after="0" w:afterAutospacing="0" w:line="360" w:lineRule="auto"/>
              <w:ind w:left="0" w:right="0" w:firstLine="0" w:firstLineChars="0"/>
              <w:rPr>
                <w:rFonts w:hint="eastAsia" w:ascii="Times New Roman" w:hAnsi="Times New Roman" w:eastAsia="宋体"/>
                <w:b/>
                <w:color w:val="auto"/>
                <w:sz w:val="24"/>
                <w:szCs w:val="24"/>
                <w:highlight w:val="none"/>
                <w:lang w:val="en-US" w:eastAsia="zh-CN"/>
              </w:rPr>
            </w:pPr>
            <w:r>
              <w:rPr>
                <w:rFonts w:hint="eastAsia" w:ascii="Times New Roman" w:hAnsi="Times New Roman" w:eastAsia="宋体"/>
                <w:b/>
                <w:color w:val="auto"/>
                <w:sz w:val="24"/>
                <w:szCs w:val="24"/>
                <w:highlight w:val="none"/>
                <w:lang w:val="en-US" w:eastAsia="zh-CN"/>
              </w:rPr>
              <w:t>3.3</w:t>
            </w:r>
            <w:r>
              <w:rPr>
                <w:rFonts w:hint="eastAsia"/>
                <w:b/>
                <w:color w:val="auto"/>
                <w:sz w:val="24"/>
                <w:szCs w:val="24"/>
                <w:highlight w:val="none"/>
                <w:lang w:val="en-US" w:eastAsia="zh-CN"/>
              </w:rPr>
              <w:t xml:space="preserve">  </w:t>
            </w:r>
            <w:r>
              <w:rPr>
                <w:rFonts w:hint="eastAsia" w:ascii="Times New Roman" w:hAnsi="Times New Roman" w:eastAsia="宋体"/>
                <w:b/>
                <w:color w:val="auto"/>
                <w:sz w:val="24"/>
                <w:szCs w:val="24"/>
                <w:highlight w:val="none"/>
                <w:lang w:val="en-US" w:eastAsia="zh-CN"/>
              </w:rPr>
              <w:t>现有项目生产设备</w:t>
            </w:r>
          </w:p>
          <w:p w14:paraId="0DCC4F03">
            <w:pPr>
              <w:autoSpaceDE w:val="0"/>
              <w:autoSpaceDN w:val="0"/>
              <w:adjustRightInd w:val="0"/>
              <w:spacing w:line="360" w:lineRule="auto"/>
              <w:ind w:firstLine="480" w:firstLineChars="0"/>
              <w:rPr>
                <w:rFonts w:hint="default" w:cs="Times New Roman"/>
                <w:color w:val="auto"/>
                <w:sz w:val="24"/>
                <w:szCs w:val="22"/>
                <w:highlight w:val="none"/>
                <w:lang w:val="en-US" w:eastAsia="zh-CN"/>
              </w:rPr>
            </w:pPr>
            <w:r>
              <w:rPr>
                <w:rFonts w:hint="default" w:ascii="Times New Roman" w:hAnsi="Times New Roman" w:cs="Times New Roman"/>
                <w:color w:val="auto"/>
                <w:sz w:val="24"/>
                <w:szCs w:val="22"/>
                <w:highlight w:val="none"/>
                <w:lang w:val="en-US" w:eastAsia="zh-CN"/>
              </w:rPr>
              <w:t>现有项目生产设备</w:t>
            </w:r>
            <w:r>
              <w:rPr>
                <w:rFonts w:hint="default" w:cs="Times New Roman"/>
                <w:color w:val="auto"/>
                <w:sz w:val="24"/>
                <w:szCs w:val="22"/>
                <w:highlight w:val="none"/>
                <w:lang w:val="en-US" w:eastAsia="zh-CN"/>
              </w:rPr>
              <w:t>详见</w:t>
            </w:r>
            <w:r>
              <w:rPr>
                <w:rFonts w:hint="eastAsia" w:cs="Times New Roman"/>
                <w:color w:val="auto"/>
                <w:sz w:val="24"/>
                <w:szCs w:val="22"/>
                <w:highlight w:val="none"/>
                <w:lang w:val="en-US" w:eastAsia="zh-CN"/>
              </w:rPr>
              <w:t>下</w:t>
            </w:r>
            <w:r>
              <w:rPr>
                <w:rFonts w:hint="default" w:cs="Times New Roman"/>
                <w:color w:val="auto"/>
                <w:sz w:val="24"/>
                <w:szCs w:val="22"/>
                <w:highlight w:val="none"/>
                <w:lang w:val="en-US" w:eastAsia="zh-CN"/>
              </w:rPr>
              <w:t>表。</w:t>
            </w:r>
          </w:p>
          <w:p w14:paraId="1EF31B60">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主要生产设备表</w:t>
            </w:r>
          </w:p>
          <w:tbl>
            <w:tblPr>
              <w:tblStyle w:val="22"/>
              <w:tblW w:w="4995"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2828"/>
              <w:gridCol w:w="3252"/>
              <w:gridCol w:w="1271"/>
              <w:gridCol w:w="1068"/>
              <w:gridCol w:w="2"/>
            </w:tblGrid>
            <w:tr w14:paraId="5057CA0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pct"/>
                  <w:tcBorders>
                    <w:tl2br w:val="nil"/>
                    <w:tr2bl w:val="nil"/>
                  </w:tcBorders>
                  <w:noWrap w:val="0"/>
                  <w:vAlign w:val="center"/>
                </w:tcPr>
                <w:p w14:paraId="1007D01C">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序号</w:t>
                  </w:r>
                </w:p>
              </w:tc>
              <w:tc>
                <w:tcPr>
                  <w:tcW w:w="1528" w:type="pct"/>
                  <w:tcBorders>
                    <w:tl2br w:val="nil"/>
                    <w:tr2bl w:val="nil"/>
                  </w:tcBorders>
                  <w:noWrap w:val="0"/>
                  <w:vAlign w:val="center"/>
                </w:tcPr>
                <w:p w14:paraId="3B44E780">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设备名称</w:t>
                  </w:r>
                </w:p>
              </w:tc>
              <w:tc>
                <w:tcPr>
                  <w:tcW w:w="1757" w:type="pct"/>
                  <w:tcBorders>
                    <w:tl2br w:val="nil"/>
                    <w:tr2bl w:val="nil"/>
                  </w:tcBorders>
                  <w:noWrap w:val="0"/>
                  <w:vAlign w:val="center"/>
                </w:tcPr>
                <w:p w14:paraId="7B136CF5">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设备规格（型号）/参数</w:t>
                  </w:r>
                </w:p>
              </w:tc>
              <w:tc>
                <w:tcPr>
                  <w:tcW w:w="687" w:type="pct"/>
                  <w:tcBorders>
                    <w:tl2br w:val="nil"/>
                    <w:tr2bl w:val="nil"/>
                  </w:tcBorders>
                  <w:noWrap w:val="0"/>
                  <w:vAlign w:val="center"/>
                </w:tcPr>
                <w:p w14:paraId="3203FDBD">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数量（台）</w:t>
                  </w:r>
                </w:p>
              </w:tc>
              <w:tc>
                <w:tcPr>
                  <w:tcW w:w="578" w:type="pct"/>
                  <w:gridSpan w:val="2"/>
                  <w:tcBorders>
                    <w:tl2br w:val="nil"/>
                    <w:tr2bl w:val="nil"/>
                  </w:tcBorders>
                  <w:noWrap w:val="0"/>
                  <w:vAlign w:val="center"/>
                </w:tcPr>
                <w:p w14:paraId="2D0F59B9">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用途</w:t>
                  </w:r>
                </w:p>
              </w:tc>
            </w:tr>
            <w:tr w14:paraId="52CAB74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8D672B3">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1</w:t>
                  </w:r>
                </w:p>
              </w:tc>
              <w:tc>
                <w:tcPr>
                  <w:tcW w:w="1528" w:type="pct"/>
                  <w:tcBorders>
                    <w:tl2br w:val="nil"/>
                    <w:tr2bl w:val="nil"/>
                  </w:tcBorders>
                  <w:noWrap w:val="0"/>
                  <w:vAlign w:val="center"/>
                </w:tcPr>
                <w:p w14:paraId="521D2966">
                  <w:pPr>
                    <w:jc w:val="center"/>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val="en-US" w:eastAsia="zh-CN"/>
                    </w:rPr>
                    <w:t>兄弟</w:t>
                  </w:r>
                  <w:r>
                    <w:rPr>
                      <w:rFonts w:hint="eastAsia" w:ascii="Times New Roman" w:hAnsi="Times New Roman" w:eastAsia="仿宋" w:cs="Times New Roman"/>
                      <w:color w:val="auto"/>
                      <w:sz w:val="21"/>
                      <w:szCs w:val="21"/>
                      <w:highlight w:val="none"/>
                      <w:lang w:val="en-US" w:eastAsia="zh-CN"/>
                    </w:rPr>
                    <w:t>立式加工中心</w:t>
                  </w:r>
                </w:p>
              </w:tc>
              <w:tc>
                <w:tcPr>
                  <w:tcW w:w="1757" w:type="pct"/>
                  <w:tcBorders>
                    <w:tl2br w:val="nil"/>
                    <w:tr2bl w:val="nil"/>
                  </w:tcBorders>
                  <w:noWrap w:val="0"/>
                  <w:vAlign w:val="center"/>
                </w:tcPr>
                <w:p w14:paraId="6C9D492A">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TC-S2DNZ、TC-S2CZ、S700Z1</w:t>
                  </w:r>
                </w:p>
              </w:tc>
              <w:tc>
                <w:tcPr>
                  <w:tcW w:w="687" w:type="pct"/>
                  <w:tcBorders>
                    <w:tl2br w:val="nil"/>
                    <w:tr2bl w:val="nil"/>
                  </w:tcBorders>
                  <w:noWrap w:val="0"/>
                  <w:vAlign w:val="center"/>
                </w:tcPr>
                <w:p w14:paraId="464A59EC">
                  <w:pPr>
                    <w:jc w:val="center"/>
                    <w:rPr>
                      <w:rFonts w:hint="default" w:ascii="Times New Roman" w:hAnsi="Times New Roman" w:eastAsia="仿宋" w:cs="Times New Roman"/>
                      <w:color w:val="auto"/>
                      <w:sz w:val="21"/>
                      <w:szCs w:val="21"/>
                      <w:highlight w:val="none"/>
                      <w:lang w:val="en-US"/>
                    </w:rPr>
                  </w:pPr>
                  <w:r>
                    <w:rPr>
                      <w:rFonts w:hint="eastAsia" w:eastAsia="仿宋" w:cs="Times New Roman"/>
                      <w:color w:val="auto"/>
                      <w:sz w:val="21"/>
                      <w:szCs w:val="21"/>
                      <w:highlight w:val="none"/>
                      <w:lang w:val="en-US" w:eastAsia="zh-CN"/>
                    </w:rPr>
                    <w:t>24</w:t>
                  </w:r>
                </w:p>
              </w:tc>
              <w:tc>
                <w:tcPr>
                  <w:tcW w:w="577" w:type="pct"/>
                  <w:tcBorders>
                    <w:tl2br w:val="nil"/>
                    <w:tr2bl w:val="nil"/>
                  </w:tcBorders>
                  <w:noWrap w:val="0"/>
                  <w:vAlign w:val="center"/>
                </w:tcPr>
                <w:p w14:paraId="1B6FA507">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014389B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5DBA1B8B">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2</w:t>
                  </w:r>
                </w:p>
              </w:tc>
              <w:tc>
                <w:tcPr>
                  <w:tcW w:w="1528" w:type="pct"/>
                  <w:tcBorders>
                    <w:tl2br w:val="nil"/>
                    <w:tr2bl w:val="nil"/>
                  </w:tcBorders>
                  <w:noWrap w:val="0"/>
                  <w:vAlign w:val="center"/>
                </w:tcPr>
                <w:p w14:paraId="2CFFBDB8">
                  <w:pPr>
                    <w:jc w:val="center"/>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val="en-US" w:eastAsia="zh-CN"/>
                    </w:rPr>
                    <w:t>哈斯</w:t>
                  </w:r>
                  <w:r>
                    <w:rPr>
                      <w:rFonts w:hint="eastAsia" w:ascii="Times New Roman" w:hAnsi="Times New Roman" w:eastAsia="仿宋" w:cs="Times New Roman"/>
                      <w:color w:val="auto"/>
                      <w:sz w:val="21"/>
                      <w:szCs w:val="21"/>
                      <w:highlight w:val="none"/>
                      <w:lang w:val="en-US" w:eastAsia="zh-CN"/>
                    </w:rPr>
                    <w:t>立式加工中心</w:t>
                  </w:r>
                </w:p>
              </w:tc>
              <w:tc>
                <w:tcPr>
                  <w:tcW w:w="1757" w:type="pct"/>
                  <w:tcBorders>
                    <w:tl2br w:val="nil"/>
                    <w:tr2bl w:val="nil"/>
                  </w:tcBorders>
                  <w:noWrap w:val="0"/>
                  <w:vAlign w:val="center"/>
                </w:tcPr>
                <w:p w14:paraId="5F9EF5F2">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VF2SS、VF3SSYT、VF-6SS</w:t>
                  </w:r>
                </w:p>
              </w:tc>
              <w:tc>
                <w:tcPr>
                  <w:tcW w:w="687" w:type="pct"/>
                  <w:tcBorders>
                    <w:tl2br w:val="nil"/>
                    <w:tr2bl w:val="nil"/>
                  </w:tcBorders>
                  <w:noWrap w:val="0"/>
                  <w:vAlign w:val="center"/>
                </w:tcPr>
                <w:p w14:paraId="6B4C4D86">
                  <w:pPr>
                    <w:jc w:val="center"/>
                    <w:rPr>
                      <w:rFonts w:hint="default" w:ascii="Times New Roman" w:hAnsi="Times New Roman" w:eastAsia="仿宋" w:cs="Times New Roman"/>
                      <w:color w:val="auto"/>
                      <w:sz w:val="21"/>
                      <w:szCs w:val="21"/>
                      <w:highlight w:val="none"/>
                      <w:lang w:val="en-US"/>
                    </w:rPr>
                  </w:pPr>
                  <w:r>
                    <w:rPr>
                      <w:rFonts w:hint="eastAsia" w:eastAsia="仿宋" w:cs="Times New Roman"/>
                      <w:color w:val="auto"/>
                      <w:sz w:val="21"/>
                      <w:szCs w:val="21"/>
                      <w:highlight w:val="none"/>
                      <w:lang w:val="en-US" w:eastAsia="zh-CN"/>
                    </w:rPr>
                    <w:t>29</w:t>
                  </w:r>
                </w:p>
              </w:tc>
              <w:tc>
                <w:tcPr>
                  <w:tcW w:w="577" w:type="pct"/>
                  <w:tcBorders>
                    <w:tl2br w:val="nil"/>
                    <w:tr2bl w:val="nil"/>
                  </w:tcBorders>
                  <w:noWrap w:val="0"/>
                  <w:vAlign w:val="center"/>
                </w:tcPr>
                <w:p w14:paraId="1C400949">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1117768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8A32ABC">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3</w:t>
                  </w:r>
                </w:p>
              </w:tc>
              <w:tc>
                <w:tcPr>
                  <w:tcW w:w="1528" w:type="pct"/>
                  <w:tcBorders>
                    <w:tl2br w:val="nil"/>
                    <w:tr2bl w:val="nil"/>
                  </w:tcBorders>
                  <w:noWrap w:val="0"/>
                  <w:vAlign w:val="center"/>
                </w:tcPr>
                <w:p w14:paraId="2D4E0341">
                  <w:pPr>
                    <w:jc w:val="center"/>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val="en-US" w:eastAsia="zh-CN"/>
                    </w:rPr>
                    <w:t>品正</w:t>
                  </w:r>
                  <w:r>
                    <w:rPr>
                      <w:rFonts w:hint="eastAsia" w:ascii="Times New Roman" w:hAnsi="Times New Roman" w:eastAsia="仿宋" w:cs="Times New Roman"/>
                      <w:color w:val="auto"/>
                      <w:sz w:val="21"/>
                      <w:szCs w:val="21"/>
                      <w:highlight w:val="none"/>
                      <w:lang w:val="en-US" w:eastAsia="zh-CN"/>
                    </w:rPr>
                    <w:t>立式加工中心</w:t>
                  </w:r>
                </w:p>
              </w:tc>
              <w:tc>
                <w:tcPr>
                  <w:tcW w:w="1757" w:type="pct"/>
                  <w:tcBorders>
                    <w:tl2br w:val="nil"/>
                    <w:tr2bl w:val="nil"/>
                  </w:tcBorders>
                  <w:noWrap w:val="0"/>
                  <w:vAlign w:val="center"/>
                </w:tcPr>
                <w:p w14:paraId="15CAF3C8">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MCV-M8、MCV-M8C</w:t>
                  </w:r>
                </w:p>
              </w:tc>
              <w:tc>
                <w:tcPr>
                  <w:tcW w:w="687" w:type="pct"/>
                  <w:tcBorders>
                    <w:tl2br w:val="nil"/>
                    <w:tr2bl w:val="nil"/>
                  </w:tcBorders>
                  <w:noWrap w:val="0"/>
                  <w:vAlign w:val="center"/>
                </w:tcPr>
                <w:p w14:paraId="425F78D3">
                  <w:pPr>
                    <w:jc w:val="center"/>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val="en-US" w:eastAsia="zh-CN"/>
                    </w:rPr>
                    <w:t>9</w:t>
                  </w:r>
                </w:p>
              </w:tc>
              <w:tc>
                <w:tcPr>
                  <w:tcW w:w="577" w:type="pct"/>
                  <w:tcBorders>
                    <w:tl2br w:val="nil"/>
                    <w:tr2bl w:val="nil"/>
                  </w:tcBorders>
                  <w:noWrap w:val="0"/>
                  <w:vAlign w:val="center"/>
                </w:tcPr>
                <w:p w14:paraId="7F030D3D">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55D537C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43010E8D">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4</w:t>
                  </w:r>
                </w:p>
              </w:tc>
              <w:tc>
                <w:tcPr>
                  <w:tcW w:w="1528" w:type="pct"/>
                  <w:tcBorders>
                    <w:tl2br w:val="nil"/>
                    <w:tr2bl w:val="nil"/>
                  </w:tcBorders>
                  <w:noWrap w:val="0"/>
                  <w:vAlign w:val="center"/>
                </w:tcPr>
                <w:p w14:paraId="6C02940F">
                  <w:pPr>
                    <w:jc w:val="center"/>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val="en-US" w:eastAsia="zh-CN"/>
                    </w:rPr>
                    <w:t>大乔</w:t>
                  </w:r>
                  <w:r>
                    <w:rPr>
                      <w:rFonts w:hint="eastAsia" w:ascii="Times New Roman" w:hAnsi="Times New Roman" w:eastAsia="仿宋" w:cs="Times New Roman"/>
                      <w:color w:val="auto"/>
                      <w:sz w:val="21"/>
                      <w:szCs w:val="21"/>
                      <w:highlight w:val="none"/>
                      <w:lang w:val="en-US" w:eastAsia="zh-CN"/>
                    </w:rPr>
                    <w:t>立式加工中心</w:t>
                  </w:r>
                </w:p>
              </w:tc>
              <w:tc>
                <w:tcPr>
                  <w:tcW w:w="1757" w:type="pct"/>
                  <w:tcBorders>
                    <w:tl2br w:val="nil"/>
                    <w:tr2bl w:val="nil"/>
                  </w:tcBorders>
                  <w:noWrap w:val="0"/>
                  <w:vAlign w:val="center"/>
                </w:tcPr>
                <w:p w14:paraId="17A81650">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MV-45-Z、MCV-50</w:t>
                  </w:r>
                </w:p>
              </w:tc>
              <w:tc>
                <w:tcPr>
                  <w:tcW w:w="687" w:type="pct"/>
                  <w:tcBorders>
                    <w:tl2br w:val="nil"/>
                    <w:tr2bl w:val="nil"/>
                  </w:tcBorders>
                  <w:noWrap w:val="0"/>
                  <w:vAlign w:val="center"/>
                </w:tcPr>
                <w:p w14:paraId="297A240E">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p>
              </w:tc>
              <w:tc>
                <w:tcPr>
                  <w:tcW w:w="577" w:type="pct"/>
                  <w:tcBorders>
                    <w:tl2br w:val="nil"/>
                    <w:tr2bl w:val="nil"/>
                  </w:tcBorders>
                  <w:noWrap w:val="0"/>
                  <w:vAlign w:val="center"/>
                </w:tcPr>
                <w:p w14:paraId="3414F016">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31B7B56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6A8339EB">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5</w:t>
                  </w:r>
                </w:p>
              </w:tc>
              <w:tc>
                <w:tcPr>
                  <w:tcW w:w="1528" w:type="pct"/>
                  <w:tcBorders>
                    <w:tl2br w:val="nil"/>
                    <w:tr2bl w:val="nil"/>
                  </w:tcBorders>
                  <w:noWrap w:val="0"/>
                  <w:vAlign w:val="center"/>
                </w:tcPr>
                <w:p w14:paraId="33015A6E">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牧野卧式加工中心</w:t>
                  </w:r>
                </w:p>
              </w:tc>
              <w:tc>
                <w:tcPr>
                  <w:tcW w:w="1757" w:type="pct"/>
                  <w:tcBorders>
                    <w:tl2br w:val="nil"/>
                    <w:tr2bl w:val="nil"/>
                  </w:tcBorders>
                  <w:noWrap w:val="0"/>
                  <w:vAlign w:val="center"/>
                </w:tcPr>
                <w:p w14:paraId="66584C15">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A51NX、A61NX、PS65、PS105</w:t>
                  </w:r>
                </w:p>
              </w:tc>
              <w:tc>
                <w:tcPr>
                  <w:tcW w:w="687" w:type="pct"/>
                  <w:tcBorders>
                    <w:tl2br w:val="nil"/>
                    <w:tr2bl w:val="nil"/>
                  </w:tcBorders>
                  <w:noWrap w:val="0"/>
                  <w:vAlign w:val="center"/>
                </w:tcPr>
                <w:p w14:paraId="2D40D717">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7</w:t>
                  </w:r>
                </w:p>
              </w:tc>
              <w:tc>
                <w:tcPr>
                  <w:tcW w:w="577" w:type="pct"/>
                  <w:tcBorders>
                    <w:tl2br w:val="nil"/>
                    <w:tr2bl w:val="nil"/>
                  </w:tcBorders>
                  <w:noWrap w:val="0"/>
                  <w:vAlign w:val="center"/>
                </w:tcPr>
                <w:p w14:paraId="3533F397">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3A2D924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28DF86B">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6</w:t>
                  </w:r>
                </w:p>
              </w:tc>
              <w:tc>
                <w:tcPr>
                  <w:tcW w:w="1528" w:type="pct"/>
                  <w:tcBorders>
                    <w:tl2br w:val="nil"/>
                    <w:tr2bl w:val="nil"/>
                  </w:tcBorders>
                  <w:noWrap w:val="0"/>
                  <w:vAlign w:val="center"/>
                </w:tcPr>
                <w:p w14:paraId="3FFEF657">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德扬立式加工中心</w:t>
                  </w:r>
                </w:p>
              </w:tc>
              <w:tc>
                <w:tcPr>
                  <w:tcW w:w="1757" w:type="pct"/>
                  <w:tcBorders>
                    <w:tl2br w:val="nil"/>
                    <w:tr2bl w:val="nil"/>
                  </w:tcBorders>
                  <w:noWrap w:val="0"/>
                  <w:vAlign w:val="center"/>
                </w:tcPr>
                <w:p w14:paraId="60374190">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DV650+</w:t>
                  </w:r>
                </w:p>
              </w:tc>
              <w:tc>
                <w:tcPr>
                  <w:tcW w:w="687" w:type="pct"/>
                  <w:tcBorders>
                    <w:tl2br w:val="nil"/>
                    <w:tr2bl w:val="nil"/>
                  </w:tcBorders>
                  <w:noWrap w:val="0"/>
                  <w:vAlign w:val="center"/>
                </w:tcPr>
                <w:p w14:paraId="2CC0311A">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w:t>
                  </w:r>
                </w:p>
              </w:tc>
              <w:tc>
                <w:tcPr>
                  <w:tcW w:w="577" w:type="pct"/>
                  <w:tcBorders>
                    <w:tl2br w:val="nil"/>
                    <w:tr2bl w:val="nil"/>
                  </w:tcBorders>
                  <w:noWrap w:val="0"/>
                  <w:vAlign w:val="center"/>
                </w:tcPr>
                <w:p w14:paraId="4887ABF7">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6D59071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28E285F">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7</w:t>
                  </w:r>
                </w:p>
              </w:tc>
              <w:tc>
                <w:tcPr>
                  <w:tcW w:w="1528" w:type="pct"/>
                  <w:tcBorders>
                    <w:tl2br w:val="nil"/>
                    <w:tr2bl w:val="nil"/>
                  </w:tcBorders>
                  <w:noWrap w:val="0"/>
                  <w:vAlign w:val="center"/>
                </w:tcPr>
                <w:p w14:paraId="39B87540">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科德五轴立式加工中心</w:t>
                  </w:r>
                </w:p>
              </w:tc>
              <w:tc>
                <w:tcPr>
                  <w:tcW w:w="1757" w:type="pct"/>
                  <w:tcBorders>
                    <w:tl2br w:val="nil"/>
                    <w:tr2bl w:val="nil"/>
                  </w:tcBorders>
                  <w:noWrap w:val="0"/>
                  <w:vAlign w:val="center"/>
                </w:tcPr>
                <w:p w14:paraId="1FB925C3">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KMC800SU</w:t>
                  </w:r>
                </w:p>
              </w:tc>
              <w:tc>
                <w:tcPr>
                  <w:tcW w:w="687" w:type="pct"/>
                  <w:tcBorders>
                    <w:tl2br w:val="nil"/>
                    <w:tr2bl w:val="nil"/>
                  </w:tcBorders>
                  <w:noWrap w:val="0"/>
                  <w:vAlign w:val="center"/>
                </w:tcPr>
                <w:p w14:paraId="6698D286">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w:t>
                  </w:r>
                </w:p>
              </w:tc>
              <w:tc>
                <w:tcPr>
                  <w:tcW w:w="577" w:type="pct"/>
                  <w:tcBorders>
                    <w:tl2br w:val="nil"/>
                    <w:tr2bl w:val="nil"/>
                  </w:tcBorders>
                  <w:noWrap w:val="0"/>
                  <w:vAlign w:val="center"/>
                </w:tcPr>
                <w:p w14:paraId="5C017709">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1C56CC1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28F826A3">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8</w:t>
                  </w:r>
                </w:p>
              </w:tc>
              <w:tc>
                <w:tcPr>
                  <w:tcW w:w="1528" w:type="pct"/>
                  <w:tcBorders>
                    <w:tl2br w:val="nil"/>
                    <w:tr2bl w:val="nil"/>
                  </w:tcBorders>
                  <w:noWrap w:val="0"/>
                  <w:vAlign w:val="center"/>
                </w:tcPr>
                <w:p w14:paraId="039B5F45">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科德五轴立式</w:t>
                  </w:r>
                  <w:r>
                    <w:rPr>
                      <w:rFonts w:hint="eastAsia" w:eastAsia="仿宋" w:cs="Times New Roman"/>
                      <w:color w:val="auto"/>
                      <w:sz w:val="21"/>
                      <w:szCs w:val="21"/>
                      <w:highlight w:val="none"/>
                      <w:lang w:val="en-US" w:eastAsia="zh-CN"/>
                    </w:rPr>
                    <w:t>车铣</w:t>
                  </w:r>
                  <w:r>
                    <w:rPr>
                      <w:rFonts w:hint="default" w:ascii="Times New Roman" w:hAnsi="Times New Roman" w:eastAsia="仿宋" w:cs="Times New Roman"/>
                      <w:color w:val="auto"/>
                      <w:sz w:val="21"/>
                      <w:szCs w:val="21"/>
                      <w:highlight w:val="none"/>
                    </w:rPr>
                    <w:t>加工中心</w:t>
                  </w:r>
                </w:p>
              </w:tc>
              <w:tc>
                <w:tcPr>
                  <w:tcW w:w="1757" w:type="pct"/>
                  <w:tcBorders>
                    <w:tl2br w:val="nil"/>
                    <w:tr2bl w:val="nil"/>
                  </w:tcBorders>
                  <w:noWrap w:val="0"/>
                  <w:vAlign w:val="center"/>
                </w:tcPr>
                <w:p w14:paraId="634ECA81">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KMC400S UMT</w:t>
                  </w:r>
                </w:p>
              </w:tc>
              <w:tc>
                <w:tcPr>
                  <w:tcW w:w="687" w:type="pct"/>
                  <w:tcBorders>
                    <w:tl2br w:val="nil"/>
                    <w:tr2bl w:val="nil"/>
                  </w:tcBorders>
                  <w:noWrap w:val="0"/>
                  <w:vAlign w:val="center"/>
                </w:tcPr>
                <w:p w14:paraId="5B067707">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w:t>
                  </w:r>
                </w:p>
              </w:tc>
              <w:tc>
                <w:tcPr>
                  <w:tcW w:w="577" w:type="pct"/>
                  <w:tcBorders>
                    <w:tl2br w:val="nil"/>
                    <w:tr2bl w:val="nil"/>
                  </w:tcBorders>
                  <w:noWrap w:val="0"/>
                  <w:vAlign w:val="center"/>
                </w:tcPr>
                <w:p w14:paraId="7ADBA2C9">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10F45EF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2972C404">
                  <w:pPr>
                    <w:widowControl/>
                    <w:jc w:val="center"/>
                    <w:textAlignment w:val="center"/>
                    <w:rPr>
                      <w:rFonts w:hint="default" w:ascii="Times New Roman" w:hAnsi="Times New Roman" w:eastAsia="仿宋" w:cs="Times New Roman"/>
                      <w:color w:val="auto"/>
                      <w:kern w:val="0"/>
                      <w:sz w:val="21"/>
                      <w:szCs w:val="21"/>
                      <w:highlight w:val="none"/>
                      <w:lang w:bidi="ar"/>
                    </w:rPr>
                  </w:pPr>
                  <w:r>
                    <w:rPr>
                      <w:rFonts w:hint="default" w:ascii="Times New Roman" w:hAnsi="Times New Roman" w:eastAsia="仿宋" w:cs="Times New Roman"/>
                      <w:color w:val="auto"/>
                      <w:kern w:val="0"/>
                      <w:sz w:val="21"/>
                      <w:szCs w:val="21"/>
                      <w:highlight w:val="none"/>
                      <w:lang w:bidi="ar"/>
                    </w:rPr>
                    <w:t>9</w:t>
                  </w:r>
                </w:p>
              </w:tc>
              <w:tc>
                <w:tcPr>
                  <w:tcW w:w="1528" w:type="pct"/>
                  <w:tcBorders>
                    <w:tl2br w:val="nil"/>
                    <w:tr2bl w:val="nil"/>
                  </w:tcBorders>
                  <w:noWrap w:val="0"/>
                  <w:vAlign w:val="center"/>
                </w:tcPr>
                <w:p w14:paraId="5C962281">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德玛吉五轴立式加工中心</w:t>
                  </w:r>
                </w:p>
              </w:tc>
              <w:tc>
                <w:tcPr>
                  <w:tcW w:w="1757" w:type="pct"/>
                  <w:tcBorders>
                    <w:tl2br w:val="nil"/>
                    <w:tr2bl w:val="nil"/>
                  </w:tcBorders>
                  <w:noWrap w:val="0"/>
                  <w:vAlign w:val="center"/>
                </w:tcPr>
                <w:p w14:paraId="7D5C533F">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MU85</w:t>
                  </w:r>
                </w:p>
              </w:tc>
              <w:tc>
                <w:tcPr>
                  <w:tcW w:w="687" w:type="pct"/>
                  <w:tcBorders>
                    <w:tl2br w:val="nil"/>
                    <w:tr2bl w:val="nil"/>
                  </w:tcBorders>
                  <w:noWrap w:val="0"/>
                  <w:vAlign w:val="center"/>
                </w:tcPr>
                <w:p w14:paraId="6A49343B">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w:t>
                  </w:r>
                </w:p>
              </w:tc>
              <w:tc>
                <w:tcPr>
                  <w:tcW w:w="577" w:type="pct"/>
                  <w:tcBorders>
                    <w:tl2br w:val="nil"/>
                    <w:tr2bl w:val="nil"/>
                  </w:tcBorders>
                  <w:noWrap w:val="0"/>
                  <w:vAlign w:val="center"/>
                </w:tcPr>
                <w:p w14:paraId="751F9950">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5AC6036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1E21F0BE">
                  <w:pPr>
                    <w:widowControl/>
                    <w:jc w:val="center"/>
                    <w:textAlignment w:val="center"/>
                    <w:rPr>
                      <w:rFonts w:hint="default" w:ascii="Times New Roman" w:hAnsi="Times New Roman" w:eastAsia="仿宋" w:cs="Times New Roman"/>
                      <w:color w:val="auto"/>
                      <w:kern w:val="0"/>
                      <w:sz w:val="21"/>
                      <w:szCs w:val="21"/>
                      <w:highlight w:val="none"/>
                      <w:lang w:val="en-US" w:eastAsia="zh-CN" w:bidi="ar"/>
                    </w:rPr>
                  </w:pPr>
                  <w:r>
                    <w:rPr>
                      <w:rFonts w:hint="default" w:ascii="Times New Roman" w:hAnsi="Times New Roman" w:eastAsia="仿宋" w:cs="Times New Roman"/>
                      <w:color w:val="auto"/>
                      <w:kern w:val="0"/>
                      <w:sz w:val="21"/>
                      <w:szCs w:val="21"/>
                      <w:highlight w:val="none"/>
                      <w:lang w:val="en-US" w:eastAsia="zh-CN" w:bidi="ar"/>
                    </w:rPr>
                    <w:t>10</w:t>
                  </w:r>
                </w:p>
              </w:tc>
              <w:tc>
                <w:tcPr>
                  <w:tcW w:w="1528" w:type="pct"/>
                  <w:tcBorders>
                    <w:tl2br w:val="nil"/>
                    <w:tr2bl w:val="nil"/>
                  </w:tcBorders>
                  <w:noWrap w:val="0"/>
                  <w:vAlign w:val="center"/>
                </w:tcPr>
                <w:p w14:paraId="165B0895">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程泰车铣复合</w:t>
                  </w:r>
                </w:p>
              </w:tc>
              <w:tc>
                <w:tcPr>
                  <w:tcW w:w="1757" w:type="pct"/>
                  <w:tcBorders>
                    <w:tl2br w:val="nil"/>
                    <w:tr2bl w:val="nil"/>
                  </w:tcBorders>
                  <w:noWrap w:val="0"/>
                  <w:vAlign w:val="center"/>
                </w:tcPr>
                <w:p w14:paraId="21EA8C2E">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GLS-2000LY</w:t>
                  </w:r>
                </w:p>
              </w:tc>
              <w:tc>
                <w:tcPr>
                  <w:tcW w:w="687" w:type="pct"/>
                  <w:tcBorders>
                    <w:tl2br w:val="nil"/>
                    <w:tr2bl w:val="nil"/>
                  </w:tcBorders>
                  <w:noWrap w:val="0"/>
                  <w:vAlign w:val="center"/>
                </w:tcPr>
                <w:p w14:paraId="069313E4">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w:t>
                  </w:r>
                </w:p>
              </w:tc>
              <w:tc>
                <w:tcPr>
                  <w:tcW w:w="577" w:type="pct"/>
                  <w:tcBorders>
                    <w:tl2br w:val="nil"/>
                    <w:tr2bl w:val="nil"/>
                  </w:tcBorders>
                  <w:noWrap w:val="0"/>
                  <w:vAlign w:val="center"/>
                </w:tcPr>
                <w:p w14:paraId="6D95DF68">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6315604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shd w:val="clear" w:color="auto" w:fill="auto"/>
                  <w:noWrap w:val="0"/>
                  <w:vAlign w:val="center"/>
                </w:tcPr>
                <w:p w14:paraId="734445AD">
                  <w:pPr>
                    <w:widowControl/>
                    <w:jc w:val="center"/>
                    <w:textAlignment w:val="center"/>
                    <w:rPr>
                      <w:rFonts w:hint="default" w:ascii="Times New Roman" w:hAnsi="Times New Roman" w:eastAsia="仿宋" w:cs="Times New Roman"/>
                      <w:color w:val="auto"/>
                      <w:kern w:val="0"/>
                      <w:sz w:val="21"/>
                      <w:szCs w:val="21"/>
                      <w:highlight w:val="none"/>
                      <w:lang w:val="en-US" w:eastAsia="zh-CN" w:bidi="ar"/>
                    </w:rPr>
                  </w:pPr>
                  <w:r>
                    <w:rPr>
                      <w:rFonts w:hint="default" w:ascii="Times New Roman" w:hAnsi="Times New Roman" w:eastAsia="仿宋" w:cs="Times New Roman"/>
                      <w:color w:val="auto"/>
                      <w:kern w:val="0"/>
                      <w:sz w:val="21"/>
                      <w:szCs w:val="21"/>
                      <w:highlight w:val="none"/>
                      <w:lang w:bidi="ar"/>
                    </w:rPr>
                    <w:t>11</w:t>
                  </w:r>
                </w:p>
              </w:tc>
              <w:tc>
                <w:tcPr>
                  <w:tcW w:w="1528" w:type="pct"/>
                  <w:tcBorders>
                    <w:tl2br w:val="nil"/>
                    <w:tr2bl w:val="nil"/>
                  </w:tcBorders>
                  <w:noWrap w:val="0"/>
                  <w:vAlign w:val="center"/>
                </w:tcPr>
                <w:p w14:paraId="4B25E6AC">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马扎克车铣复合</w:t>
                  </w:r>
                </w:p>
              </w:tc>
              <w:tc>
                <w:tcPr>
                  <w:tcW w:w="1757" w:type="pct"/>
                  <w:tcBorders>
                    <w:tl2br w:val="nil"/>
                    <w:tr2bl w:val="nil"/>
                  </w:tcBorders>
                  <w:noWrap w:val="0"/>
                  <w:vAlign w:val="center"/>
                </w:tcPr>
                <w:p w14:paraId="196187DC">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QT200MAL/500、QT-COMPACT200MYL</w:t>
                  </w:r>
                </w:p>
              </w:tc>
              <w:tc>
                <w:tcPr>
                  <w:tcW w:w="687" w:type="pct"/>
                  <w:tcBorders>
                    <w:tl2br w:val="nil"/>
                    <w:tr2bl w:val="nil"/>
                  </w:tcBorders>
                  <w:noWrap w:val="0"/>
                  <w:vAlign w:val="center"/>
                </w:tcPr>
                <w:p w14:paraId="73BE1A3F">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4</w:t>
                  </w:r>
                </w:p>
              </w:tc>
              <w:tc>
                <w:tcPr>
                  <w:tcW w:w="577" w:type="pct"/>
                  <w:tcBorders>
                    <w:tl2br w:val="nil"/>
                    <w:tr2bl w:val="nil"/>
                  </w:tcBorders>
                  <w:noWrap w:val="0"/>
                  <w:vAlign w:val="center"/>
                </w:tcPr>
                <w:p w14:paraId="1AA74EE5">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1C3EEEC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shd w:val="clear" w:color="auto" w:fill="auto"/>
                  <w:noWrap w:val="0"/>
                  <w:vAlign w:val="center"/>
                </w:tcPr>
                <w:p w14:paraId="21E41598">
                  <w:pPr>
                    <w:widowControl/>
                    <w:jc w:val="center"/>
                    <w:textAlignment w:val="center"/>
                    <w:rPr>
                      <w:rFonts w:hint="default" w:ascii="Times New Roman" w:hAnsi="Times New Roman" w:eastAsia="仿宋" w:cs="Times New Roman"/>
                      <w:color w:val="auto"/>
                      <w:kern w:val="0"/>
                      <w:sz w:val="21"/>
                      <w:szCs w:val="21"/>
                      <w:highlight w:val="none"/>
                      <w:lang w:val="en-US" w:eastAsia="zh-CN" w:bidi="ar"/>
                    </w:rPr>
                  </w:pPr>
                  <w:r>
                    <w:rPr>
                      <w:rFonts w:hint="default" w:ascii="Times New Roman" w:hAnsi="Times New Roman" w:eastAsia="仿宋" w:cs="Times New Roman"/>
                      <w:color w:val="auto"/>
                      <w:kern w:val="0"/>
                      <w:sz w:val="21"/>
                      <w:szCs w:val="21"/>
                      <w:highlight w:val="none"/>
                      <w:lang w:bidi="ar"/>
                    </w:rPr>
                    <w:t>12</w:t>
                  </w:r>
                </w:p>
              </w:tc>
              <w:tc>
                <w:tcPr>
                  <w:tcW w:w="1528" w:type="pct"/>
                  <w:tcBorders>
                    <w:tl2br w:val="nil"/>
                    <w:tr2bl w:val="nil"/>
                  </w:tcBorders>
                  <w:noWrap w:val="0"/>
                  <w:vAlign w:val="center"/>
                </w:tcPr>
                <w:p w14:paraId="30504B30">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马扎克</w:t>
                  </w:r>
                  <w:r>
                    <w:rPr>
                      <w:rFonts w:hint="eastAsia" w:eastAsia="仿宋" w:cs="Times New Roman"/>
                      <w:color w:val="auto"/>
                      <w:sz w:val="21"/>
                      <w:szCs w:val="21"/>
                      <w:highlight w:val="none"/>
                      <w:lang w:val="en-US" w:eastAsia="zh-CN"/>
                    </w:rPr>
                    <w:t>数控车床</w:t>
                  </w:r>
                </w:p>
              </w:tc>
              <w:tc>
                <w:tcPr>
                  <w:tcW w:w="1757" w:type="pct"/>
                  <w:tcBorders>
                    <w:tl2br w:val="nil"/>
                    <w:tr2bl w:val="nil"/>
                  </w:tcBorders>
                  <w:noWrap w:val="0"/>
                  <w:vAlign w:val="center"/>
                </w:tcPr>
                <w:p w14:paraId="0F2078F0">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QTP150</w:t>
                  </w:r>
                </w:p>
              </w:tc>
              <w:tc>
                <w:tcPr>
                  <w:tcW w:w="687" w:type="pct"/>
                  <w:tcBorders>
                    <w:tl2br w:val="nil"/>
                    <w:tr2bl w:val="nil"/>
                  </w:tcBorders>
                  <w:noWrap w:val="0"/>
                  <w:vAlign w:val="center"/>
                </w:tcPr>
                <w:p w14:paraId="7148CED9">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w:t>
                  </w:r>
                </w:p>
              </w:tc>
              <w:tc>
                <w:tcPr>
                  <w:tcW w:w="577" w:type="pct"/>
                  <w:tcBorders>
                    <w:tl2br w:val="nil"/>
                    <w:tr2bl w:val="nil"/>
                  </w:tcBorders>
                  <w:noWrap w:val="0"/>
                  <w:vAlign w:val="center"/>
                </w:tcPr>
                <w:p w14:paraId="42DC38A3">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7A760E9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30A3DBB">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13</w:t>
                  </w:r>
                </w:p>
              </w:tc>
              <w:tc>
                <w:tcPr>
                  <w:tcW w:w="1528" w:type="pct"/>
                  <w:tcBorders>
                    <w:tl2br w:val="nil"/>
                    <w:tr2bl w:val="nil"/>
                  </w:tcBorders>
                  <w:noWrap w:val="0"/>
                  <w:vAlign w:val="center"/>
                </w:tcPr>
                <w:p w14:paraId="7BCD182B">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津上走芯机</w:t>
                  </w:r>
                </w:p>
              </w:tc>
              <w:tc>
                <w:tcPr>
                  <w:tcW w:w="1757" w:type="pct"/>
                  <w:tcBorders>
                    <w:tl2br w:val="nil"/>
                    <w:tr2bl w:val="nil"/>
                  </w:tcBorders>
                  <w:noWrap w:val="0"/>
                  <w:vAlign w:val="center"/>
                </w:tcPr>
                <w:p w14:paraId="5C4BEC7C">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S205A</w:t>
                  </w:r>
                </w:p>
              </w:tc>
              <w:tc>
                <w:tcPr>
                  <w:tcW w:w="687" w:type="pct"/>
                  <w:tcBorders>
                    <w:tl2br w:val="nil"/>
                    <w:tr2bl w:val="nil"/>
                  </w:tcBorders>
                  <w:noWrap w:val="0"/>
                  <w:vAlign w:val="center"/>
                </w:tcPr>
                <w:p w14:paraId="0C334E53">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p>
              </w:tc>
              <w:tc>
                <w:tcPr>
                  <w:tcW w:w="577" w:type="pct"/>
                  <w:tcBorders>
                    <w:tl2br w:val="nil"/>
                    <w:tr2bl w:val="nil"/>
                  </w:tcBorders>
                  <w:noWrap w:val="0"/>
                  <w:vAlign w:val="center"/>
                </w:tcPr>
                <w:p w14:paraId="315563FA">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7CD86AF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3E1BBE13">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14</w:t>
                  </w:r>
                </w:p>
              </w:tc>
              <w:tc>
                <w:tcPr>
                  <w:tcW w:w="1528" w:type="pct"/>
                  <w:tcBorders>
                    <w:tl2br w:val="nil"/>
                    <w:tr2bl w:val="nil"/>
                  </w:tcBorders>
                  <w:noWrap w:val="0"/>
                  <w:vAlign w:val="center"/>
                </w:tcPr>
                <w:p w14:paraId="7C5D96F6">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万能摇臂铣床</w:t>
                  </w:r>
                </w:p>
              </w:tc>
              <w:tc>
                <w:tcPr>
                  <w:tcW w:w="1757" w:type="pct"/>
                  <w:tcBorders>
                    <w:tl2br w:val="nil"/>
                    <w:tr2bl w:val="nil"/>
                  </w:tcBorders>
                  <w:noWrap w:val="0"/>
                  <w:vAlign w:val="center"/>
                </w:tcPr>
                <w:p w14:paraId="13FF7744">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X-4m</w:t>
                  </w:r>
                </w:p>
              </w:tc>
              <w:tc>
                <w:tcPr>
                  <w:tcW w:w="687" w:type="pct"/>
                  <w:tcBorders>
                    <w:tl2br w:val="nil"/>
                    <w:tr2bl w:val="nil"/>
                  </w:tcBorders>
                  <w:noWrap w:val="0"/>
                  <w:vAlign w:val="center"/>
                </w:tcPr>
                <w:p w14:paraId="673D4B37">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0445E23D">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2CB0EE3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67A167A9">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15</w:t>
                  </w:r>
                </w:p>
              </w:tc>
              <w:tc>
                <w:tcPr>
                  <w:tcW w:w="1528" w:type="pct"/>
                  <w:tcBorders>
                    <w:tl2br w:val="nil"/>
                    <w:tr2bl w:val="nil"/>
                  </w:tcBorders>
                  <w:noWrap w:val="0"/>
                  <w:vAlign w:val="center"/>
                </w:tcPr>
                <w:p w14:paraId="0D387E36">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台式钻床</w:t>
                  </w:r>
                </w:p>
              </w:tc>
              <w:tc>
                <w:tcPr>
                  <w:tcW w:w="1757" w:type="pct"/>
                  <w:tcBorders>
                    <w:tl2br w:val="nil"/>
                    <w:tr2bl w:val="nil"/>
                  </w:tcBorders>
                  <w:noWrap w:val="0"/>
                  <w:vAlign w:val="center"/>
                </w:tcPr>
                <w:p w14:paraId="7A451063">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Z512B</w:t>
                  </w:r>
                </w:p>
              </w:tc>
              <w:tc>
                <w:tcPr>
                  <w:tcW w:w="687" w:type="pct"/>
                  <w:tcBorders>
                    <w:tl2br w:val="nil"/>
                    <w:tr2bl w:val="nil"/>
                  </w:tcBorders>
                  <w:noWrap w:val="0"/>
                  <w:vAlign w:val="center"/>
                </w:tcPr>
                <w:p w14:paraId="1138CEBA">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64C121F7">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4187053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22865C99">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16</w:t>
                  </w:r>
                </w:p>
              </w:tc>
              <w:tc>
                <w:tcPr>
                  <w:tcW w:w="1528" w:type="pct"/>
                  <w:tcBorders>
                    <w:tl2br w:val="nil"/>
                    <w:tr2bl w:val="nil"/>
                  </w:tcBorders>
                  <w:noWrap w:val="0"/>
                  <w:vAlign w:val="center"/>
                </w:tcPr>
                <w:p w14:paraId="3EC987FA">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台式攻丝机</w:t>
                  </w:r>
                </w:p>
              </w:tc>
              <w:tc>
                <w:tcPr>
                  <w:tcW w:w="1757" w:type="pct"/>
                  <w:tcBorders>
                    <w:tl2br w:val="nil"/>
                    <w:tr2bl w:val="nil"/>
                  </w:tcBorders>
                  <w:noWrap w:val="0"/>
                  <w:vAlign w:val="center"/>
                </w:tcPr>
                <w:p w14:paraId="77500D33">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SWJ-10</w:t>
                  </w:r>
                </w:p>
              </w:tc>
              <w:tc>
                <w:tcPr>
                  <w:tcW w:w="687" w:type="pct"/>
                  <w:tcBorders>
                    <w:tl2br w:val="nil"/>
                    <w:tr2bl w:val="nil"/>
                  </w:tcBorders>
                  <w:noWrap w:val="0"/>
                  <w:vAlign w:val="center"/>
                </w:tcPr>
                <w:p w14:paraId="3FF8B81A">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p>
              </w:tc>
              <w:tc>
                <w:tcPr>
                  <w:tcW w:w="577" w:type="pct"/>
                  <w:tcBorders>
                    <w:tl2br w:val="nil"/>
                    <w:tr2bl w:val="nil"/>
                  </w:tcBorders>
                  <w:noWrap w:val="0"/>
                  <w:vAlign w:val="center"/>
                </w:tcPr>
                <w:p w14:paraId="16AC70C7">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17E2EAC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73371AD6">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17</w:t>
                  </w:r>
                </w:p>
              </w:tc>
              <w:tc>
                <w:tcPr>
                  <w:tcW w:w="1528" w:type="pct"/>
                  <w:tcBorders>
                    <w:tl2br w:val="nil"/>
                    <w:tr2bl w:val="nil"/>
                  </w:tcBorders>
                  <w:noWrap w:val="0"/>
                  <w:vAlign w:val="center"/>
                </w:tcPr>
                <w:p w14:paraId="1D5ECE18">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卧式平面磨床</w:t>
                  </w:r>
                </w:p>
              </w:tc>
              <w:tc>
                <w:tcPr>
                  <w:tcW w:w="1757" w:type="pct"/>
                  <w:tcBorders>
                    <w:tl2br w:val="nil"/>
                    <w:tr2bl w:val="nil"/>
                  </w:tcBorders>
                  <w:noWrap w:val="0"/>
                  <w:vAlign w:val="center"/>
                </w:tcPr>
                <w:p w14:paraId="501116A7">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M7130H</w:t>
                  </w:r>
                </w:p>
              </w:tc>
              <w:tc>
                <w:tcPr>
                  <w:tcW w:w="687" w:type="pct"/>
                  <w:tcBorders>
                    <w:tl2br w:val="nil"/>
                    <w:tr2bl w:val="nil"/>
                  </w:tcBorders>
                  <w:noWrap w:val="0"/>
                  <w:vAlign w:val="center"/>
                </w:tcPr>
                <w:p w14:paraId="41B62D39">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52C97B41">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2FB9D10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4C4BCC6D">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18</w:t>
                  </w:r>
                </w:p>
              </w:tc>
              <w:tc>
                <w:tcPr>
                  <w:tcW w:w="1528" w:type="pct"/>
                  <w:tcBorders>
                    <w:tl2br w:val="nil"/>
                    <w:tr2bl w:val="nil"/>
                  </w:tcBorders>
                  <w:noWrap w:val="0"/>
                  <w:vAlign w:val="center"/>
                </w:tcPr>
                <w:p w14:paraId="57821B8E">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立式砂轮机</w:t>
                  </w:r>
                </w:p>
              </w:tc>
              <w:tc>
                <w:tcPr>
                  <w:tcW w:w="1757" w:type="pct"/>
                  <w:tcBorders>
                    <w:tl2br w:val="nil"/>
                    <w:tr2bl w:val="nil"/>
                  </w:tcBorders>
                  <w:noWrap w:val="0"/>
                  <w:vAlign w:val="center"/>
                </w:tcPr>
                <w:p w14:paraId="002C57AD">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MQ3225</w:t>
                  </w:r>
                  <w:r>
                    <w:rPr>
                      <w:rFonts w:hint="eastAsia"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MQ3230</w:t>
                  </w:r>
                </w:p>
              </w:tc>
              <w:tc>
                <w:tcPr>
                  <w:tcW w:w="687" w:type="pct"/>
                  <w:tcBorders>
                    <w:tl2br w:val="nil"/>
                    <w:tr2bl w:val="nil"/>
                  </w:tcBorders>
                  <w:noWrap w:val="0"/>
                  <w:vAlign w:val="center"/>
                </w:tcPr>
                <w:p w14:paraId="2B9A0DC8">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2</w:t>
                  </w:r>
                </w:p>
              </w:tc>
              <w:tc>
                <w:tcPr>
                  <w:tcW w:w="577" w:type="pct"/>
                  <w:tcBorders>
                    <w:tl2br w:val="nil"/>
                    <w:tr2bl w:val="nil"/>
                  </w:tcBorders>
                  <w:noWrap w:val="0"/>
                  <w:vAlign w:val="center"/>
                </w:tcPr>
                <w:p w14:paraId="15FC51FA">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26D75A4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456C54D1">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19</w:t>
                  </w:r>
                </w:p>
              </w:tc>
              <w:tc>
                <w:tcPr>
                  <w:tcW w:w="1528" w:type="pct"/>
                  <w:tcBorders>
                    <w:tl2br w:val="nil"/>
                    <w:tr2bl w:val="nil"/>
                  </w:tcBorders>
                  <w:noWrap w:val="0"/>
                  <w:vAlign w:val="center"/>
                </w:tcPr>
                <w:p w14:paraId="5EAE1AA8">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台式砂轮机</w:t>
                  </w:r>
                </w:p>
              </w:tc>
              <w:tc>
                <w:tcPr>
                  <w:tcW w:w="1757" w:type="pct"/>
                  <w:tcBorders>
                    <w:tl2br w:val="nil"/>
                    <w:tr2bl w:val="nil"/>
                  </w:tcBorders>
                  <w:noWrap w:val="0"/>
                  <w:vAlign w:val="center"/>
                </w:tcPr>
                <w:p w14:paraId="78706925">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MQD3220</w:t>
                  </w:r>
                </w:p>
              </w:tc>
              <w:tc>
                <w:tcPr>
                  <w:tcW w:w="687" w:type="pct"/>
                  <w:tcBorders>
                    <w:tl2br w:val="nil"/>
                    <w:tr2bl w:val="nil"/>
                  </w:tcBorders>
                  <w:noWrap w:val="0"/>
                  <w:vAlign w:val="center"/>
                </w:tcPr>
                <w:p w14:paraId="0A533B26">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0EA40699">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1433A9A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4792E939">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20</w:t>
                  </w:r>
                </w:p>
              </w:tc>
              <w:tc>
                <w:tcPr>
                  <w:tcW w:w="1528" w:type="pct"/>
                  <w:tcBorders>
                    <w:tl2br w:val="nil"/>
                    <w:tr2bl w:val="nil"/>
                  </w:tcBorders>
                  <w:noWrap w:val="0"/>
                  <w:vAlign w:val="center"/>
                </w:tcPr>
                <w:p w14:paraId="3E67AB19">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热缩机</w:t>
                  </w:r>
                </w:p>
              </w:tc>
              <w:tc>
                <w:tcPr>
                  <w:tcW w:w="1757" w:type="pct"/>
                  <w:tcBorders>
                    <w:tl2br w:val="nil"/>
                    <w:tr2bl w:val="nil"/>
                  </w:tcBorders>
                  <w:noWrap w:val="0"/>
                  <w:vAlign w:val="center"/>
                </w:tcPr>
                <w:p w14:paraId="15FD2D52">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PC2006 Economic PLUS</w:t>
                  </w:r>
                </w:p>
              </w:tc>
              <w:tc>
                <w:tcPr>
                  <w:tcW w:w="687" w:type="pct"/>
                  <w:tcBorders>
                    <w:tl2br w:val="nil"/>
                    <w:tr2bl w:val="nil"/>
                  </w:tcBorders>
                  <w:noWrap w:val="0"/>
                  <w:vAlign w:val="center"/>
                </w:tcPr>
                <w:p w14:paraId="40FBEC85">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088CA39E">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78A500D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3C89994A">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21</w:t>
                  </w:r>
                </w:p>
              </w:tc>
              <w:tc>
                <w:tcPr>
                  <w:tcW w:w="1528" w:type="pct"/>
                  <w:tcBorders>
                    <w:tl2br w:val="nil"/>
                    <w:tr2bl w:val="nil"/>
                  </w:tcBorders>
                  <w:noWrap w:val="0"/>
                  <w:vAlign w:val="center"/>
                </w:tcPr>
                <w:p w14:paraId="6DFA54A9">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电动攻丝机</w:t>
                  </w:r>
                </w:p>
              </w:tc>
              <w:tc>
                <w:tcPr>
                  <w:tcW w:w="1757" w:type="pct"/>
                  <w:tcBorders>
                    <w:tl2br w:val="nil"/>
                    <w:tr2bl w:val="nil"/>
                  </w:tcBorders>
                  <w:noWrap w:val="0"/>
                  <w:vAlign w:val="center"/>
                </w:tcPr>
                <w:p w14:paraId="4EF448B6">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M24</w:t>
                  </w:r>
                  <w:r>
                    <w:rPr>
                      <w:rFonts w:hint="eastAsia"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 xml:space="preserve">M3-16 </w:t>
                  </w:r>
                  <w:r>
                    <w:rPr>
                      <w:rFonts w:hint="eastAsia" w:ascii="Times New Roman" w:hAnsi="Times New Roman" w:eastAsia="仿宋" w:cs="Times New Roman"/>
                      <w:color w:val="auto"/>
                      <w:sz w:val="21"/>
                      <w:szCs w:val="21"/>
                      <w:highlight w:val="none"/>
                      <w:lang w:val="en-US" w:eastAsia="zh-CN"/>
                    </w:rPr>
                    <w:t>触屏万向</w:t>
                  </w:r>
                </w:p>
              </w:tc>
              <w:tc>
                <w:tcPr>
                  <w:tcW w:w="687" w:type="pct"/>
                  <w:tcBorders>
                    <w:tl2br w:val="nil"/>
                    <w:tr2bl w:val="nil"/>
                  </w:tcBorders>
                  <w:noWrap w:val="0"/>
                  <w:vAlign w:val="center"/>
                </w:tcPr>
                <w:p w14:paraId="496FA759">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2</w:t>
                  </w:r>
                </w:p>
              </w:tc>
              <w:tc>
                <w:tcPr>
                  <w:tcW w:w="577" w:type="pct"/>
                  <w:tcBorders>
                    <w:tl2br w:val="nil"/>
                    <w:tr2bl w:val="nil"/>
                  </w:tcBorders>
                  <w:noWrap w:val="0"/>
                  <w:vAlign w:val="center"/>
                </w:tcPr>
                <w:p w14:paraId="31209DFF">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4DD8621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2167CBBF">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22</w:t>
                  </w:r>
                </w:p>
              </w:tc>
              <w:tc>
                <w:tcPr>
                  <w:tcW w:w="1528" w:type="pct"/>
                  <w:tcBorders>
                    <w:tl2br w:val="nil"/>
                    <w:tr2bl w:val="nil"/>
                  </w:tcBorders>
                  <w:noWrap w:val="0"/>
                  <w:vAlign w:val="center"/>
                </w:tcPr>
                <w:p w14:paraId="46BF7AF6">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磨粒流体抛光机</w:t>
                  </w:r>
                </w:p>
              </w:tc>
              <w:tc>
                <w:tcPr>
                  <w:tcW w:w="1757" w:type="pct"/>
                  <w:tcBorders>
                    <w:tl2br w:val="nil"/>
                    <w:tr2bl w:val="nil"/>
                  </w:tcBorders>
                  <w:noWrap w:val="0"/>
                  <w:vAlign w:val="center"/>
                </w:tcPr>
                <w:p w14:paraId="38B231A6">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SMKS-B601</w:t>
                  </w:r>
                </w:p>
              </w:tc>
              <w:tc>
                <w:tcPr>
                  <w:tcW w:w="687" w:type="pct"/>
                  <w:tcBorders>
                    <w:tl2br w:val="nil"/>
                    <w:tr2bl w:val="nil"/>
                  </w:tcBorders>
                  <w:noWrap w:val="0"/>
                  <w:vAlign w:val="center"/>
                </w:tcPr>
                <w:p w14:paraId="43FED93C">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4A54E00D">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6B92A5A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7595BB8">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23</w:t>
                  </w:r>
                </w:p>
              </w:tc>
              <w:tc>
                <w:tcPr>
                  <w:tcW w:w="1528" w:type="pct"/>
                  <w:tcBorders>
                    <w:tl2br w:val="nil"/>
                    <w:tr2bl w:val="nil"/>
                  </w:tcBorders>
                  <w:noWrap w:val="0"/>
                  <w:vAlign w:val="center"/>
                </w:tcPr>
                <w:p w14:paraId="10CA2202">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超声波清洗机</w:t>
                  </w:r>
                </w:p>
              </w:tc>
              <w:tc>
                <w:tcPr>
                  <w:tcW w:w="1757" w:type="pct"/>
                  <w:tcBorders>
                    <w:tl2br w:val="nil"/>
                    <w:tr2bl w:val="nil"/>
                  </w:tcBorders>
                  <w:noWrap w:val="0"/>
                  <w:vAlign w:val="center"/>
                </w:tcPr>
                <w:p w14:paraId="32D8377C">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SMKS-CM400C</w:t>
                  </w:r>
                  <w:r>
                    <w:rPr>
                      <w:rFonts w:hint="eastAsia"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CS01-CS02</w:t>
                  </w:r>
                </w:p>
              </w:tc>
              <w:tc>
                <w:tcPr>
                  <w:tcW w:w="687" w:type="pct"/>
                  <w:tcBorders>
                    <w:tl2br w:val="nil"/>
                    <w:tr2bl w:val="nil"/>
                  </w:tcBorders>
                  <w:noWrap w:val="0"/>
                  <w:vAlign w:val="center"/>
                </w:tcPr>
                <w:p w14:paraId="1FD669E6">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2</w:t>
                  </w:r>
                </w:p>
              </w:tc>
              <w:tc>
                <w:tcPr>
                  <w:tcW w:w="577" w:type="pct"/>
                  <w:tcBorders>
                    <w:tl2br w:val="nil"/>
                    <w:tr2bl w:val="nil"/>
                  </w:tcBorders>
                  <w:noWrap w:val="0"/>
                  <w:vAlign w:val="center"/>
                </w:tcPr>
                <w:p w14:paraId="4F19C5DD">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06E0CDD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658478FC">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24</w:t>
                  </w:r>
                </w:p>
              </w:tc>
              <w:tc>
                <w:tcPr>
                  <w:tcW w:w="1528" w:type="pct"/>
                  <w:tcBorders>
                    <w:tl2br w:val="nil"/>
                    <w:tr2bl w:val="nil"/>
                  </w:tcBorders>
                  <w:noWrap w:val="0"/>
                  <w:vAlign w:val="center"/>
                </w:tcPr>
                <w:p w14:paraId="5D0CA418">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PU</w:t>
                  </w:r>
                  <w:r>
                    <w:rPr>
                      <w:rFonts w:hint="eastAsia" w:ascii="Times New Roman" w:hAnsi="Times New Roman" w:eastAsia="仿宋" w:cs="Times New Roman"/>
                      <w:color w:val="auto"/>
                      <w:sz w:val="21"/>
                      <w:szCs w:val="21"/>
                      <w:highlight w:val="none"/>
                      <w:lang w:val="en-US" w:eastAsia="zh-CN"/>
                    </w:rPr>
                    <w:t>胶振动研磨机</w:t>
                  </w:r>
                </w:p>
              </w:tc>
              <w:tc>
                <w:tcPr>
                  <w:tcW w:w="1757" w:type="pct"/>
                  <w:tcBorders>
                    <w:tl2br w:val="nil"/>
                    <w:tr2bl w:val="nil"/>
                  </w:tcBorders>
                  <w:noWrap w:val="0"/>
                  <w:vAlign w:val="center"/>
                </w:tcPr>
                <w:p w14:paraId="098E1873">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Y02</w:t>
                  </w:r>
                </w:p>
              </w:tc>
              <w:tc>
                <w:tcPr>
                  <w:tcW w:w="687" w:type="pct"/>
                  <w:tcBorders>
                    <w:tl2br w:val="nil"/>
                    <w:tr2bl w:val="nil"/>
                  </w:tcBorders>
                  <w:noWrap w:val="0"/>
                  <w:vAlign w:val="center"/>
                </w:tcPr>
                <w:p w14:paraId="03DE0863">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58E9B2CD">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6FC225C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5590ED3B">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25</w:t>
                  </w:r>
                </w:p>
              </w:tc>
              <w:tc>
                <w:tcPr>
                  <w:tcW w:w="1528" w:type="pct"/>
                  <w:tcBorders>
                    <w:tl2br w:val="nil"/>
                    <w:tr2bl w:val="nil"/>
                  </w:tcBorders>
                  <w:noWrap w:val="0"/>
                  <w:vAlign w:val="center"/>
                </w:tcPr>
                <w:p w14:paraId="63E69478">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激光打标机</w:t>
                  </w:r>
                </w:p>
              </w:tc>
              <w:tc>
                <w:tcPr>
                  <w:tcW w:w="1757" w:type="pct"/>
                  <w:tcBorders>
                    <w:tl2br w:val="nil"/>
                    <w:tr2bl w:val="nil"/>
                  </w:tcBorders>
                  <w:noWrap w:val="0"/>
                  <w:vAlign w:val="center"/>
                </w:tcPr>
                <w:p w14:paraId="56701A00">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CN-20W</w:t>
                  </w:r>
                </w:p>
              </w:tc>
              <w:tc>
                <w:tcPr>
                  <w:tcW w:w="687" w:type="pct"/>
                  <w:tcBorders>
                    <w:tl2br w:val="nil"/>
                    <w:tr2bl w:val="nil"/>
                  </w:tcBorders>
                  <w:noWrap w:val="0"/>
                  <w:vAlign w:val="center"/>
                </w:tcPr>
                <w:p w14:paraId="116C35CA">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p>
              </w:tc>
              <w:tc>
                <w:tcPr>
                  <w:tcW w:w="577" w:type="pct"/>
                  <w:tcBorders>
                    <w:tl2br w:val="nil"/>
                    <w:tr2bl w:val="nil"/>
                  </w:tcBorders>
                  <w:noWrap w:val="0"/>
                  <w:vAlign w:val="center"/>
                </w:tcPr>
                <w:p w14:paraId="6415BDFE">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221FB1F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64E8EDB6">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26</w:t>
                  </w:r>
                </w:p>
              </w:tc>
              <w:tc>
                <w:tcPr>
                  <w:tcW w:w="1528" w:type="pct"/>
                  <w:tcBorders>
                    <w:tl2br w:val="nil"/>
                    <w:tr2bl w:val="nil"/>
                  </w:tcBorders>
                  <w:noWrap w:val="0"/>
                  <w:vAlign w:val="center"/>
                </w:tcPr>
                <w:p w14:paraId="1C9B6D50">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液压机</w:t>
                  </w:r>
                </w:p>
              </w:tc>
              <w:tc>
                <w:tcPr>
                  <w:tcW w:w="1757" w:type="pct"/>
                  <w:tcBorders>
                    <w:tl2br w:val="nil"/>
                    <w:tr2bl w:val="nil"/>
                  </w:tcBorders>
                  <w:noWrap w:val="0"/>
                  <w:vAlign w:val="center"/>
                </w:tcPr>
                <w:p w14:paraId="028A5F4A">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Y41-4T</w:t>
                  </w:r>
                </w:p>
              </w:tc>
              <w:tc>
                <w:tcPr>
                  <w:tcW w:w="687" w:type="pct"/>
                  <w:tcBorders>
                    <w:tl2br w:val="nil"/>
                    <w:tr2bl w:val="nil"/>
                  </w:tcBorders>
                  <w:noWrap w:val="0"/>
                  <w:vAlign w:val="center"/>
                </w:tcPr>
                <w:p w14:paraId="48C1B93E">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2BDDC01A">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460806A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45C2B6D2">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27</w:t>
                  </w:r>
                </w:p>
              </w:tc>
              <w:tc>
                <w:tcPr>
                  <w:tcW w:w="1528" w:type="pct"/>
                  <w:tcBorders>
                    <w:tl2br w:val="nil"/>
                    <w:tr2bl w:val="nil"/>
                  </w:tcBorders>
                  <w:noWrap w:val="0"/>
                  <w:vAlign w:val="center"/>
                </w:tcPr>
                <w:p w14:paraId="2E1361D9">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压块机</w:t>
                  </w:r>
                </w:p>
              </w:tc>
              <w:tc>
                <w:tcPr>
                  <w:tcW w:w="1757" w:type="pct"/>
                  <w:tcBorders>
                    <w:tl2br w:val="nil"/>
                    <w:tr2bl w:val="nil"/>
                  </w:tcBorders>
                  <w:noWrap w:val="0"/>
                  <w:vAlign w:val="center"/>
                </w:tcPr>
                <w:p w14:paraId="5DBFBD9A">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10YR9/2</w:t>
                  </w:r>
                </w:p>
              </w:tc>
              <w:tc>
                <w:tcPr>
                  <w:tcW w:w="687" w:type="pct"/>
                  <w:tcBorders>
                    <w:tl2br w:val="nil"/>
                    <w:tr2bl w:val="nil"/>
                  </w:tcBorders>
                  <w:noWrap w:val="0"/>
                  <w:vAlign w:val="center"/>
                </w:tcPr>
                <w:p w14:paraId="5EE84D30">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1B7536BC">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0309259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7285A3C9">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28</w:t>
                  </w:r>
                </w:p>
              </w:tc>
              <w:tc>
                <w:tcPr>
                  <w:tcW w:w="1528" w:type="pct"/>
                  <w:tcBorders>
                    <w:tl2br w:val="nil"/>
                    <w:tr2bl w:val="nil"/>
                  </w:tcBorders>
                  <w:noWrap w:val="0"/>
                  <w:vAlign w:val="center"/>
                </w:tcPr>
                <w:p w14:paraId="5668D8D0">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洗地机</w:t>
                  </w:r>
                </w:p>
              </w:tc>
              <w:tc>
                <w:tcPr>
                  <w:tcW w:w="1757" w:type="pct"/>
                  <w:tcBorders>
                    <w:tl2br w:val="nil"/>
                    <w:tr2bl w:val="nil"/>
                  </w:tcBorders>
                  <w:noWrap w:val="0"/>
                  <w:vAlign w:val="center"/>
                </w:tcPr>
                <w:p w14:paraId="2972EBED">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HaKo</w:t>
                  </w:r>
                  <w:r>
                    <w:rPr>
                      <w:rFonts w:hint="eastAsia" w:ascii="Times New Roman" w:hAnsi="Times New Roman" w:eastAsia="仿宋" w:cs="Times New Roman"/>
                      <w:color w:val="auto"/>
                      <w:sz w:val="21"/>
                      <w:szCs w:val="21"/>
                      <w:highlight w:val="none"/>
                      <w:lang w:val="en-US" w:eastAsia="zh-CN"/>
                    </w:rPr>
                    <w:t>、型号</w:t>
                  </w:r>
                  <w:r>
                    <w:rPr>
                      <w:rFonts w:hint="default" w:ascii="Times New Roman" w:hAnsi="Times New Roman" w:eastAsia="仿宋" w:cs="Times New Roman"/>
                      <w:color w:val="auto"/>
                      <w:sz w:val="21"/>
                      <w:szCs w:val="21"/>
                      <w:highlight w:val="none"/>
                      <w:lang w:val="en-US" w:eastAsia="zh-CN"/>
                    </w:rPr>
                    <w:t>510/20</w:t>
                  </w:r>
                </w:p>
              </w:tc>
              <w:tc>
                <w:tcPr>
                  <w:tcW w:w="687" w:type="pct"/>
                  <w:tcBorders>
                    <w:tl2br w:val="nil"/>
                    <w:tr2bl w:val="nil"/>
                  </w:tcBorders>
                  <w:noWrap w:val="0"/>
                  <w:vAlign w:val="center"/>
                </w:tcPr>
                <w:p w14:paraId="622A6C77">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p>
              </w:tc>
              <w:tc>
                <w:tcPr>
                  <w:tcW w:w="577" w:type="pct"/>
                  <w:tcBorders>
                    <w:tl2br w:val="nil"/>
                    <w:tr2bl w:val="nil"/>
                  </w:tcBorders>
                  <w:noWrap w:val="0"/>
                  <w:vAlign w:val="center"/>
                </w:tcPr>
                <w:p w14:paraId="4C1B0AFF">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047359C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2366A767">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29</w:t>
                  </w:r>
                </w:p>
              </w:tc>
              <w:tc>
                <w:tcPr>
                  <w:tcW w:w="1528" w:type="pct"/>
                  <w:tcBorders>
                    <w:tl2br w:val="nil"/>
                    <w:tr2bl w:val="nil"/>
                  </w:tcBorders>
                  <w:noWrap w:val="0"/>
                  <w:vAlign w:val="center"/>
                </w:tcPr>
                <w:p w14:paraId="64369F55">
                  <w:pPr>
                    <w:jc w:val="center"/>
                    <w:rPr>
                      <w:rFonts w:hint="eastAsia"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喷码机</w:t>
                  </w:r>
                </w:p>
              </w:tc>
              <w:tc>
                <w:tcPr>
                  <w:tcW w:w="1757" w:type="pct"/>
                  <w:tcBorders>
                    <w:tl2br w:val="nil"/>
                    <w:tr2bl w:val="nil"/>
                  </w:tcBorders>
                  <w:noWrap w:val="0"/>
                  <w:vAlign w:val="center"/>
                </w:tcPr>
                <w:p w14:paraId="6C93D15F">
                  <w:pPr>
                    <w:jc w:val="center"/>
                    <w:rPr>
                      <w:rFonts w:hint="eastAsia"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Ci5300</w:t>
                  </w:r>
                </w:p>
              </w:tc>
              <w:tc>
                <w:tcPr>
                  <w:tcW w:w="687" w:type="pct"/>
                  <w:tcBorders>
                    <w:tl2br w:val="nil"/>
                    <w:tr2bl w:val="nil"/>
                  </w:tcBorders>
                  <w:noWrap w:val="0"/>
                  <w:vAlign w:val="center"/>
                </w:tcPr>
                <w:p w14:paraId="0ADBF380">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2</w:t>
                  </w:r>
                </w:p>
              </w:tc>
              <w:tc>
                <w:tcPr>
                  <w:tcW w:w="577" w:type="pct"/>
                  <w:tcBorders>
                    <w:tl2br w:val="nil"/>
                    <w:tr2bl w:val="nil"/>
                  </w:tcBorders>
                  <w:noWrap w:val="0"/>
                  <w:vAlign w:val="center"/>
                </w:tcPr>
                <w:p w14:paraId="42115846">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3915936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3163FFB5">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30</w:t>
                  </w:r>
                </w:p>
              </w:tc>
              <w:tc>
                <w:tcPr>
                  <w:tcW w:w="1528" w:type="pct"/>
                  <w:tcBorders>
                    <w:tl2br w:val="nil"/>
                    <w:tr2bl w:val="nil"/>
                  </w:tcBorders>
                  <w:noWrap w:val="0"/>
                  <w:vAlign w:val="center"/>
                </w:tcPr>
                <w:p w14:paraId="6C6B2449">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湿式工作台</w:t>
                  </w:r>
                </w:p>
              </w:tc>
              <w:tc>
                <w:tcPr>
                  <w:tcW w:w="1757" w:type="pct"/>
                  <w:tcBorders>
                    <w:tl2br w:val="nil"/>
                    <w:tr2bl w:val="nil"/>
                  </w:tcBorders>
                  <w:noWrap w:val="0"/>
                  <w:vAlign w:val="center"/>
                </w:tcPr>
                <w:p w14:paraId="7676D019">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JS-SDMT1600</w:t>
                  </w:r>
                </w:p>
              </w:tc>
              <w:tc>
                <w:tcPr>
                  <w:tcW w:w="687" w:type="pct"/>
                  <w:tcBorders>
                    <w:tl2br w:val="nil"/>
                    <w:tr2bl w:val="nil"/>
                  </w:tcBorders>
                  <w:noWrap w:val="0"/>
                  <w:vAlign w:val="center"/>
                </w:tcPr>
                <w:p w14:paraId="461D5A62">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12</w:t>
                  </w:r>
                </w:p>
              </w:tc>
              <w:tc>
                <w:tcPr>
                  <w:tcW w:w="577" w:type="pct"/>
                  <w:tcBorders>
                    <w:tl2br w:val="nil"/>
                    <w:tr2bl w:val="nil"/>
                  </w:tcBorders>
                  <w:noWrap w:val="0"/>
                  <w:vAlign w:val="center"/>
                </w:tcPr>
                <w:p w14:paraId="797E2BDB">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05ED11A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AE33535">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31</w:t>
                  </w:r>
                </w:p>
              </w:tc>
              <w:tc>
                <w:tcPr>
                  <w:tcW w:w="1528" w:type="pct"/>
                  <w:tcBorders>
                    <w:tl2br w:val="nil"/>
                    <w:tr2bl w:val="nil"/>
                  </w:tcBorders>
                  <w:noWrap w:val="0"/>
                  <w:vAlign w:val="center"/>
                </w:tcPr>
                <w:p w14:paraId="4B84558D">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卷尺</w:t>
                  </w:r>
                </w:p>
              </w:tc>
              <w:tc>
                <w:tcPr>
                  <w:tcW w:w="1757" w:type="pct"/>
                  <w:tcBorders>
                    <w:tl2br w:val="nil"/>
                    <w:tr2bl w:val="nil"/>
                  </w:tcBorders>
                  <w:noWrap w:val="0"/>
                  <w:vAlign w:val="center"/>
                </w:tcPr>
                <w:p w14:paraId="339982F7">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w:t>
                  </w:r>
                </w:p>
              </w:tc>
              <w:tc>
                <w:tcPr>
                  <w:tcW w:w="687" w:type="pct"/>
                  <w:tcBorders>
                    <w:tl2br w:val="nil"/>
                    <w:tr2bl w:val="nil"/>
                  </w:tcBorders>
                  <w:noWrap w:val="0"/>
                  <w:vAlign w:val="center"/>
                </w:tcPr>
                <w:p w14:paraId="6227C016">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若干</w:t>
                  </w:r>
                </w:p>
              </w:tc>
              <w:tc>
                <w:tcPr>
                  <w:tcW w:w="577" w:type="pct"/>
                  <w:tcBorders>
                    <w:tl2br w:val="nil"/>
                    <w:tr2bl w:val="nil"/>
                  </w:tcBorders>
                  <w:noWrap w:val="0"/>
                  <w:vAlign w:val="center"/>
                </w:tcPr>
                <w:p w14:paraId="703EB4D7">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7210F70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2DB0A974">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32</w:t>
                  </w:r>
                </w:p>
              </w:tc>
              <w:tc>
                <w:tcPr>
                  <w:tcW w:w="1528" w:type="pct"/>
                  <w:tcBorders>
                    <w:tl2br w:val="nil"/>
                    <w:tr2bl w:val="nil"/>
                  </w:tcBorders>
                  <w:noWrap w:val="0"/>
                  <w:vAlign w:val="center"/>
                </w:tcPr>
                <w:p w14:paraId="66B66A7A">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洛氏硬度计</w:t>
                  </w:r>
                </w:p>
              </w:tc>
              <w:tc>
                <w:tcPr>
                  <w:tcW w:w="1757" w:type="pct"/>
                  <w:tcBorders>
                    <w:tl2br w:val="nil"/>
                    <w:tr2bl w:val="nil"/>
                  </w:tcBorders>
                  <w:noWrap w:val="0"/>
                  <w:vAlign w:val="center"/>
                </w:tcPr>
                <w:p w14:paraId="6A87F481">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HRS-150A</w:t>
                  </w:r>
                </w:p>
              </w:tc>
              <w:tc>
                <w:tcPr>
                  <w:tcW w:w="687" w:type="pct"/>
                  <w:tcBorders>
                    <w:tl2br w:val="nil"/>
                    <w:tr2bl w:val="nil"/>
                  </w:tcBorders>
                  <w:noWrap w:val="0"/>
                  <w:vAlign w:val="center"/>
                </w:tcPr>
                <w:p w14:paraId="5E843B66">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77B15E57">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3700DB5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2D080445">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33</w:t>
                  </w:r>
                </w:p>
              </w:tc>
              <w:tc>
                <w:tcPr>
                  <w:tcW w:w="1528" w:type="pct"/>
                  <w:tcBorders>
                    <w:tl2br w:val="nil"/>
                    <w:tr2bl w:val="nil"/>
                  </w:tcBorders>
                  <w:noWrap w:val="0"/>
                  <w:vAlign w:val="center"/>
                </w:tcPr>
                <w:p w14:paraId="24E7A92E">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洛氏硬度计</w:t>
                  </w:r>
                </w:p>
              </w:tc>
              <w:tc>
                <w:tcPr>
                  <w:tcW w:w="1757" w:type="pct"/>
                  <w:tcBorders>
                    <w:tl2br w:val="nil"/>
                    <w:tr2bl w:val="nil"/>
                  </w:tcBorders>
                  <w:noWrap w:val="0"/>
                  <w:vAlign w:val="center"/>
                </w:tcPr>
                <w:p w14:paraId="394F6734">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HRS</w:t>
                  </w:r>
                  <w:r>
                    <w:rPr>
                      <w:rFonts w:hint="eastAsia"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150S</w:t>
                  </w:r>
                </w:p>
              </w:tc>
              <w:tc>
                <w:tcPr>
                  <w:tcW w:w="687" w:type="pct"/>
                  <w:tcBorders>
                    <w:tl2br w:val="nil"/>
                    <w:tr2bl w:val="nil"/>
                  </w:tcBorders>
                  <w:noWrap w:val="0"/>
                  <w:vAlign w:val="center"/>
                </w:tcPr>
                <w:p w14:paraId="112D0829">
                  <w:pPr>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1</w:t>
                  </w:r>
                </w:p>
              </w:tc>
              <w:tc>
                <w:tcPr>
                  <w:tcW w:w="577" w:type="pct"/>
                  <w:tcBorders>
                    <w:tl2br w:val="nil"/>
                    <w:tr2bl w:val="nil"/>
                  </w:tcBorders>
                  <w:noWrap w:val="0"/>
                  <w:vAlign w:val="center"/>
                </w:tcPr>
                <w:p w14:paraId="34CB6421">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04E228E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0B54CEC7">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34</w:t>
                  </w:r>
                </w:p>
              </w:tc>
              <w:tc>
                <w:tcPr>
                  <w:tcW w:w="1528" w:type="pct"/>
                  <w:tcBorders>
                    <w:tl2br w:val="nil"/>
                    <w:tr2bl w:val="nil"/>
                  </w:tcBorders>
                  <w:noWrap w:val="0"/>
                  <w:vAlign w:val="center"/>
                </w:tcPr>
                <w:p w14:paraId="3C027D7C">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龙门五轴</w:t>
                  </w:r>
                </w:p>
              </w:tc>
              <w:tc>
                <w:tcPr>
                  <w:tcW w:w="1757" w:type="pct"/>
                  <w:tcBorders>
                    <w:tl2br w:val="nil"/>
                    <w:tr2bl w:val="nil"/>
                  </w:tcBorders>
                  <w:noWrap w:val="0"/>
                  <w:vAlign w:val="center"/>
                </w:tcPr>
                <w:p w14:paraId="73B9D0A2">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c>
                <w:tcPr>
                  <w:tcW w:w="687" w:type="pct"/>
                  <w:tcBorders>
                    <w:tl2br w:val="nil"/>
                    <w:tr2bl w:val="nil"/>
                  </w:tcBorders>
                  <w:noWrap w:val="0"/>
                  <w:vAlign w:val="center"/>
                </w:tcPr>
                <w:p w14:paraId="43BCA0A9">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p>
              </w:tc>
              <w:tc>
                <w:tcPr>
                  <w:tcW w:w="577" w:type="pct"/>
                  <w:tcBorders>
                    <w:tl2br w:val="nil"/>
                    <w:tr2bl w:val="nil"/>
                  </w:tcBorders>
                  <w:noWrap w:val="0"/>
                  <w:vAlign w:val="center"/>
                </w:tcPr>
                <w:p w14:paraId="0736155C">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5593793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66291CAB">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35</w:t>
                  </w:r>
                </w:p>
              </w:tc>
              <w:tc>
                <w:tcPr>
                  <w:tcW w:w="1528" w:type="pct"/>
                  <w:tcBorders>
                    <w:tl2br w:val="nil"/>
                    <w:tr2bl w:val="nil"/>
                  </w:tcBorders>
                  <w:noWrap w:val="0"/>
                  <w:vAlign w:val="center"/>
                </w:tcPr>
                <w:p w14:paraId="418B5A9B">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龙门三轴</w:t>
                  </w:r>
                </w:p>
              </w:tc>
              <w:tc>
                <w:tcPr>
                  <w:tcW w:w="1757" w:type="pct"/>
                  <w:tcBorders>
                    <w:tl2br w:val="nil"/>
                    <w:tr2bl w:val="nil"/>
                  </w:tcBorders>
                  <w:noWrap w:val="0"/>
                  <w:vAlign w:val="center"/>
                </w:tcPr>
                <w:p w14:paraId="687B27BD">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c>
                <w:tcPr>
                  <w:tcW w:w="687" w:type="pct"/>
                  <w:tcBorders>
                    <w:tl2br w:val="nil"/>
                    <w:tr2bl w:val="nil"/>
                  </w:tcBorders>
                  <w:noWrap w:val="0"/>
                  <w:vAlign w:val="center"/>
                </w:tcPr>
                <w:p w14:paraId="26E4B4AF">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w:t>
                  </w:r>
                </w:p>
              </w:tc>
              <w:tc>
                <w:tcPr>
                  <w:tcW w:w="577" w:type="pct"/>
                  <w:tcBorders>
                    <w:tl2br w:val="nil"/>
                    <w:tr2bl w:val="nil"/>
                  </w:tcBorders>
                  <w:noWrap w:val="0"/>
                  <w:vAlign w:val="center"/>
                </w:tcPr>
                <w:p w14:paraId="07884730">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r w14:paraId="3E8F820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340" w:hRule="atLeast"/>
                <w:jc w:val="center"/>
              </w:trPr>
              <w:tc>
                <w:tcPr>
                  <w:tcW w:w="449" w:type="pct"/>
                  <w:tcBorders>
                    <w:tl2br w:val="nil"/>
                    <w:tr2bl w:val="nil"/>
                  </w:tcBorders>
                  <w:noWrap w:val="0"/>
                  <w:vAlign w:val="center"/>
                </w:tcPr>
                <w:p w14:paraId="31DA0255">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36</w:t>
                  </w:r>
                </w:p>
              </w:tc>
              <w:tc>
                <w:tcPr>
                  <w:tcW w:w="1528" w:type="pct"/>
                  <w:tcBorders>
                    <w:tl2br w:val="nil"/>
                    <w:tr2bl w:val="nil"/>
                  </w:tcBorders>
                  <w:noWrap w:val="0"/>
                  <w:vAlign w:val="center"/>
                </w:tcPr>
                <w:p w14:paraId="16D6E28B">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精雕机</w:t>
                  </w:r>
                </w:p>
              </w:tc>
              <w:tc>
                <w:tcPr>
                  <w:tcW w:w="1757" w:type="pct"/>
                  <w:tcBorders>
                    <w:tl2br w:val="nil"/>
                    <w:tr2bl w:val="nil"/>
                  </w:tcBorders>
                  <w:noWrap w:val="0"/>
                  <w:vAlign w:val="center"/>
                </w:tcPr>
                <w:p w14:paraId="354E7A78">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c>
                <w:tcPr>
                  <w:tcW w:w="687" w:type="pct"/>
                  <w:tcBorders>
                    <w:tl2br w:val="nil"/>
                    <w:tr2bl w:val="nil"/>
                  </w:tcBorders>
                  <w:noWrap w:val="0"/>
                  <w:vAlign w:val="center"/>
                </w:tcPr>
                <w:p w14:paraId="1D2C0E32">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w:t>
                  </w:r>
                </w:p>
              </w:tc>
              <w:tc>
                <w:tcPr>
                  <w:tcW w:w="577" w:type="pct"/>
                  <w:tcBorders>
                    <w:tl2br w:val="nil"/>
                    <w:tr2bl w:val="nil"/>
                  </w:tcBorders>
                  <w:noWrap w:val="0"/>
                  <w:vAlign w:val="center"/>
                </w:tcPr>
                <w:p w14:paraId="5E4E28A7">
                  <w:pPr>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r>
          </w:tbl>
          <w:p w14:paraId="6952ED2C">
            <w:pPr>
              <w:keepNext w:val="0"/>
              <w:keepLines w:val="0"/>
              <w:suppressLineNumbers w:val="0"/>
              <w:autoSpaceDE w:val="0"/>
              <w:autoSpaceDN w:val="0"/>
              <w:adjustRightInd w:val="0"/>
              <w:spacing w:before="0" w:beforeAutospacing="0" w:after="0" w:afterAutospacing="0" w:line="360" w:lineRule="auto"/>
              <w:ind w:left="0" w:right="0" w:firstLine="0" w:firstLineChars="0"/>
              <w:rPr>
                <w:rFonts w:hint="eastAsia" w:ascii="Times New Roman" w:hAnsi="Times New Roman" w:eastAsia="宋体"/>
                <w:b/>
                <w:color w:val="auto"/>
                <w:sz w:val="24"/>
                <w:szCs w:val="24"/>
                <w:highlight w:val="none"/>
                <w:lang w:val="en-US" w:eastAsia="zh-CN"/>
              </w:rPr>
            </w:pPr>
            <w:r>
              <w:rPr>
                <w:rFonts w:hint="eastAsia" w:ascii="Times New Roman" w:hAnsi="Times New Roman" w:eastAsia="宋体"/>
                <w:b/>
                <w:color w:val="auto"/>
                <w:sz w:val="24"/>
                <w:szCs w:val="24"/>
                <w:highlight w:val="none"/>
                <w:lang w:val="en-US" w:eastAsia="zh-CN"/>
              </w:rPr>
              <w:t>3.</w:t>
            </w:r>
            <w:r>
              <w:rPr>
                <w:rFonts w:hint="eastAsia"/>
                <w:b/>
                <w:color w:val="auto"/>
                <w:sz w:val="24"/>
                <w:szCs w:val="24"/>
                <w:highlight w:val="none"/>
                <w:lang w:val="en-US" w:eastAsia="zh-CN"/>
              </w:rPr>
              <w:t xml:space="preserve">4  </w:t>
            </w:r>
            <w:r>
              <w:rPr>
                <w:rFonts w:hint="eastAsia" w:ascii="Times New Roman" w:hAnsi="Times New Roman" w:eastAsia="宋体"/>
                <w:b/>
                <w:color w:val="auto"/>
                <w:sz w:val="24"/>
                <w:szCs w:val="24"/>
                <w:highlight w:val="none"/>
                <w:lang w:val="en-US" w:eastAsia="zh-CN"/>
              </w:rPr>
              <w:t>现有项目工艺</w:t>
            </w:r>
          </w:p>
          <w:p w14:paraId="1D242CCC">
            <w:pPr>
              <w:keepNext w:val="0"/>
              <w:keepLines w:val="0"/>
              <w:numPr>
                <w:ilvl w:val="0"/>
                <w:numId w:val="0"/>
              </w:numPr>
              <w:suppressLineNumbers w:val="0"/>
              <w:autoSpaceDE w:val="0"/>
              <w:autoSpaceDN w:val="0"/>
              <w:adjustRightInd w:val="0"/>
              <w:spacing w:before="0" w:beforeAutospacing="0" w:after="0" w:afterAutospacing="0" w:line="360" w:lineRule="auto"/>
              <w:ind w:left="0" w:leftChars="0" w:right="0" w:rightChars="0" w:firstLine="0" w:firstLineChars="0"/>
              <w:rPr>
                <w:rFonts w:hint="eastAsia" w:ascii="Times New Roman" w:hAnsi="Times New Roman" w:eastAsia="宋体"/>
                <w:b/>
                <w:color w:val="auto"/>
                <w:sz w:val="24"/>
                <w:szCs w:val="24"/>
                <w:highlight w:val="none"/>
                <w:lang w:val="en-US" w:eastAsia="zh-CN"/>
              </w:rPr>
            </w:pPr>
            <w:r>
              <w:rPr>
                <w:rFonts w:hint="eastAsia" w:cs="Times New Roman"/>
                <w:b/>
                <w:color w:val="auto"/>
                <w:kern w:val="2"/>
                <w:sz w:val="24"/>
                <w:szCs w:val="24"/>
                <w:highlight w:val="none"/>
                <w:lang w:val="en-US" w:eastAsia="zh-CN" w:bidi="ar-SA"/>
              </w:rPr>
              <w:t>3.4.1  精密零部件</w:t>
            </w:r>
            <w:r>
              <w:rPr>
                <w:rFonts w:hint="eastAsia" w:ascii="Times New Roman" w:hAnsi="Times New Roman" w:eastAsia="宋体"/>
                <w:b/>
                <w:color w:val="auto"/>
                <w:sz w:val="24"/>
                <w:szCs w:val="24"/>
                <w:highlight w:val="none"/>
                <w:lang w:val="en-US" w:eastAsia="zh-CN"/>
              </w:rPr>
              <w:t>生产工艺流程：</w:t>
            </w:r>
          </w:p>
          <w:p w14:paraId="4C8D7988">
            <w:pPr>
              <w:spacing w:line="360" w:lineRule="auto"/>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object>
                <v:shape id="_x0000_i1027" o:spt="75" type="#_x0000_t75" style="height:148.8pt;width:464.05pt;" o:ole="t" filled="f" o:preferrelative="t" stroked="f" coordsize="21600,21600">
                  <v:path/>
                  <v:fill on="f" focussize="0,0"/>
                  <v:stroke on="f"/>
                  <v:imagedata r:id="rId14" o:title=""/>
                  <o:lock v:ext="edit" aspectratio="f"/>
                  <w10:wrap type="none"/>
                  <w10:anchorlock/>
                </v:shape>
                <o:OLEObject Type="Embed" ProgID="Visio.Drawing.15" ShapeID="_x0000_i1027" DrawAspect="Content" ObjectID="_1468075727" r:id="rId13">
                  <o:LockedField>false</o:LockedField>
                </o:OLEObject>
              </w:object>
            </w:r>
          </w:p>
          <w:p w14:paraId="65EC6656">
            <w:pPr>
              <w:spacing w:line="360" w:lineRule="auto"/>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图2-2 本项目精密零部件生产工艺流程图</w:t>
            </w:r>
          </w:p>
          <w:p w14:paraId="5FACEC33">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b/>
                <w:bCs/>
                <w:color w:val="auto"/>
                <w:sz w:val="24"/>
                <w:szCs w:val="24"/>
                <w:highlight w:val="none"/>
                <w:lang w:val="en-US" w:eastAsia="zh-CN"/>
              </w:rPr>
              <w:t>工艺流程简述：</w:t>
            </w:r>
          </w:p>
          <w:p w14:paraId="7FE3D7F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①来料检验：员工目测检验外购的铝块、铝铸件、不锈钢原料是否有缺料、碰伤、压伤，采用卷尺测量来料宽度、厚度是否达标；采用硬度计测量硬度是否达标；</w:t>
            </w:r>
          </w:p>
          <w:p w14:paraId="41B4610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②机加工：将原料装载到治具上，将程序输入CNC机床进行产品机加工，工作过程CNC设备操作舱门关闭。此环节利用切削液，将切削液与水1：20混合，切削液以柱塞泵压力输送喷雾的形式在密闭加工的CNC空间中，喷到加工件的表面润滑和降温，即可对设备进行冷却，又可清除加工过程飞扬的金属屑，因此加工环节无粉尘。金属屑被切削液清除进入切削液中，设备自带过滤分离器，过滤后的切削液回用，定期补充损耗；每半年更换一次废切削液，过滤后的金属屑S1、废切削液S2、废包装桶S3及废过滤网S4作为危废处置。CNC加工时切削液中的部分成分在高温下挥发产生非甲烷总烃G1；</w:t>
            </w:r>
          </w:p>
          <w:p w14:paraId="6A1EFB7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③去毛刺：该工段使用立式砂轮机、台式砂轮机、磨粒流体抛光机手工去除半成品表面的毛刺，达到产品的要求，此过程在湿式工作台操作，全程为湿式打磨，无打磨粉尘产生，湿磨用水循环使用，定期补充，该工程产生废渣S5；</w:t>
            </w:r>
          </w:p>
          <w:p w14:paraId="1EED467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④清洗：将去毛刺完成后的半成品放入2台超声波清洗机中清洗，清洗后自然风干。其中一台有两个清洗槽，尺寸相同650*500*400mm；另一台一个清洗槽，尺寸470*450*320mm，超声波清洗槽中清洗用水占总容积的80%，水加温至设定温度（40℃），清洗水每周更换一次。该过程加入清洗剂，年生产废水量约12.8t/a，主要污染物为pH、COD、氨氮、总磷、总氮、SS、石油类。清洗水经废水低温蒸发处理系统处理后回用于洗地机洗地；</w:t>
            </w:r>
          </w:p>
          <w:p w14:paraId="45D5241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⑤打标印刷：将清洗干净的半成品使用激光打标机或喷码机进行印刷。喷码印刷工序使用水性油墨进行印刷，印刷后自然风干，该过程会产生非甲烷总烃G2、废油墨桶S6，印刷机约每周擦拭一次，擦拭时会产生沾有油墨的废抹布S7；激光打标过程为使用激光打标机在半成品上打上相应编号，此过程会产生少量激光打标粉尘G3；</w:t>
            </w:r>
          </w:p>
          <w:p w14:paraId="0DF1868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⑥半成品检验：检查半成品是否有漏加工、碰伤、脏污等，该过程会产生不合格品S8；</w:t>
            </w:r>
          </w:p>
          <w:p w14:paraId="24A6226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⑦委外热处理/表面处理：检验完成的半成品委外热处理/表面处理等处理，处理完成后送回厂内；</w:t>
            </w:r>
          </w:p>
          <w:p w14:paraId="7431712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⑧过程检验：检查产品是否有漏加工、碰伤、脏污等，该工程会产生不合格品S9</w:t>
            </w:r>
            <w:r>
              <w:rPr>
                <w:rFonts w:hint="eastAsia"/>
                <w:color w:val="auto"/>
                <w:sz w:val="24"/>
                <w:szCs w:val="24"/>
                <w:highlight w:val="none"/>
                <w:lang w:val="en-US" w:eastAsia="zh-CN"/>
              </w:rPr>
              <w:t>。</w:t>
            </w:r>
          </w:p>
          <w:p w14:paraId="1BA9622D">
            <w:pPr>
              <w:keepNext w:val="0"/>
              <w:keepLines w:val="0"/>
              <w:suppressLineNumbers w:val="0"/>
              <w:spacing w:before="0" w:beforeAutospacing="0" w:after="0" w:afterAutospacing="0" w:line="360" w:lineRule="auto"/>
              <w:ind w:right="0"/>
              <w:rPr>
                <w:rFonts w:hint="eastAsia" w:ascii="Times New Roman" w:hAnsi="Times New Roman" w:eastAsia="宋体"/>
                <w:b/>
                <w:color w:val="auto"/>
                <w:sz w:val="24"/>
                <w:szCs w:val="24"/>
                <w:highlight w:val="none"/>
                <w:lang w:val="en-US" w:eastAsia="zh-CN"/>
              </w:rPr>
            </w:pPr>
            <w:r>
              <w:rPr>
                <w:rFonts w:hint="eastAsia" w:cs="Times New Roman"/>
                <w:b/>
                <w:color w:val="auto"/>
                <w:kern w:val="2"/>
                <w:sz w:val="24"/>
                <w:szCs w:val="24"/>
                <w:highlight w:val="none"/>
                <w:lang w:val="en-US" w:eastAsia="zh-CN" w:bidi="ar-SA"/>
              </w:rPr>
              <w:t>3.4.2  装备组装</w:t>
            </w:r>
            <w:r>
              <w:rPr>
                <w:rFonts w:hint="eastAsia" w:ascii="Times New Roman" w:hAnsi="Times New Roman" w:eastAsia="宋体"/>
                <w:b/>
                <w:color w:val="auto"/>
                <w:sz w:val="24"/>
                <w:szCs w:val="24"/>
                <w:highlight w:val="none"/>
                <w:lang w:val="en-US" w:eastAsia="zh-CN"/>
              </w:rPr>
              <w:t>生产工艺流程：</w:t>
            </w:r>
          </w:p>
          <w:p w14:paraId="2B4CC4DB">
            <w:pPr>
              <w:keepNext w:val="0"/>
              <w:keepLines w:val="0"/>
              <w:suppressLineNumbers w:val="0"/>
              <w:spacing w:before="0" w:beforeAutospacing="0" w:after="0" w:afterAutospacing="0" w:line="360" w:lineRule="auto"/>
              <w:ind w:left="0" w:right="0" w:firstLine="482" w:firstLineChars="200"/>
              <w:jc w:val="center"/>
              <w:rPr>
                <w:rFonts w:hint="default" w:ascii="Times New Roman" w:hAnsi="Times New Roman" w:eastAsia="宋体"/>
                <w:b/>
                <w:color w:val="auto"/>
                <w:sz w:val="24"/>
                <w:szCs w:val="24"/>
                <w:highlight w:val="none"/>
                <w:lang w:val="en-US" w:eastAsia="zh-CN"/>
              </w:rPr>
            </w:pPr>
            <w:r>
              <w:rPr>
                <w:rFonts w:hint="default" w:ascii="Times New Roman" w:hAnsi="Times New Roman" w:eastAsia="宋体"/>
                <w:b/>
                <w:color w:val="auto"/>
                <w:sz w:val="24"/>
                <w:szCs w:val="24"/>
                <w:highlight w:val="none"/>
                <w:lang w:val="en-US" w:eastAsia="zh-CN"/>
              </w:rPr>
              <w:object>
                <v:shape id="_x0000_i1028" o:spt="75" type="#_x0000_t75" style="height:160.4pt;width:118.25pt;" o:ole="t" filled="f" o:preferrelative="t" stroked="f" coordsize="21600,21600">
                  <v:path/>
                  <v:fill on="f" focussize="0,0"/>
                  <v:stroke on="f"/>
                  <v:imagedata r:id="rId16" o:title=""/>
                  <o:lock v:ext="edit" aspectratio="f"/>
                  <w10:wrap type="none"/>
                  <w10:anchorlock/>
                </v:shape>
                <o:OLEObject Type="Embed" ProgID="Visio.Drawing.15" ShapeID="_x0000_i1028" DrawAspect="Content" ObjectID="_1468075728" r:id="rId15">
                  <o:LockedField>false</o:LockedField>
                </o:OLEObject>
              </w:object>
            </w:r>
          </w:p>
          <w:p w14:paraId="61111996">
            <w:pPr>
              <w:keepNext w:val="0"/>
              <w:keepLines w:val="0"/>
              <w:suppressLineNumbers w:val="0"/>
              <w:spacing w:before="0" w:beforeAutospacing="0" w:after="0" w:afterAutospacing="0" w:line="360" w:lineRule="auto"/>
              <w:ind w:right="0"/>
              <w:jc w:val="center"/>
              <w:rPr>
                <w:rFonts w:hint="default" w:ascii="Times New Roman" w:hAnsi="Times New Roman" w:eastAsia="宋体"/>
                <w:b/>
                <w:color w:val="auto"/>
                <w:sz w:val="24"/>
                <w:szCs w:val="24"/>
                <w:highlight w:val="none"/>
                <w:lang w:val="en-US" w:eastAsia="zh-CN"/>
              </w:rPr>
            </w:pPr>
            <w:r>
              <w:rPr>
                <w:rFonts w:hint="default" w:ascii="Times New Roman" w:hAnsi="Times New Roman" w:eastAsia="宋体"/>
                <w:b/>
                <w:color w:val="auto"/>
                <w:sz w:val="24"/>
                <w:szCs w:val="24"/>
                <w:highlight w:val="none"/>
                <w:lang w:val="en-US" w:eastAsia="zh-CN"/>
              </w:rPr>
              <w:t>图2-3 本项目装备组装生产工艺流程图</w:t>
            </w:r>
          </w:p>
          <w:p w14:paraId="188053B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工艺流程简述：</w:t>
            </w:r>
          </w:p>
          <w:p w14:paraId="4C92C03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①装配/组装：将本项目生产的零部件与外购件开槽销、衬套、标准件进行组装；</w:t>
            </w:r>
          </w:p>
          <w:p w14:paraId="525F45D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②产品检验：最终检验成品与设计图纸的符合性，该工程会产生不合格品S10；</w:t>
            </w:r>
          </w:p>
          <w:p w14:paraId="536BE83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③包装入库：合格品包装后储存在仓库中。</w:t>
            </w:r>
          </w:p>
          <w:p w14:paraId="021B0D80">
            <w:pPr>
              <w:keepNext w:val="0"/>
              <w:keepLines w:val="0"/>
              <w:suppressLineNumbers w:val="0"/>
              <w:autoSpaceDE w:val="0"/>
              <w:autoSpaceDN w:val="0"/>
              <w:adjustRightInd w:val="0"/>
              <w:spacing w:before="0" w:beforeAutospacing="0" w:after="0" w:afterAutospacing="0" w:line="360" w:lineRule="auto"/>
              <w:ind w:left="0" w:right="0" w:firstLine="0" w:firstLineChars="0"/>
              <w:rPr>
                <w:rFonts w:hint="eastAsia"/>
                <w:b/>
                <w:color w:val="auto"/>
                <w:sz w:val="24"/>
                <w:szCs w:val="24"/>
                <w:highlight w:val="none"/>
                <w:lang w:val="en-US" w:eastAsia="zh-CN"/>
              </w:rPr>
            </w:pPr>
            <w:r>
              <w:rPr>
                <w:rFonts w:hint="eastAsia"/>
                <w:b/>
                <w:color w:val="auto"/>
                <w:sz w:val="24"/>
                <w:szCs w:val="24"/>
                <w:highlight w:val="none"/>
                <w:lang w:val="en-US" w:eastAsia="zh-CN"/>
              </w:rPr>
              <w:t>4、现有项目污染物排放、治理措施及达标情况简述</w:t>
            </w:r>
          </w:p>
          <w:p w14:paraId="7EBE1822">
            <w:pPr>
              <w:keepNext w:val="0"/>
              <w:keepLines w:val="0"/>
              <w:numPr>
                <w:ilvl w:val="0"/>
                <w:numId w:val="0"/>
              </w:numPr>
              <w:suppressLineNumbers w:val="0"/>
              <w:spacing w:before="0" w:beforeAutospacing="0" w:after="0" w:afterAutospacing="0" w:line="360" w:lineRule="auto"/>
              <w:ind w:left="0" w:leftChars="0" w:right="0" w:rightChars="0" w:firstLine="480" w:firstLineChars="200"/>
              <w:rPr>
                <w:rFonts w:hint="eastAsia"/>
                <w:color w:val="auto"/>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（1）</w:t>
            </w:r>
            <w:r>
              <w:rPr>
                <w:rFonts w:hint="eastAsia"/>
                <w:color w:val="auto"/>
                <w:sz w:val="24"/>
                <w:szCs w:val="24"/>
                <w:highlight w:val="none"/>
                <w:lang w:val="en-US" w:eastAsia="zh-CN"/>
              </w:rPr>
              <w:t>废水</w:t>
            </w:r>
          </w:p>
          <w:p w14:paraId="36855E12">
            <w:pPr>
              <w:keepNext w:val="0"/>
              <w:keepLines w:val="0"/>
              <w:suppressLineNumbers w:val="0"/>
              <w:spacing w:before="0" w:beforeAutospacing="0" w:after="0" w:afterAutospacing="0" w:line="360" w:lineRule="auto"/>
              <w:ind w:left="0" w:right="0"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现有项目</w:t>
            </w:r>
            <w:r>
              <w:rPr>
                <w:rFonts w:hint="default" w:ascii="Times New Roman" w:hAnsi="Times New Roman" w:eastAsia="宋体"/>
                <w:color w:val="auto"/>
                <w:sz w:val="24"/>
                <w:szCs w:val="24"/>
                <w:highlight w:val="none"/>
                <w:lang w:val="en-US" w:eastAsia="zh-CN"/>
              </w:rPr>
              <w:t>废水主要为</w:t>
            </w:r>
            <w:r>
              <w:rPr>
                <w:rFonts w:hint="eastAsia"/>
                <w:color w:val="auto"/>
                <w:sz w:val="24"/>
                <w:szCs w:val="24"/>
                <w:highlight w:val="none"/>
                <w:lang w:val="en-US" w:eastAsia="zh-CN"/>
              </w:rPr>
              <w:t>超声波</w:t>
            </w:r>
            <w:r>
              <w:rPr>
                <w:rFonts w:hint="default" w:ascii="Times New Roman" w:hAnsi="Times New Roman" w:eastAsia="宋体"/>
                <w:color w:val="auto"/>
                <w:sz w:val="24"/>
                <w:szCs w:val="24"/>
                <w:highlight w:val="none"/>
                <w:lang w:val="en-US" w:eastAsia="zh-CN"/>
              </w:rPr>
              <w:t>清洗废水、</w:t>
            </w:r>
            <w:r>
              <w:rPr>
                <w:rFonts w:hint="eastAsia"/>
                <w:color w:val="auto"/>
                <w:sz w:val="24"/>
                <w:szCs w:val="24"/>
                <w:highlight w:val="none"/>
                <w:lang w:val="en-US" w:eastAsia="zh-CN"/>
              </w:rPr>
              <w:t>洗地</w:t>
            </w:r>
            <w:r>
              <w:rPr>
                <w:rFonts w:hint="default" w:ascii="Times New Roman" w:hAnsi="Times New Roman" w:eastAsia="宋体"/>
                <w:color w:val="auto"/>
                <w:sz w:val="24"/>
                <w:szCs w:val="24"/>
                <w:highlight w:val="none"/>
                <w:lang w:val="en-US" w:eastAsia="zh-CN"/>
              </w:rPr>
              <w:t>废水</w:t>
            </w:r>
            <w:r>
              <w:rPr>
                <w:rFonts w:hint="eastAsia"/>
                <w:color w:val="auto"/>
                <w:sz w:val="24"/>
                <w:szCs w:val="24"/>
                <w:highlight w:val="none"/>
                <w:lang w:val="en-US" w:eastAsia="zh-CN"/>
              </w:rPr>
              <w:t>和</w:t>
            </w:r>
            <w:r>
              <w:rPr>
                <w:rFonts w:hint="default" w:ascii="Times New Roman" w:hAnsi="Times New Roman" w:eastAsia="宋体"/>
                <w:color w:val="auto"/>
                <w:sz w:val="24"/>
                <w:szCs w:val="24"/>
                <w:highlight w:val="none"/>
                <w:lang w:val="en-US" w:eastAsia="zh-CN"/>
              </w:rPr>
              <w:t>生活污水。其中</w:t>
            </w:r>
            <w:r>
              <w:rPr>
                <w:rFonts w:hint="eastAsia"/>
                <w:color w:val="auto"/>
                <w:sz w:val="24"/>
                <w:szCs w:val="24"/>
                <w:highlight w:val="none"/>
                <w:lang w:val="en-US" w:eastAsia="zh-CN"/>
              </w:rPr>
              <w:t>超声波</w:t>
            </w:r>
            <w:r>
              <w:rPr>
                <w:rFonts w:hint="default" w:ascii="Times New Roman" w:hAnsi="Times New Roman" w:eastAsia="宋体"/>
                <w:color w:val="auto"/>
                <w:sz w:val="24"/>
                <w:szCs w:val="24"/>
                <w:highlight w:val="none"/>
                <w:lang w:val="en-US" w:eastAsia="zh-CN"/>
              </w:rPr>
              <w:t>清洗废水、</w:t>
            </w:r>
            <w:r>
              <w:rPr>
                <w:rFonts w:hint="eastAsia"/>
                <w:color w:val="auto"/>
                <w:sz w:val="24"/>
                <w:szCs w:val="24"/>
                <w:highlight w:val="none"/>
                <w:lang w:val="en-US" w:eastAsia="zh-CN"/>
              </w:rPr>
              <w:t>洗地</w:t>
            </w:r>
            <w:r>
              <w:rPr>
                <w:rFonts w:hint="default" w:ascii="Times New Roman" w:hAnsi="Times New Roman" w:eastAsia="宋体"/>
                <w:color w:val="auto"/>
                <w:sz w:val="24"/>
                <w:szCs w:val="24"/>
                <w:highlight w:val="none"/>
                <w:lang w:val="en-US" w:eastAsia="zh-CN"/>
              </w:rPr>
              <w:t>废水经</w:t>
            </w:r>
            <w:r>
              <w:rPr>
                <w:rFonts w:hint="eastAsia"/>
                <w:color w:val="auto"/>
                <w:sz w:val="24"/>
                <w:szCs w:val="24"/>
                <w:highlight w:val="none"/>
                <w:lang w:val="en-US" w:eastAsia="zh-CN"/>
              </w:rPr>
              <w:t>“</w:t>
            </w:r>
            <w:r>
              <w:rPr>
                <w:rFonts w:hint="default" w:ascii="Times New Roman" w:hAnsi="Times New Roman" w:eastAsia="宋体"/>
                <w:color w:val="auto"/>
                <w:sz w:val="24"/>
                <w:szCs w:val="24"/>
                <w:highlight w:val="none"/>
                <w:lang w:val="en-US" w:eastAsia="zh-CN"/>
              </w:rPr>
              <w:t>预过滤+三相分离器+低温蒸发+陶瓷膜</w:t>
            </w:r>
            <w:r>
              <w:rPr>
                <w:rFonts w:hint="eastAsia"/>
                <w:color w:val="auto"/>
                <w:sz w:val="24"/>
                <w:szCs w:val="24"/>
                <w:highlight w:val="none"/>
                <w:lang w:val="en-US" w:eastAsia="zh-CN"/>
              </w:rPr>
              <w:t>”</w:t>
            </w:r>
            <w:r>
              <w:rPr>
                <w:rFonts w:hint="default" w:ascii="Times New Roman" w:hAnsi="Times New Roman" w:eastAsia="宋体"/>
                <w:color w:val="auto"/>
                <w:sz w:val="24"/>
                <w:szCs w:val="24"/>
                <w:highlight w:val="none"/>
                <w:lang w:val="en-US" w:eastAsia="zh-CN"/>
              </w:rPr>
              <w:t>废水低温蒸发处理工艺进行处理。处理过后95%的水量回收再利用，5%的浓液作为危废委外处置</w:t>
            </w:r>
            <w:r>
              <w:rPr>
                <w:rFonts w:hint="eastAsia"/>
                <w:color w:val="auto"/>
                <w:sz w:val="24"/>
                <w:szCs w:val="24"/>
                <w:highlight w:val="none"/>
                <w:lang w:val="en-US" w:eastAsia="zh-CN"/>
              </w:rPr>
              <w:t>。</w:t>
            </w:r>
            <w:r>
              <w:rPr>
                <w:rFonts w:hint="default" w:ascii="Times New Roman" w:hAnsi="Times New Roman" w:eastAsia="宋体"/>
                <w:color w:val="auto"/>
                <w:sz w:val="24"/>
                <w:szCs w:val="24"/>
                <w:highlight w:val="none"/>
                <w:lang w:val="en-US" w:eastAsia="zh-CN"/>
              </w:rPr>
              <w:t>生活污水达标经市政污水管网排放至苏州市相城区漕湖污水处理厂处理达标后尾水排放至胜岸港</w:t>
            </w:r>
            <w:r>
              <w:rPr>
                <w:rFonts w:hint="eastAsia"/>
                <w:color w:val="auto"/>
                <w:sz w:val="24"/>
                <w:szCs w:val="24"/>
                <w:highlight w:val="none"/>
                <w:lang w:val="en-US" w:eastAsia="zh-CN"/>
              </w:rPr>
              <w:t>。</w:t>
            </w:r>
          </w:p>
          <w:p w14:paraId="2533BA7D">
            <w:pPr>
              <w:spacing w:before="0" w:after="0" w:line="360" w:lineRule="auto"/>
              <w:ind w:right="0" w:firstLine="480" w:firstLineChars="200"/>
              <w:rPr>
                <w:rFonts w:hint="eastAsia"/>
                <w:color w:val="auto"/>
                <w:highlight w:val="none"/>
                <w:lang w:eastAsia="zh-CN"/>
              </w:rPr>
            </w:pPr>
            <w:r>
              <w:rPr>
                <w:rFonts w:hint="eastAsia" w:ascii="Times New Roman" w:hAnsi="Times New Roman"/>
                <w:color w:val="auto"/>
                <w:sz w:val="24"/>
                <w:szCs w:val="24"/>
                <w:highlight w:val="none"/>
              </w:rPr>
              <w:t>现有项目各废水处理设施均正常运行，</w:t>
            </w:r>
            <w:r>
              <w:rPr>
                <w:rFonts w:hint="eastAsia"/>
                <w:color w:val="auto"/>
                <w:sz w:val="24"/>
                <w:szCs w:val="24"/>
                <w:highlight w:val="none"/>
                <w:lang w:val="en-US" w:eastAsia="zh-CN"/>
              </w:rPr>
              <w:t>本次引用本次引用竣工环保验收中相关数据</w:t>
            </w:r>
            <w:r>
              <w:rPr>
                <w:rFonts w:hint="eastAsia" w:ascii="Times New Roman" w:hAnsi="Times New Roman"/>
                <w:color w:val="auto"/>
                <w:sz w:val="24"/>
                <w:szCs w:val="24"/>
                <w:highlight w:val="none"/>
              </w:rPr>
              <w:t>（</w:t>
            </w:r>
            <w:r>
              <w:rPr>
                <w:rFonts w:hint="eastAsia" w:ascii="Times New Roman" w:hAnsi="Times New Roman"/>
                <w:color w:val="auto"/>
                <w:sz w:val="24"/>
                <w:szCs w:val="24"/>
                <w:highlight w:val="none"/>
                <w:lang w:val="en-US" w:eastAsia="zh-CN"/>
              </w:rPr>
              <w:t>HY240627039</w:t>
            </w:r>
            <w:r>
              <w:rPr>
                <w:rFonts w:hint="eastAsia"/>
                <w:color w:val="auto"/>
                <w:sz w:val="24"/>
                <w:szCs w:val="24"/>
                <w:highlight w:val="none"/>
                <w:lang w:eastAsia="zh-CN"/>
              </w:rPr>
              <w:t>、</w:t>
            </w:r>
            <w:r>
              <w:rPr>
                <w:rFonts w:hint="eastAsia"/>
                <w:color w:val="auto"/>
                <w:sz w:val="24"/>
                <w:szCs w:val="24"/>
                <w:highlight w:val="none"/>
              </w:rPr>
              <w:t>CH2306134</w:t>
            </w:r>
            <w:r>
              <w:rPr>
                <w:rFonts w:hint="eastAsia"/>
                <w:color w:val="auto"/>
                <w:sz w:val="24"/>
                <w:szCs w:val="24"/>
                <w:highlight w:val="none"/>
                <w:lang w:eastAsia="zh-CN"/>
              </w:rPr>
              <w:t>）</w:t>
            </w:r>
            <w:r>
              <w:rPr>
                <w:rFonts w:hint="eastAsia"/>
                <w:color w:val="auto"/>
                <w:sz w:val="24"/>
                <w:szCs w:val="24"/>
                <w:highlight w:val="none"/>
                <w:lang w:val="en-US" w:eastAsia="zh-CN"/>
              </w:rPr>
              <w:t>相关数据</w:t>
            </w:r>
            <w:r>
              <w:rPr>
                <w:rFonts w:hint="eastAsia" w:ascii="Times New Roman" w:hAnsi="Times New Roman"/>
                <w:color w:val="auto"/>
                <w:sz w:val="24"/>
                <w:szCs w:val="24"/>
                <w:highlight w:val="none"/>
              </w:rPr>
              <w:t>（</w:t>
            </w:r>
            <w:r>
              <w:rPr>
                <w:rFonts w:hint="eastAsia"/>
                <w:color w:val="auto"/>
                <w:sz w:val="24"/>
                <w:szCs w:val="24"/>
                <w:highlight w:val="none"/>
                <w:lang w:val="en-US" w:eastAsia="zh-CN"/>
              </w:rPr>
              <w:t>JSDHC2604167</w:t>
            </w:r>
            <w:r>
              <w:rPr>
                <w:rFonts w:hint="eastAsia"/>
                <w:color w:val="auto"/>
                <w:sz w:val="24"/>
                <w:szCs w:val="24"/>
                <w:highlight w:val="none"/>
                <w:lang w:eastAsia="zh-CN"/>
              </w:rPr>
              <w:t>）</w:t>
            </w:r>
            <w:r>
              <w:rPr>
                <w:rFonts w:hint="eastAsia"/>
                <w:color w:val="auto"/>
                <w:sz w:val="24"/>
                <w:szCs w:val="24"/>
                <w:highlight w:val="none"/>
                <w:lang w:val="en-US" w:eastAsia="zh-CN"/>
              </w:rPr>
              <w:t>，具体数据如下</w:t>
            </w:r>
            <w:r>
              <w:rPr>
                <w:rFonts w:hint="eastAsia"/>
                <w:color w:val="auto"/>
                <w:sz w:val="24"/>
                <w:szCs w:val="24"/>
                <w:highlight w:val="none"/>
                <w:lang w:eastAsia="zh-CN"/>
              </w:rPr>
              <w:t>。</w:t>
            </w:r>
          </w:p>
          <w:p w14:paraId="29974544">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eastAsia" w:ascii="Times New Roman" w:hAnsi="Times New Roman" w:eastAsia="宋体" w:cs="Times New Roman"/>
                <w:b/>
                <w:bCs/>
                <w:color w:val="auto"/>
                <w:kern w:val="2"/>
                <w:sz w:val="24"/>
                <w:szCs w:val="24"/>
                <w:highlight w:val="none"/>
                <w:lang w:val="en-US" w:eastAsia="zh-CN" w:bidi="ar"/>
              </w:rPr>
              <w:t>现有项目废水检测结果一览表</w:t>
            </w:r>
          </w:p>
          <w:tbl>
            <w:tblPr>
              <w:tblStyle w:val="22"/>
              <w:tblW w:w="4996" w:type="pct"/>
              <w:tblInd w:w="-4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1073"/>
              <w:gridCol w:w="1443"/>
              <w:gridCol w:w="1036"/>
              <w:gridCol w:w="872"/>
              <w:gridCol w:w="872"/>
              <w:gridCol w:w="873"/>
              <w:gridCol w:w="913"/>
              <w:gridCol w:w="1011"/>
            </w:tblGrid>
            <w:tr w14:paraId="794880D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restart"/>
                  <w:tcBorders>
                    <w:tl2br w:val="nil"/>
                    <w:tr2bl w:val="nil"/>
                  </w:tcBorders>
                  <w:noWrap w:val="0"/>
                  <w:vAlign w:val="center"/>
                </w:tcPr>
                <w:p w14:paraId="3DFC5759">
                  <w:pPr>
                    <w:widowControl/>
                    <w:jc w:val="center"/>
                    <w:rPr>
                      <w:rFonts w:hint="default" w:ascii="Times New Roman" w:hAnsi="Times New Roman" w:eastAsia="仿宋" w:cs="Times New Roman"/>
                      <w:b/>
                      <w:bCs/>
                      <w:color w:val="auto"/>
                      <w:kern w:val="0"/>
                      <w:sz w:val="21"/>
                      <w:szCs w:val="21"/>
                      <w:highlight w:val="none"/>
                      <w:lang w:val="en-US" w:eastAsia="zh-CN"/>
                    </w:rPr>
                  </w:pPr>
                  <w:r>
                    <w:rPr>
                      <w:rFonts w:hint="default" w:ascii="Times New Roman" w:hAnsi="Times New Roman" w:eastAsia="仿宋" w:cs="Times New Roman"/>
                      <w:b/>
                      <w:bCs/>
                      <w:color w:val="auto"/>
                      <w:kern w:val="0"/>
                      <w:sz w:val="21"/>
                      <w:szCs w:val="21"/>
                      <w:highlight w:val="none"/>
                      <w:lang w:val="en-US" w:eastAsia="zh-CN"/>
                    </w:rPr>
                    <w:t>采样时间</w:t>
                  </w:r>
                </w:p>
              </w:tc>
              <w:tc>
                <w:tcPr>
                  <w:tcW w:w="580" w:type="pct"/>
                  <w:vMerge w:val="restart"/>
                  <w:tcBorders>
                    <w:tl2br w:val="nil"/>
                    <w:tr2bl w:val="nil"/>
                  </w:tcBorders>
                  <w:noWrap w:val="0"/>
                  <w:vAlign w:val="center"/>
                </w:tcPr>
                <w:p w14:paraId="53611349">
                  <w:pPr>
                    <w:widowControl/>
                    <w:jc w:val="center"/>
                    <w:rPr>
                      <w:rFonts w:hint="default" w:ascii="Times New Roman" w:hAnsi="Times New Roman" w:eastAsia="仿宋" w:cs="Times New Roman"/>
                      <w:b/>
                      <w:bCs/>
                      <w:color w:val="auto"/>
                      <w:kern w:val="0"/>
                      <w:sz w:val="21"/>
                      <w:szCs w:val="21"/>
                      <w:highlight w:val="none"/>
                    </w:rPr>
                  </w:pPr>
                  <w:r>
                    <w:rPr>
                      <w:rFonts w:hint="default" w:ascii="Times New Roman" w:hAnsi="Times New Roman" w:eastAsia="仿宋" w:cs="Times New Roman"/>
                      <w:b/>
                      <w:bCs/>
                      <w:color w:val="auto"/>
                      <w:kern w:val="0"/>
                      <w:sz w:val="21"/>
                      <w:szCs w:val="21"/>
                      <w:highlight w:val="none"/>
                    </w:rPr>
                    <w:t>检测点位</w:t>
                  </w:r>
                </w:p>
              </w:tc>
              <w:tc>
                <w:tcPr>
                  <w:tcW w:w="780" w:type="pct"/>
                  <w:vMerge w:val="restart"/>
                  <w:tcBorders>
                    <w:tl2br w:val="nil"/>
                    <w:tr2bl w:val="nil"/>
                  </w:tcBorders>
                  <w:noWrap w:val="0"/>
                  <w:vAlign w:val="center"/>
                </w:tcPr>
                <w:p w14:paraId="2F20F99E">
                  <w:pPr>
                    <w:widowControl/>
                    <w:jc w:val="center"/>
                    <w:rPr>
                      <w:rFonts w:hint="default" w:ascii="Times New Roman" w:hAnsi="Times New Roman" w:eastAsia="仿宋" w:cs="Times New Roman"/>
                      <w:b/>
                      <w:bCs/>
                      <w:color w:val="auto"/>
                      <w:kern w:val="0"/>
                      <w:sz w:val="21"/>
                      <w:szCs w:val="21"/>
                      <w:highlight w:val="none"/>
                    </w:rPr>
                  </w:pPr>
                  <w:r>
                    <w:rPr>
                      <w:rFonts w:hint="default" w:ascii="Times New Roman" w:hAnsi="Times New Roman" w:eastAsia="仿宋" w:cs="Times New Roman"/>
                      <w:b/>
                      <w:bCs/>
                      <w:color w:val="auto"/>
                      <w:kern w:val="0"/>
                      <w:sz w:val="21"/>
                      <w:szCs w:val="21"/>
                      <w:highlight w:val="none"/>
                    </w:rPr>
                    <w:t>检测项目</w:t>
                  </w:r>
                </w:p>
              </w:tc>
              <w:tc>
                <w:tcPr>
                  <w:tcW w:w="560" w:type="pct"/>
                  <w:vMerge w:val="restart"/>
                  <w:tcBorders>
                    <w:tl2br w:val="nil"/>
                    <w:tr2bl w:val="nil"/>
                  </w:tcBorders>
                  <w:noWrap w:val="0"/>
                  <w:vAlign w:val="center"/>
                </w:tcPr>
                <w:p w14:paraId="71D06A43">
                  <w:pPr>
                    <w:widowControl/>
                    <w:jc w:val="center"/>
                    <w:rPr>
                      <w:rFonts w:hint="default" w:ascii="Times New Roman" w:hAnsi="Times New Roman" w:eastAsia="仿宋" w:cs="Times New Roman"/>
                      <w:b/>
                      <w:bCs/>
                      <w:color w:val="auto"/>
                      <w:kern w:val="0"/>
                      <w:sz w:val="21"/>
                      <w:szCs w:val="21"/>
                      <w:highlight w:val="none"/>
                    </w:rPr>
                  </w:pPr>
                  <w:r>
                    <w:rPr>
                      <w:rFonts w:hint="default" w:ascii="Times New Roman" w:hAnsi="Times New Roman" w:eastAsia="仿宋" w:cs="Times New Roman"/>
                      <w:b/>
                      <w:bCs/>
                      <w:color w:val="auto"/>
                      <w:kern w:val="0"/>
                      <w:sz w:val="21"/>
                      <w:szCs w:val="21"/>
                      <w:highlight w:val="none"/>
                    </w:rPr>
                    <w:t>单位</w:t>
                  </w:r>
                </w:p>
              </w:tc>
              <w:tc>
                <w:tcPr>
                  <w:tcW w:w="1414" w:type="pct"/>
                  <w:gridSpan w:val="3"/>
                  <w:tcBorders>
                    <w:tl2br w:val="nil"/>
                    <w:tr2bl w:val="nil"/>
                  </w:tcBorders>
                  <w:noWrap w:val="0"/>
                  <w:vAlign w:val="center"/>
                </w:tcPr>
                <w:p w14:paraId="7B4BB6F0">
                  <w:pPr>
                    <w:widowControl/>
                    <w:jc w:val="center"/>
                    <w:rPr>
                      <w:rFonts w:hint="eastAsia" w:ascii="Times New Roman" w:hAnsi="Times New Roman" w:eastAsia="仿宋" w:cs="Times New Roman"/>
                      <w:b/>
                      <w:bCs/>
                      <w:color w:val="auto"/>
                      <w:kern w:val="0"/>
                      <w:sz w:val="21"/>
                      <w:szCs w:val="21"/>
                      <w:highlight w:val="none"/>
                      <w:lang w:val="en-US" w:eastAsia="zh-CN"/>
                    </w:rPr>
                  </w:pPr>
                  <w:r>
                    <w:rPr>
                      <w:rFonts w:hint="eastAsia" w:eastAsia="仿宋" w:cs="Times New Roman"/>
                      <w:b/>
                      <w:bCs/>
                      <w:color w:val="auto"/>
                      <w:kern w:val="0"/>
                      <w:sz w:val="21"/>
                      <w:szCs w:val="21"/>
                      <w:highlight w:val="none"/>
                      <w:lang w:val="en-US" w:eastAsia="zh-CN"/>
                    </w:rPr>
                    <w:t>检测结果</w:t>
                  </w:r>
                </w:p>
              </w:tc>
              <w:tc>
                <w:tcPr>
                  <w:tcW w:w="493" w:type="pct"/>
                  <w:vMerge w:val="restart"/>
                  <w:tcBorders>
                    <w:tl2br w:val="nil"/>
                    <w:tr2bl w:val="nil"/>
                  </w:tcBorders>
                  <w:noWrap w:val="0"/>
                  <w:vAlign w:val="center"/>
                </w:tcPr>
                <w:p w14:paraId="71554E57">
                  <w:pPr>
                    <w:widowControl/>
                    <w:jc w:val="center"/>
                    <w:rPr>
                      <w:rFonts w:hint="default" w:ascii="Times New Roman" w:hAnsi="Times New Roman" w:eastAsia="仿宋" w:cs="Times New Roman"/>
                      <w:b/>
                      <w:bCs/>
                      <w:color w:val="auto"/>
                      <w:kern w:val="0"/>
                      <w:sz w:val="21"/>
                      <w:szCs w:val="21"/>
                      <w:highlight w:val="none"/>
                    </w:rPr>
                  </w:pPr>
                  <w:r>
                    <w:rPr>
                      <w:rFonts w:hint="default" w:ascii="Times New Roman" w:hAnsi="Times New Roman" w:eastAsia="仿宋" w:cs="Times New Roman"/>
                      <w:b/>
                      <w:bCs/>
                      <w:color w:val="auto"/>
                      <w:kern w:val="0"/>
                      <w:sz w:val="21"/>
                      <w:szCs w:val="21"/>
                      <w:highlight w:val="none"/>
                    </w:rPr>
                    <w:t>限值标准</w:t>
                  </w:r>
                </w:p>
              </w:tc>
              <w:tc>
                <w:tcPr>
                  <w:tcW w:w="542" w:type="pct"/>
                  <w:vMerge w:val="restart"/>
                  <w:tcBorders>
                    <w:tl2br w:val="nil"/>
                    <w:tr2bl w:val="nil"/>
                  </w:tcBorders>
                  <w:noWrap w:val="0"/>
                  <w:vAlign w:val="center"/>
                </w:tcPr>
                <w:p w14:paraId="29E0AACE">
                  <w:pPr>
                    <w:widowControl/>
                    <w:jc w:val="center"/>
                    <w:rPr>
                      <w:rFonts w:hint="default" w:ascii="Times New Roman" w:hAnsi="Times New Roman" w:eastAsia="仿宋" w:cs="Times New Roman"/>
                      <w:b/>
                      <w:bCs/>
                      <w:color w:val="auto"/>
                      <w:kern w:val="0"/>
                      <w:sz w:val="21"/>
                      <w:szCs w:val="21"/>
                      <w:highlight w:val="none"/>
                    </w:rPr>
                  </w:pPr>
                  <w:r>
                    <w:rPr>
                      <w:rFonts w:hint="default" w:ascii="Times New Roman" w:hAnsi="Times New Roman" w:eastAsia="仿宋" w:cs="Times New Roman"/>
                      <w:b/>
                      <w:bCs/>
                      <w:color w:val="auto"/>
                      <w:kern w:val="0"/>
                      <w:sz w:val="21"/>
                      <w:szCs w:val="21"/>
                      <w:highlight w:val="none"/>
                    </w:rPr>
                    <w:t>达标情况</w:t>
                  </w:r>
                </w:p>
              </w:tc>
            </w:tr>
            <w:tr w14:paraId="6B7E39A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6FBF90C9">
                  <w:pPr>
                    <w:widowControl/>
                    <w:jc w:val="center"/>
                    <w:rPr>
                      <w:highlight w:val="none"/>
                    </w:rPr>
                  </w:pPr>
                </w:p>
              </w:tc>
              <w:tc>
                <w:tcPr>
                  <w:tcW w:w="580" w:type="pct"/>
                  <w:vMerge w:val="continue"/>
                  <w:tcBorders>
                    <w:tl2br w:val="nil"/>
                    <w:tr2bl w:val="nil"/>
                  </w:tcBorders>
                  <w:noWrap w:val="0"/>
                  <w:vAlign w:val="center"/>
                </w:tcPr>
                <w:p w14:paraId="305E2EEF">
                  <w:pPr>
                    <w:widowControl/>
                    <w:jc w:val="center"/>
                    <w:rPr>
                      <w:highlight w:val="none"/>
                    </w:rPr>
                  </w:pPr>
                </w:p>
              </w:tc>
              <w:tc>
                <w:tcPr>
                  <w:tcW w:w="780" w:type="pct"/>
                  <w:vMerge w:val="continue"/>
                  <w:tcBorders>
                    <w:tl2br w:val="nil"/>
                    <w:tr2bl w:val="nil"/>
                  </w:tcBorders>
                  <w:noWrap w:val="0"/>
                  <w:vAlign w:val="center"/>
                </w:tcPr>
                <w:p w14:paraId="35438D49">
                  <w:pPr>
                    <w:widowControl/>
                    <w:jc w:val="center"/>
                    <w:rPr>
                      <w:highlight w:val="none"/>
                    </w:rPr>
                  </w:pPr>
                </w:p>
              </w:tc>
              <w:tc>
                <w:tcPr>
                  <w:tcW w:w="560" w:type="pct"/>
                  <w:vMerge w:val="continue"/>
                  <w:tcBorders>
                    <w:tl2br w:val="nil"/>
                    <w:tr2bl w:val="nil"/>
                  </w:tcBorders>
                  <w:noWrap w:val="0"/>
                  <w:vAlign w:val="center"/>
                </w:tcPr>
                <w:p w14:paraId="7D2EBCBC">
                  <w:pPr>
                    <w:widowControl/>
                    <w:jc w:val="center"/>
                    <w:rPr>
                      <w:highlight w:val="none"/>
                    </w:rPr>
                  </w:pPr>
                </w:p>
              </w:tc>
              <w:tc>
                <w:tcPr>
                  <w:tcW w:w="471" w:type="pct"/>
                  <w:tcBorders>
                    <w:tl2br w:val="nil"/>
                    <w:tr2bl w:val="nil"/>
                  </w:tcBorders>
                  <w:noWrap w:val="0"/>
                  <w:vAlign w:val="center"/>
                </w:tcPr>
                <w:p w14:paraId="41FB0EF8">
                  <w:pPr>
                    <w:widowControl/>
                    <w:jc w:val="center"/>
                    <w:rPr>
                      <w:rFonts w:hint="default" w:eastAsia="仿宋" w:cs="Times New Roman"/>
                      <w:b/>
                      <w:bCs/>
                      <w:color w:val="auto"/>
                      <w:kern w:val="0"/>
                      <w:sz w:val="21"/>
                      <w:szCs w:val="21"/>
                      <w:highlight w:val="none"/>
                      <w:lang w:val="en-US" w:eastAsia="zh-CN"/>
                    </w:rPr>
                  </w:pPr>
                  <w:r>
                    <w:rPr>
                      <w:rFonts w:hint="eastAsia" w:eastAsia="仿宋" w:cs="Times New Roman"/>
                      <w:b/>
                      <w:bCs/>
                      <w:color w:val="auto"/>
                      <w:kern w:val="0"/>
                      <w:sz w:val="21"/>
                      <w:szCs w:val="21"/>
                      <w:highlight w:val="none"/>
                      <w:lang w:val="en-US" w:eastAsia="zh-CN"/>
                    </w:rPr>
                    <w:t>第一次</w:t>
                  </w:r>
                </w:p>
              </w:tc>
              <w:tc>
                <w:tcPr>
                  <w:tcW w:w="471" w:type="pct"/>
                  <w:tcBorders>
                    <w:tl2br w:val="nil"/>
                    <w:tr2bl w:val="nil"/>
                  </w:tcBorders>
                  <w:noWrap w:val="0"/>
                  <w:vAlign w:val="center"/>
                </w:tcPr>
                <w:p w14:paraId="31050BEB">
                  <w:pPr>
                    <w:widowControl/>
                    <w:jc w:val="center"/>
                    <w:rPr>
                      <w:rFonts w:hint="default" w:eastAsia="仿宋" w:cs="Times New Roman"/>
                      <w:b/>
                      <w:bCs/>
                      <w:color w:val="auto"/>
                      <w:kern w:val="0"/>
                      <w:sz w:val="21"/>
                      <w:szCs w:val="21"/>
                      <w:highlight w:val="none"/>
                      <w:lang w:val="en-US" w:eastAsia="zh-CN"/>
                    </w:rPr>
                  </w:pPr>
                  <w:r>
                    <w:rPr>
                      <w:rFonts w:hint="eastAsia" w:eastAsia="仿宋" w:cs="Times New Roman"/>
                      <w:b/>
                      <w:bCs/>
                      <w:color w:val="auto"/>
                      <w:kern w:val="0"/>
                      <w:sz w:val="21"/>
                      <w:szCs w:val="21"/>
                      <w:highlight w:val="none"/>
                      <w:lang w:val="en-US" w:eastAsia="zh-CN"/>
                    </w:rPr>
                    <w:t>第二次</w:t>
                  </w:r>
                </w:p>
              </w:tc>
              <w:tc>
                <w:tcPr>
                  <w:tcW w:w="471" w:type="pct"/>
                  <w:tcBorders>
                    <w:tl2br w:val="nil"/>
                    <w:tr2bl w:val="nil"/>
                  </w:tcBorders>
                  <w:noWrap w:val="0"/>
                  <w:vAlign w:val="center"/>
                </w:tcPr>
                <w:p w14:paraId="4BE0E36D">
                  <w:pPr>
                    <w:widowControl/>
                    <w:jc w:val="center"/>
                    <w:rPr>
                      <w:rFonts w:hint="default" w:eastAsia="仿宋" w:cs="Times New Roman"/>
                      <w:b/>
                      <w:bCs/>
                      <w:color w:val="auto"/>
                      <w:kern w:val="0"/>
                      <w:sz w:val="21"/>
                      <w:szCs w:val="21"/>
                      <w:highlight w:val="none"/>
                      <w:lang w:val="en-US" w:eastAsia="zh-CN"/>
                    </w:rPr>
                  </w:pPr>
                  <w:r>
                    <w:rPr>
                      <w:rFonts w:hint="eastAsia" w:eastAsia="仿宋" w:cs="Times New Roman"/>
                      <w:b/>
                      <w:bCs/>
                      <w:color w:val="auto"/>
                      <w:kern w:val="0"/>
                      <w:sz w:val="21"/>
                      <w:szCs w:val="21"/>
                      <w:highlight w:val="none"/>
                      <w:lang w:val="en-US" w:eastAsia="zh-CN"/>
                    </w:rPr>
                    <w:t>第三次</w:t>
                  </w:r>
                </w:p>
              </w:tc>
              <w:tc>
                <w:tcPr>
                  <w:tcW w:w="493" w:type="pct"/>
                  <w:vMerge w:val="continue"/>
                  <w:tcBorders>
                    <w:tl2br w:val="nil"/>
                    <w:tr2bl w:val="nil"/>
                  </w:tcBorders>
                  <w:noWrap w:val="0"/>
                  <w:vAlign w:val="center"/>
                </w:tcPr>
                <w:p w14:paraId="2A6067FD">
                  <w:pPr>
                    <w:widowControl/>
                    <w:jc w:val="center"/>
                    <w:rPr>
                      <w:rFonts w:hint="eastAsia" w:eastAsia="仿宋" w:cs="Times New Roman"/>
                      <w:b/>
                      <w:bCs/>
                      <w:color w:val="auto"/>
                      <w:kern w:val="0"/>
                      <w:sz w:val="21"/>
                      <w:szCs w:val="21"/>
                      <w:highlight w:val="none"/>
                      <w:lang w:val="en-US" w:eastAsia="zh-CN"/>
                    </w:rPr>
                  </w:pPr>
                </w:p>
              </w:tc>
              <w:tc>
                <w:tcPr>
                  <w:tcW w:w="542" w:type="pct"/>
                  <w:vMerge w:val="continue"/>
                  <w:tcBorders>
                    <w:tl2br w:val="nil"/>
                    <w:tr2bl w:val="nil"/>
                  </w:tcBorders>
                  <w:noWrap w:val="0"/>
                  <w:vAlign w:val="center"/>
                </w:tcPr>
                <w:p w14:paraId="10C8C982">
                  <w:pPr>
                    <w:widowControl/>
                    <w:jc w:val="center"/>
                    <w:rPr>
                      <w:rFonts w:hint="eastAsia" w:eastAsia="仿宋" w:cs="Times New Roman"/>
                      <w:b/>
                      <w:bCs/>
                      <w:color w:val="auto"/>
                      <w:kern w:val="0"/>
                      <w:sz w:val="21"/>
                      <w:szCs w:val="21"/>
                      <w:highlight w:val="none"/>
                      <w:lang w:val="en-US" w:eastAsia="zh-CN"/>
                    </w:rPr>
                  </w:pPr>
                </w:p>
              </w:tc>
            </w:tr>
            <w:tr w14:paraId="0E168C8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restart"/>
                  <w:tcBorders>
                    <w:tl2br w:val="nil"/>
                    <w:tr2bl w:val="nil"/>
                  </w:tcBorders>
                  <w:noWrap w:val="0"/>
                  <w:vAlign w:val="center"/>
                </w:tcPr>
                <w:p w14:paraId="213485E9">
                  <w:pPr>
                    <w:widowControl/>
                    <w:jc w:val="center"/>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202</w:t>
                  </w:r>
                  <w:r>
                    <w:rPr>
                      <w:rFonts w:hint="eastAsia" w:eastAsia="仿宋" w:cs="Times New Roman"/>
                      <w:color w:val="auto"/>
                      <w:kern w:val="0"/>
                      <w:sz w:val="21"/>
                      <w:szCs w:val="21"/>
                      <w:highlight w:val="none"/>
                      <w:lang w:val="en-US" w:eastAsia="zh-CN"/>
                    </w:rPr>
                    <w:t>5.3.5</w:t>
                  </w:r>
                </w:p>
              </w:tc>
              <w:tc>
                <w:tcPr>
                  <w:tcW w:w="580" w:type="pct"/>
                  <w:vMerge w:val="restart"/>
                  <w:tcBorders>
                    <w:tl2br w:val="nil"/>
                    <w:tr2bl w:val="nil"/>
                  </w:tcBorders>
                  <w:noWrap w:val="0"/>
                  <w:vAlign w:val="center"/>
                </w:tcPr>
                <w:p w14:paraId="0CC6AD10">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厂区总排口</w:t>
                  </w:r>
                </w:p>
              </w:tc>
              <w:tc>
                <w:tcPr>
                  <w:tcW w:w="780" w:type="pct"/>
                  <w:tcBorders>
                    <w:tl2br w:val="nil"/>
                    <w:tr2bl w:val="nil"/>
                  </w:tcBorders>
                  <w:noWrap w:val="0"/>
                  <w:vAlign w:val="center"/>
                </w:tcPr>
                <w:p w14:paraId="0A5E4AA8">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pH值</w:t>
                  </w:r>
                </w:p>
              </w:tc>
              <w:tc>
                <w:tcPr>
                  <w:tcW w:w="560" w:type="pct"/>
                  <w:tcBorders>
                    <w:tl2br w:val="nil"/>
                    <w:tr2bl w:val="nil"/>
                  </w:tcBorders>
                  <w:noWrap w:val="0"/>
                  <w:vAlign w:val="center"/>
                </w:tcPr>
                <w:p w14:paraId="656844C1">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无量纲</w:t>
                  </w:r>
                </w:p>
              </w:tc>
              <w:tc>
                <w:tcPr>
                  <w:tcW w:w="471" w:type="pct"/>
                  <w:tcBorders>
                    <w:tl2br w:val="nil"/>
                    <w:tr2bl w:val="nil"/>
                  </w:tcBorders>
                  <w:noWrap w:val="0"/>
                  <w:vAlign w:val="center"/>
                </w:tcPr>
                <w:p w14:paraId="449F870C">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7.2</w:t>
                  </w:r>
                </w:p>
              </w:tc>
              <w:tc>
                <w:tcPr>
                  <w:tcW w:w="471" w:type="pct"/>
                  <w:tcBorders>
                    <w:tl2br w:val="nil"/>
                    <w:tr2bl w:val="nil"/>
                  </w:tcBorders>
                  <w:noWrap w:val="0"/>
                  <w:vAlign w:val="center"/>
                </w:tcPr>
                <w:p w14:paraId="36E5E641">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7.1</w:t>
                  </w:r>
                </w:p>
              </w:tc>
              <w:tc>
                <w:tcPr>
                  <w:tcW w:w="471" w:type="pct"/>
                  <w:tcBorders>
                    <w:tl2br w:val="nil"/>
                    <w:tr2bl w:val="nil"/>
                  </w:tcBorders>
                  <w:noWrap w:val="0"/>
                  <w:vAlign w:val="center"/>
                </w:tcPr>
                <w:p w14:paraId="42F4F98C">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7.2</w:t>
                  </w:r>
                </w:p>
              </w:tc>
              <w:tc>
                <w:tcPr>
                  <w:tcW w:w="493" w:type="pct"/>
                  <w:tcBorders>
                    <w:tl2br w:val="nil"/>
                    <w:tr2bl w:val="nil"/>
                  </w:tcBorders>
                  <w:noWrap w:val="0"/>
                  <w:vAlign w:val="center"/>
                </w:tcPr>
                <w:p w14:paraId="1B77449F">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6~9</w:t>
                  </w:r>
                </w:p>
              </w:tc>
              <w:tc>
                <w:tcPr>
                  <w:tcW w:w="542" w:type="pct"/>
                  <w:tcBorders>
                    <w:tl2br w:val="nil"/>
                    <w:tr2bl w:val="nil"/>
                  </w:tcBorders>
                  <w:noWrap w:val="0"/>
                  <w:vAlign w:val="center"/>
                </w:tcPr>
                <w:p w14:paraId="4F696C38">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达标</w:t>
                  </w:r>
                </w:p>
              </w:tc>
            </w:tr>
            <w:tr w14:paraId="1D88D8D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59BA4C37">
                  <w:pPr>
                    <w:widowControl/>
                    <w:jc w:val="center"/>
                    <w:rPr>
                      <w:rFonts w:hint="default" w:ascii="Times New Roman" w:hAnsi="Times New Roman" w:eastAsia="仿宋" w:cs="Times New Roman"/>
                      <w:color w:val="auto"/>
                      <w:kern w:val="0"/>
                      <w:sz w:val="21"/>
                      <w:szCs w:val="21"/>
                      <w:highlight w:val="none"/>
                    </w:rPr>
                  </w:pPr>
                </w:p>
              </w:tc>
              <w:tc>
                <w:tcPr>
                  <w:tcW w:w="580" w:type="pct"/>
                  <w:vMerge w:val="continue"/>
                  <w:tcBorders>
                    <w:tl2br w:val="nil"/>
                    <w:tr2bl w:val="nil"/>
                  </w:tcBorders>
                  <w:noWrap w:val="0"/>
                  <w:vAlign w:val="center"/>
                </w:tcPr>
                <w:p w14:paraId="4296732F">
                  <w:pPr>
                    <w:widowControl/>
                    <w:jc w:val="center"/>
                    <w:rPr>
                      <w:rFonts w:hint="default" w:ascii="Times New Roman" w:hAnsi="Times New Roman" w:eastAsia="仿宋" w:cs="Times New Roman"/>
                      <w:color w:val="auto"/>
                      <w:kern w:val="0"/>
                      <w:sz w:val="21"/>
                      <w:szCs w:val="21"/>
                      <w:highlight w:val="none"/>
                    </w:rPr>
                  </w:pPr>
                </w:p>
              </w:tc>
              <w:tc>
                <w:tcPr>
                  <w:tcW w:w="780" w:type="pct"/>
                  <w:tcBorders>
                    <w:tl2br w:val="nil"/>
                    <w:tr2bl w:val="nil"/>
                  </w:tcBorders>
                  <w:noWrap w:val="0"/>
                  <w:vAlign w:val="center"/>
                </w:tcPr>
                <w:p w14:paraId="40FABA00">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悬浮物</w:t>
                  </w:r>
                </w:p>
              </w:tc>
              <w:tc>
                <w:tcPr>
                  <w:tcW w:w="560" w:type="pct"/>
                  <w:tcBorders>
                    <w:tl2br w:val="nil"/>
                    <w:tr2bl w:val="nil"/>
                  </w:tcBorders>
                  <w:noWrap w:val="0"/>
                  <w:vAlign w:val="center"/>
                </w:tcPr>
                <w:p w14:paraId="732BCB34">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mg/L</w:t>
                  </w:r>
                </w:p>
              </w:tc>
              <w:tc>
                <w:tcPr>
                  <w:tcW w:w="471" w:type="pct"/>
                  <w:tcBorders>
                    <w:tl2br w:val="nil"/>
                    <w:tr2bl w:val="nil"/>
                  </w:tcBorders>
                  <w:noWrap w:val="0"/>
                  <w:vAlign w:val="center"/>
                </w:tcPr>
                <w:p w14:paraId="0E612731">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63</w:t>
                  </w:r>
                </w:p>
              </w:tc>
              <w:tc>
                <w:tcPr>
                  <w:tcW w:w="471" w:type="pct"/>
                  <w:tcBorders>
                    <w:tl2br w:val="nil"/>
                    <w:tr2bl w:val="nil"/>
                  </w:tcBorders>
                  <w:noWrap w:val="0"/>
                  <w:vAlign w:val="center"/>
                </w:tcPr>
                <w:p w14:paraId="56DDD280">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75</w:t>
                  </w:r>
                </w:p>
              </w:tc>
              <w:tc>
                <w:tcPr>
                  <w:tcW w:w="471" w:type="pct"/>
                  <w:tcBorders>
                    <w:tl2br w:val="nil"/>
                    <w:tr2bl w:val="nil"/>
                  </w:tcBorders>
                  <w:noWrap w:val="0"/>
                  <w:vAlign w:val="center"/>
                </w:tcPr>
                <w:p w14:paraId="59FC73E2">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52</w:t>
                  </w:r>
                </w:p>
              </w:tc>
              <w:tc>
                <w:tcPr>
                  <w:tcW w:w="493" w:type="pct"/>
                  <w:tcBorders>
                    <w:tl2br w:val="nil"/>
                    <w:tr2bl w:val="nil"/>
                  </w:tcBorders>
                  <w:noWrap w:val="0"/>
                  <w:vAlign w:val="center"/>
                </w:tcPr>
                <w:p w14:paraId="53683B1D">
                  <w:pPr>
                    <w:widowControl/>
                    <w:jc w:val="center"/>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200</w:t>
                  </w:r>
                </w:p>
              </w:tc>
              <w:tc>
                <w:tcPr>
                  <w:tcW w:w="542" w:type="pct"/>
                  <w:tcBorders>
                    <w:tl2br w:val="nil"/>
                    <w:tr2bl w:val="nil"/>
                  </w:tcBorders>
                  <w:noWrap w:val="0"/>
                  <w:vAlign w:val="center"/>
                </w:tcPr>
                <w:p w14:paraId="33389409">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达标</w:t>
                  </w:r>
                </w:p>
              </w:tc>
            </w:tr>
            <w:tr w14:paraId="7DE44EF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7C053A90">
                  <w:pPr>
                    <w:widowControl/>
                    <w:jc w:val="center"/>
                    <w:rPr>
                      <w:rFonts w:hint="default" w:ascii="Times New Roman" w:hAnsi="Times New Roman" w:eastAsia="仿宋" w:cs="Times New Roman"/>
                      <w:color w:val="auto"/>
                      <w:kern w:val="0"/>
                      <w:sz w:val="21"/>
                      <w:szCs w:val="21"/>
                      <w:highlight w:val="none"/>
                    </w:rPr>
                  </w:pPr>
                </w:p>
              </w:tc>
              <w:tc>
                <w:tcPr>
                  <w:tcW w:w="580" w:type="pct"/>
                  <w:vMerge w:val="continue"/>
                  <w:tcBorders>
                    <w:tl2br w:val="nil"/>
                    <w:tr2bl w:val="nil"/>
                  </w:tcBorders>
                  <w:noWrap w:val="0"/>
                  <w:vAlign w:val="center"/>
                </w:tcPr>
                <w:p w14:paraId="5E2BD97C">
                  <w:pPr>
                    <w:widowControl/>
                    <w:jc w:val="center"/>
                    <w:rPr>
                      <w:rFonts w:hint="default" w:ascii="Times New Roman" w:hAnsi="Times New Roman" w:eastAsia="仿宋" w:cs="Times New Roman"/>
                      <w:color w:val="auto"/>
                      <w:kern w:val="0"/>
                      <w:sz w:val="21"/>
                      <w:szCs w:val="21"/>
                      <w:highlight w:val="none"/>
                    </w:rPr>
                  </w:pPr>
                </w:p>
              </w:tc>
              <w:tc>
                <w:tcPr>
                  <w:tcW w:w="780" w:type="pct"/>
                  <w:tcBorders>
                    <w:tl2br w:val="nil"/>
                    <w:tr2bl w:val="nil"/>
                  </w:tcBorders>
                  <w:noWrap w:val="0"/>
                  <w:vAlign w:val="center"/>
                </w:tcPr>
                <w:p w14:paraId="66125A94">
                  <w:pPr>
                    <w:widowControl/>
                    <w:jc w:val="center"/>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化学需氧量</w:t>
                  </w:r>
                </w:p>
              </w:tc>
              <w:tc>
                <w:tcPr>
                  <w:tcW w:w="560" w:type="pct"/>
                  <w:tcBorders>
                    <w:tl2br w:val="nil"/>
                    <w:tr2bl w:val="nil"/>
                  </w:tcBorders>
                  <w:noWrap w:val="0"/>
                  <w:vAlign w:val="center"/>
                </w:tcPr>
                <w:p w14:paraId="6DC75EE2">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mg/L</w:t>
                  </w:r>
                </w:p>
              </w:tc>
              <w:tc>
                <w:tcPr>
                  <w:tcW w:w="471" w:type="pct"/>
                  <w:tcBorders>
                    <w:tl2br w:val="nil"/>
                    <w:tr2bl w:val="nil"/>
                  </w:tcBorders>
                  <w:noWrap w:val="0"/>
                  <w:vAlign w:val="center"/>
                </w:tcPr>
                <w:p w14:paraId="294C54A0">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230</w:t>
                  </w:r>
                </w:p>
              </w:tc>
              <w:tc>
                <w:tcPr>
                  <w:tcW w:w="471" w:type="pct"/>
                  <w:tcBorders>
                    <w:tl2br w:val="nil"/>
                    <w:tr2bl w:val="nil"/>
                  </w:tcBorders>
                  <w:noWrap w:val="0"/>
                  <w:vAlign w:val="center"/>
                </w:tcPr>
                <w:p w14:paraId="1929E742">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222</w:t>
                  </w:r>
                </w:p>
              </w:tc>
              <w:tc>
                <w:tcPr>
                  <w:tcW w:w="471" w:type="pct"/>
                  <w:tcBorders>
                    <w:tl2br w:val="nil"/>
                    <w:tr2bl w:val="nil"/>
                  </w:tcBorders>
                  <w:noWrap w:val="0"/>
                  <w:vAlign w:val="center"/>
                </w:tcPr>
                <w:p w14:paraId="2B85346D">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210</w:t>
                  </w:r>
                </w:p>
              </w:tc>
              <w:tc>
                <w:tcPr>
                  <w:tcW w:w="493" w:type="pct"/>
                  <w:tcBorders>
                    <w:tl2br w:val="nil"/>
                    <w:tr2bl w:val="nil"/>
                  </w:tcBorders>
                  <w:noWrap w:val="0"/>
                  <w:vAlign w:val="center"/>
                </w:tcPr>
                <w:p w14:paraId="6A38B74A">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400</w:t>
                  </w:r>
                </w:p>
              </w:tc>
              <w:tc>
                <w:tcPr>
                  <w:tcW w:w="542" w:type="pct"/>
                  <w:tcBorders>
                    <w:tl2br w:val="nil"/>
                    <w:tr2bl w:val="nil"/>
                  </w:tcBorders>
                  <w:noWrap w:val="0"/>
                  <w:vAlign w:val="center"/>
                </w:tcPr>
                <w:p w14:paraId="3D306583">
                  <w:pPr>
                    <w:widowControl/>
                    <w:jc w:val="center"/>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达标</w:t>
                  </w:r>
                </w:p>
              </w:tc>
            </w:tr>
            <w:tr w14:paraId="6D251A3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06C23FA1">
                  <w:pPr>
                    <w:widowControl/>
                    <w:jc w:val="center"/>
                    <w:rPr>
                      <w:rFonts w:hint="default" w:ascii="Times New Roman" w:hAnsi="Times New Roman" w:eastAsia="仿宋" w:cs="Times New Roman"/>
                      <w:color w:val="auto"/>
                      <w:kern w:val="0"/>
                      <w:sz w:val="21"/>
                      <w:szCs w:val="21"/>
                      <w:highlight w:val="none"/>
                    </w:rPr>
                  </w:pPr>
                </w:p>
              </w:tc>
              <w:tc>
                <w:tcPr>
                  <w:tcW w:w="580" w:type="pct"/>
                  <w:vMerge w:val="continue"/>
                  <w:tcBorders>
                    <w:tl2br w:val="nil"/>
                    <w:tr2bl w:val="nil"/>
                  </w:tcBorders>
                  <w:noWrap w:val="0"/>
                  <w:vAlign w:val="center"/>
                </w:tcPr>
                <w:p w14:paraId="3CC7B0FA">
                  <w:pPr>
                    <w:widowControl/>
                    <w:jc w:val="center"/>
                    <w:rPr>
                      <w:rFonts w:hint="default" w:ascii="Times New Roman" w:hAnsi="Times New Roman" w:eastAsia="仿宋" w:cs="Times New Roman"/>
                      <w:color w:val="auto"/>
                      <w:kern w:val="0"/>
                      <w:sz w:val="21"/>
                      <w:szCs w:val="21"/>
                      <w:highlight w:val="none"/>
                    </w:rPr>
                  </w:pPr>
                </w:p>
              </w:tc>
              <w:tc>
                <w:tcPr>
                  <w:tcW w:w="780" w:type="pct"/>
                  <w:tcBorders>
                    <w:tl2br w:val="nil"/>
                    <w:tr2bl w:val="nil"/>
                  </w:tcBorders>
                  <w:noWrap w:val="0"/>
                  <w:vAlign w:val="center"/>
                </w:tcPr>
                <w:p w14:paraId="2BEFD9CE">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氨氮</w:t>
                  </w:r>
                </w:p>
              </w:tc>
              <w:tc>
                <w:tcPr>
                  <w:tcW w:w="560" w:type="pct"/>
                  <w:tcBorders>
                    <w:tl2br w:val="nil"/>
                    <w:tr2bl w:val="nil"/>
                  </w:tcBorders>
                  <w:noWrap w:val="0"/>
                  <w:vAlign w:val="center"/>
                </w:tcPr>
                <w:p w14:paraId="719906CA">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mg/L</w:t>
                  </w:r>
                </w:p>
              </w:tc>
              <w:tc>
                <w:tcPr>
                  <w:tcW w:w="471" w:type="pct"/>
                  <w:tcBorders>
                    <w:tl2br w:val="nil"/>
                    <w:tr2bl w:val="nil"/>
                  </w:tcBorders>
                  <w:noWrap w:val="0"/>
                  <w:vAlign w:val="center"/>
                </w:tcPr>
                <w:p w14:paraId="369DD8FD">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21.7</w:t>
                  </w:r>
                </w:p>
              </w:tc>
              <w:tc>
                <w:tcPr>
                  <w:tcW w:w="471" w:type="pct"/>
                  <w:tcBorders>
                    <w:tl2br w:val="nil"/>
                    <w:tr2bl w:val="nil"/>
                  </w:tcBorders>
                  <w:noWrap w:val="0"/>
                  <w:vAlign w:val="center"/>
                </w:tcPr>
                <w:p w14:paraId="7E378478">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25</w:t>
                  </w:r>
                </w:p>
              </w:tc>
              <w:tc>
                <w:tcPr>
                  <w:tcW w:w="471" w:type="pct"/>
                  <w:tcBorders>
                    <w:tl2br w:val="nil"/>
                    <w:tr2bl w:val="nil"/>
                  </w:tcBorders>
                  <w:noWrap w:val="0"/>
                  <w:vAlign w:val="center"/>
                </w:tcPr>
                <w:p w14:paraId="338A634C">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27.6</w:t>
                  </w:r>
                </w:p>
              </w:tc>
              <w:tc>
                <w:tcPr>
                  <w:tcW w:w="493" w:type="pct"/>
                  <w:tcBorders>
                    <w:tl2br w:val="nil"/>
                    <w:tr2bl w:val="nil"/>
                  </w:tcBorders>
                  <w:noWrap w:val="0"/>
                  <w:vAlign w:val="center"/>
                </w:tcPr>
                <w:p w14:paraId="6DF8A96C">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35</w:t>
                  </w:r>
                </w:p>
              </w:tc>
              <w:tc>
                <w:tcPr>
                  <w:tcW w:w="542" w:type="pct"/>
                  <w:tcBorders>
                    <w:tl2br w:val="nil"/>
                    <w:tr2bl w:val="nil"/>
                  </w:tcBorders>
                  <w:noWrap w:val="0"/>
                  <w:vAlign w:val="center"/>
                </w:tcPr>
                <w:p w14:paraId="3210FB06">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达标</w:t>
                  </w:r>
                </w:p>
              </w:tc>
            </w:tr>
            <w:tr w14:paraId="0723FDD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04A98BDF">
                  <w:pPr>
                    <w:widowControl/>
                    <w:jc w:val="center"/>
                    <w:rPr>
                      <w:rFonts w:hint="default" w:ascii="Times New Roman" w:hAnsi="Times New Roman" w:eastAsia="仿宋" w:cs="Times New Roman"/>
                      <w:color w:val="auto"/>
                      <w:kern w:val="0"/>
                      <w:sz w:val="21"/>
                      <w:szCs w:val="21"/>
                      <w:highlight w:val="none"/>
                    </w:rPr>
                  </w:pPr>
                </w:p>
              </w:tc>
              <w:tc>
                <w:tcPr>
                  <w:tcW w:w="580" w:type="pct"/>
                  <w:vMerge w:val="continue"/>
                  <w:tcBorders>
                    <w:tl2br w:val="nil"/>
                    <w:tr2bl w:val="nil"/>
                  </w:tcBorders>
                  <w:noWrap w:val="0"/>
                  <w:vAlign w:val="center"/>
                </w:tcPr>
                <w:p w14:paraId="05148486">
                  <w:pPr>
                    <w:widowControl/>
                    <w:jc w:val="center"/>
                    <w:rPr>
                      <w:rFonts w:hint="default" w:ascii="Times New Roman" w:hAnsi="Times New Roman" w:eastAsia="仿宋" w:cs="Times New Roman"/>
                      <w:color w:val="auto"/>
                      <w:kern w:val="0"/>
                      <w:sz w:val="21"/>
                      <w:szCs w:val="21"/>
                      <w:highlight w:val="none"/>
                    </w:rPr>
                  </w:pPr>
                </w:p>
              </w:tc>
              <w:tc>
                <w:tcPr>
                  <w:tcW w:w="780" w:type="pct"/>
                  <w:tcBorders>
                    <w:tl2br w:val="nil"/>
                    <w:tr2bl w:val="nil"/>
                  </w:tcBorders>
                  <w:noWrap w:val="0"/>
                  <w:vAlign w:val="center"/>
                </w:tcPr>
                <w:p w14:paraId="4B4D6353">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总磷</w:t>
                  </w:r>
                </w:p>
              </w:tc>
              <w:tc>
                <w:tcPr>
                  <w:tcW w:w="560" w:type="pct"/>
                  <w:tcBorders>
                    <w:tl2br w:val="nil"/>
                    <w:tr2bl w:val="nil"/>
                  </w:tcBorders>
                  <w:noWrap w:val="0"/>
                  <w:vAlign w:val="center"/>
                </w:tcPr>
                <w:p w14:paraId="43B5FF3D">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mg/L</w:t>
                  </w:r>
                </w:p>
              </w:tc>
              <w:tc>
                <w:tcPr>
                  <w:tcW w:w="471" w:type="pct"/>
                  <w:tcBorders>
                    <w:tl2br w:val="nil"/>
                    <w:tr2bl w:val="nil"/>
                  </w:tcBorders>
                  <w:noWrap w:val="0"/>
                  <w:vAlign w:val="center"/>
                </w:tcPr>
                <w:p w14:paraId="61A6559C">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4.42</w:t>
                  </w:r>
                </w:p>
              </w:tc>
              <w:tc>
                <w:tcPr>
                  <w:tcW w:w="471" w:type="pct"/>
                  <w:tcBorders>
                    <w:tl2br w:val="nil"/>
                    <w:tr2bl w:val="nil"/>
                  </w:tcBorders>
                  <w:noWrap w:val="0"/>
                  <w:vAlign w:val="center"/>
                </w:tcPr>
                <w:p w14:paraId="3D7E487F">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4.1</w:t>
                  </w:r>
                </w:p>
              </w:tc>
              <w:tc>
                <w:tcPr>
                  <w:tcW w:w="471" w:type="pct"/>
                  <w:tcBorders>
                    <w:tl2br w:val="nil"/>
                    <w:tr2bl w:val="nil"/>
                  </w:tcBorders>
                  <w:noWrap w:val="0"/>
                  <w:vAlign w:val="center"/>
                </w:tcPr>
                <w:p w14:paraId="53870DA7">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4.64</w:t>
                  </w:r>
                </w:p>
              </w:tc>
              <w:tc>
                <w:tcPr>
                  <w:tcW w:w="493" w:type="pct"/>
                  <w:tcBorders>
                    <w:tl2br w:val="nil"/>
                    <w:tr2bl w:val="nil"/>
                  </w:tcBorders>
                  <w:noWrap w:val="0"/>
                  <w:vAlign w:val="center"/>
                </w:tcPr>
                <w:p w14:paraId="3DA77EEF">
                  <w:pPr>
                    <w:widowControl/>
                    <w:jc w:val="center"/>
                    <w:rPr>
                      <w:rFonts w:hint="eastAsia" w:ascii="Times New Roman" w:hAnsi="Times New Roman" w:eastAsia="仿宋" w:cs="Times New Roman"/>
                      <w:color w:val="auto"/>
                      <w:kern w:val="0"/>
                      <w:sz w:val="21"/>
                      <w:szCs w:val="21"/>
                      <w:highlight w:val="none"/>
                      <w:lang w:eastAsia="zh-CN"/>
                    </w:rPr>
                  </w:pPr>
                  <w:r>
                    <w:rPr>
                      <w:rFonts w:hint="eastAsia" w:eastAsia="仿宋" w:cs="Times New Roman"/>
                      <w:color w:val="auto"/>
                      <w:kern w:val="0"/>
                      <w:sz w:val="21"/>
                      <w:szCs w:val="21"/>
                      <w:highlight w:val="none"/>
                      <w:lang w:val="en-US" w:eastAsia="zh-CN"/>
                    </w:rPr>
                    <w:t>5</w:t>
                  </w:r>
                </w:p>
              </w:tc>
              <w:tc>
                <w:tcPr>
                  <w:tcW w:w="542" w:type="pct"/>
                  <w:tcBorders>
                    <w:tl2br w:val="nil"/>
                    <w:tr2bl w:val="nil"/>
                  </w:tcBorders>
                  <w:noWrap w:val="0"/>
                  <w:vAlign w:val="center"/>
                </w:tcPr>
                <w:p w14:paraId="104D5103">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达标</w:t>
                  </w:r>
                </w:p>
              </w:tc>
            </w:tr>
            <w:tr w14:paraId="09C9A79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343D3CA3">
                  <w:pPr>
                    <w:widowControl/>
                    <w:jc w:val="center"/>
                    <w:rPr>
                      <w:rFonts w:hint="default" w:ascii="Times New Roman" w:hAnsi="Times New Roman" w:eastAsia="仿宋" w:cs="Times New Roman"/>
                      <w:color w:val="auto"/>
                      <w:kern w:val="0"/>
                      <w:sz w:val="21"/>
                      <w:szCs w:val="21"/>
                      <w:highlight w:val="none"/>
                    </w:rPr>
                  </w:pPr>
                </w:p>
              </w:tc>
              <w:tc>
                <w:tcPr>
                  <w:tcW w:w="580" w:type="pct"/>
                  <w:vMerge w:val="continue"/>
                  <w:tcBorders>
                    <w:tl2br w:val="nil"/>
                    <w:tr2bl w:val="nil"/>
                  </w:tcBorders>
                  <w:noWrap w:val="0"/>
                  <w:vAlign w:val="center"/>
                </w:tcPr>
                <w:p w14:paraId="12608DBE">
                  <w:pPr>
                    <w:widowControl/>
                    <w:jc w:val="center"/>
                    <w:rPr>
                      <w:rFonts w:hint="default" w:ascii="Times New Roman" w:hAnsi="Times New Roman" w:eastAsia="仿宋" w:cs="Times New Roman"/>
                      <w:color w:val="auto"/>
                      <w:kern w:val="0"/>
                      <w:sz w:val="21"/>
                      <w:szCs w:val="21"/>
                      <w:highlight w:val="none"/>
                    </w:rPr>
                  </w:pPr>
                </w:p>
              </w:tc>
              <w:tc>
                <w:tcPr>
                  <w:tcW w:w="780" w:type="pct"/>
                  <w:tcBorders>
                    <w:tl2br w:val="nil"/>
                    <w:tr2bl w:val="nil"/>
                  </w:tcBorders>
                  <w:noWrap w:val="0"/>
                  <w:vAlign w:val="center"/>
                </w:tcPr>
                <w:p w14:paraId="4F0ECF3E">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总氮</w:t>
                  </w:r>
                </w:p>
              </w:tc>
              <w:tc>
                <w:tcPr>
                  <w:tcW w:w="560" w:type="pct"/>
                  <w:tcBorders>
                    <w:tl2br w:val="nil"/>
                    <w:tr2bl w:val="nil"/>
                  </w:tcBorders>
                  <w:noWrap w:val="0"/>
                  <w:vAlign w:val="center"/>
                </w:tcPr>
                <w:p w14:paraId="3AAFC0D9">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mg/L</w:t>
                  </w:r>
                </w:p>
              </w:tc>
              <w:tc>
                <w:tcPr>
                  <w:tcW w:w="471" w:type="pct"/>
                  <w:tcBorders>
                    <w:tl2br w:val="nil"/>
                    <w:tr2bl w:val="nil"/>
                  </w:tcBorders>
                  <w:noWrap w:val="0"/>
                  <w:vAlign w:val="center"/>
                </w:tcPr>
                <w:p w14:paraId="0FC863A9">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38.7</w:t>
                  </w:r>
                </w:p>
              </w:tc>
              <w:tc>
                <w:tcPr>
                  <w:tcW w:w="471" w:type="pct"/>
                  <w:tcBorders>
                    <w:tl2br w:val="nil"/>
                    <w:tr2bl w:val="nil"/>
                  </w:tcBorders>
                  <w:noWrap w:val="0"/>
                  <w:vAlign w:val="center"/>
                </w:tcPr>
                <w:p w14:paraId="606B0664">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36.8</w:t>
                  </w:r>
                </w:p>
              </w:tc>
              <w:tc>
                <w:tcPr>
                  <w:tcW w:w="471" w:type="pct"/>
                  <w:tcBorders>
                    <w:tl2br w:val="nil"/>
                    <w:tr2bl w:val="nil"/>
                  </w:tcBorders>
                  <w:noWrap w:val="0"/>
                  <w:vAlign w:val="center"/>
                </w:tcPr>
                <w:p w14:paraId="55C6FACE">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31.6</w:t>
                  </w:r>
                </w:p>
              </w:tc>
              <w:tc>
                <w:tcPr>
                  <w:tcW w:w="493" w:type="pct"/>
                  <w:tcBorders>
                    <w:tl2br w:val="nil"/>
                    <w:tr2bl w:val="nil"/>
                  </w:tcBorders>
                  <w:noWrap w:val="0"/>
                  <w:vAlign w:val="center"/>
                </w:tcPr>
                <w:p w14:paraId="5F296D3B">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40</w:t>
                  </w:r>
                </w:p>
              </w:tc>
              <w:tc>
                <w:tcPr>
                  <w:tcW w:w="542" w:type="pct"/>
                  <w:tcBorders>
                    <w:tl2br w:val="nil"/>
                    <w:tr2bl w:val="nil"/>
                  </w:tcBorders>
                  <w:noWrap w:val="0"/>
                  <w:vAlign w:val="center"/>
                </w:tcPr>
                <w:p w14:paraId="5687E1EA">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达标</w:t>
                  </w:r>
                </w:p>
              </w:tc>
            </w:tr>
            <w:tr w14:paraId="718616B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restart"/>
                  <w:tcBorders>
                    <w:tl2br w:val="nil"/>
                    <w:tr2bl w:val="nil"/>
                  </w:tcBorders>
                  <w:noWrap w:val="0"/>
                  <w:vAlign w:val="center"/>
                </w:tcPr>
                <w:p w14:paraId="56AA6F06">
                  <w:pPr>
                    <w:widowControl/>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2025.3.6</w:t>
                  </w:r>
                </w:p>
              </w:tc>
              <w:tc>
                <w:tcPr>
                  <w:tcW w:w="580" w:type="pct"/>
                  <w:vMerge w:val="restart"/>
                  <w:tcBorders>
                    <w:tl2br w:val="nil"/>
                    <w:tr2bl w:val="nil"/>
                  </w:tcBorders>
                  <w:noWrap w:val="0"/>
                  <w:vAlign w:val="center"/>
                </w:tcPr>
                <w:p w14:paraId="300FB390">
                  <w:pPr>
                    <w:widowControl/>
                    <w:jc w:val="cente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厂区总排口</w:t>
                  </w:r>
                </w:p>
              </w:tc>
              <w:tc>
                <w:tcPr>
                  <w:tcW w:w="780" w:type="pct"/>
                  <w:tcBorders>
                    <w:tl2br w:val="nil"/>
                    <w:tr2bl w:val="nil"/>
                  </w:tcBorders>
                  <w:shd w:val="clear" w:color="auto" w:fill="auto"/>
                  <w:noWrap w:val="0"/>
                  <w:vAlign w:val="center"/>
                </w:tcPr>
                <w:p w14:paraId="35E43E79">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pH值</w:t>
                  </w:r>
                </w:p>
              </w:tc>
              <w:tc>
                <w:tcPr>
                  <w:tcW w:w="560" w:type="pct"/>
                  <w:tcBorders>
                    <w:tl2br w:val="nil"/>
                    <w:tr2bl w:val="nil"/>
                  </w:tcBorders>
                  <w:shd w:val="clear" w:color="auto" w:fill="auto"/>
                  <w:noWrap w:val="0"/>
                  <w:vAlign w:val="center"/>
                </w:tcPr>
                <w:p w14:paraId="500BAF65">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无量纲</w:t>
                  </w:r>
                </w:p>
              </w:tc>
              <w:tc>
                <w:tcPr>
                  <w:tcW w:w="471" w:type="pct"/>
                  <w:tcBorders>
                    <w:tl2br w:val="nil"/>
                    <w:tr2bl w:val="nil"/>
                  </w:tcBorders>
                  <w:noWrap w:val="0"/>
                  <w:vAlign w:val="center"/>
                </w:tcPr>
                <w:p w14:paraId="5490117C">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7.2</w:t>
                  </w:r>
                </w:p>
              </w:tc>
              <w:tc>
                <w:tcPr>
                  <w:tcW w:w="471" w:type="pct"/>
                  <w:tcBorders>
                    <w:tl2br w:val="nil"/>
                    <w:tr2bl w:val="nil"/>
                  </w:tcBorders>
                  <w:noWrap w:val="0"/>
                  <w:vAlign w:val="center"/>
                </w:tcPr>
                <w:p w14:paraId="1165A632">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7.1</w:t>
                  </w:r>
                </w:p>
              </w:tc>
              <w:tc>
                <w:tcPr>
                  <w:tcW w:w="471" w:type="pct"/>
                  <w:tcBorders>
                    <w:tl2br w:val="nil"/>
                    <w:tr2bl w:val="nil"/>
                  </w:tcBorders>
                  <w:noWrap w:val="0"/>
                  <w:vAlign w:val="center"/>
                </w:tcPr>
                <w:p w14:paraId="7EA8B50C">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7.2</w:t>
                  </w:r>
                </w:p>
              </w:tc>
              <w:tc>
                <w:tcPr>
                  <w:tcW w:w="493" w:type="pct"/>
                  <w:tcBorders>
                    <w:tl2br w:val="nil"/>
                    <w:tr2bl w:val="nil"/>
                  </w:tcBorders>
                  <w:shd w:val="clear" w:color="auto" w:fill="auto"/>
                  <w:noWrap w:val="0"/>
                  <w:vAlign w:val="center"/>
                </w:tcPr>
                <w:p w14:paraId="60D5FB8E">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6~9</w:t>
                  </w:r>
                </w:p>
              </w:tc>
              <w:tc>
                <w:tcPr>
                  <w:tcW w:w="542" w:type="pct"/>
                  <w:tcBorders>
                    <w:tl2br w:val="nil"/>
                    <w:tr2bl w:val="nil"/>
                  </w:tcBorders>
                  <w:shd w:val="clear" w:color="auto" w:fill="auto"/>
                  <w:noWrap w:val="0"/>
                  <w:vAlign w:val="center"/>
                </w:tcPr>
                <w:p w14:paraId="506920DA">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达标</w:t>
                  </w:r>
                </w:p>
              </w:tc>
            </w:tr>
            <w:tr w14:paraId="10157F7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65F4DFB4">
                  <w:pPr>
                    <w:widowControl/>
                    <w:jc w:val="center"/>
                    <w:rPr>
                      <w:rFonts w:hint="default" w:ascii="Times New Roman" w:hAnsi="Times New Roman" w:eastAsia="仿宋" w:cs="Times New Roman"/>
                      <w:color w:val="auto"/>
                      <w:kern w:val="0"/>
                      <w:sz w:val="21"/>
                      <w:szCs w:val="21"/>
                      <w:highlight w:val="none"/>
                    </w:rPr>
                  </w:pPr>
                </w:p>
              </w:tc>
              <w:tc>
                <w:tcPr>
                  <w:tcW w:w="580" w:type="pct"/>
                  <w:vMerge w:val="continue"/>
                  <w:tcBorders>
                    <w:tl2br w:val="nil"/>
                    <w:tr2bl w:val="nil"/>
                  </w:tcBorders>
                  <w:noWrap w:val="0"/>
                  <w:vAlign w:val="center"/>
                </w:tcPr>
                <w:p w14:paraId="26F8B985">
                  <w:pPr>
                    <w:widowControl/>
                    <w:jc w:val="center"/>
                    <w:rPr>
                      <w:rFonts w:hint="default" w:ascii="Times New Roman" w:hAnsi="Times New Roman" w:eastAsia="仿宋" w:cs="Times New Roman"/>
                      <w:color w:val="auto"/>
                      <w:kern w:val="0"/>
                      <w:sz w:val="21"/>
                      <w:szCs w:val="21"/>
                      <w:highlight w:val="none"/>
                    </w:rPr>
                  </w:pPr>
                </w:p>
              </w:tc>
              <w:tc>
                <w:tcPr>
                  <w:tcW w:w="780" w:type="pct"/>
                  <w:tcBorders>
                    <w:tl2br w:val="nil"/>
                    <w:tr2bl w:val="nil"/>
                  </w:tcBorders>
                  <w:shd w:val="clear" w:color="auto" w:fill="auto"/>
                  <w:noWrap w:val="0"/>
                  <w:vAlign w:val="center"/>
                </w:tcPr>
                <w:p w14:paraId="772B10D6">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悬浮物</w:t>
                  </w:r>
                </w:p>
              </w:tc>
              <w:tc>
                <w:tcPr>
                  <w:tcW w:w="560" w:type="pct"/>
                  <w:tcBorders>
                    <w:tl2br w:val="nil"/>
                    <w:tr2bl w:val="nil"/>
                  </w:tcBorders>
                  <w:shd w:val="clear" w:color="auto" w:fill="auto"/>
                  <w:noWrap w:val="0"/>
                  <w:vAlign w:val="center"/>
                </w:tcPr>
                <w:p w14:paraId="14E0D94C">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mg/L</w:t>
                  </w:r>
                </w:p>
              </w:tc>
              <w:tc>
                <w:tcPr>
                  <w:tcW w:w="471" w:type="pct"/>
                  <w:tcBorders>
                    <w:tl2br w:val="nil"/>
                    <w:tr2bl w:val="nil"/>
                  </w:tcBorders>
                  <w:noWrap w:val="0"/>
                  <w:vAlign w:val="center"/>
                </w:tcPr>
                <w:p w14:paraId="6D53B685">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53</w:t>
                  </w:r>
                </w:p>
              </w:tc>
              <w:tc>
                <w:tcPr>
                  <w:tcW w:w="471" w:type="pct"/>
                  <w:tcBorders>
                    <w:tl2br w:val="nil"/>
                    <w:tr2bl w:val="nil"/>
                  </w:tcBorders>
                  <w:noWrap w:val="0"/>
                  <w:vAlign w:val="center"/>
                </w:tcPr>
                <w:p w14:paraId="55BDA9D4">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49</w:t>
                  </w:r>
                </w:p>
              </w:tc>
              <w:tc>
                <w:tcPr>
                  <w:tcW w:w="471" w:type="pct"/>
                  <w:tcBorders>
                    <w:tl2br w:val="nil"/>
                    <w:tr2bl w:val="nil"/>
                  </w:tcBorders>
                  <w:noWrap w:val="0"/>
                  <w:vAlign w:val="center"/>
                </w:tcPr>
                <w:p w14:paraId="22011490">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65</w:t>
                  </w:r>
                </w:p>
              </w:tc>
              <w:tc>
                <w:tcPr>
                  <w:tcW w:w="493" w:type="pct"/>
                  <w:tcBorders>
                    <w:tl2br w:val="nil"/>
                    <w:tr2bl w:val="nil"/>
                  </w:tcBorders>
                  <w:shd w:val="clear" w:color="auto" w:fill="auto"/>
                  <w:noWrap w:val="0"/>
                  <w:vAlign w:val="center"/>
                </w:tcPr>
                <w:p w14:paraId="1EBD57B5">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rPr>
                    <w:t>200</w:t>
                  </w:r>
                </w:p>
              </w:tc>
              <w:tc>
                <w:tcPr>
                  <w:tcW w:w="542" w:type="pct"/>
                  <w:tcBorders>
                    <w:tl2br w:val="nil"/>
                    <w:tr2bl w:val="nil"/>
                  </w:tcBorders>
                  <w:shd w:val="clear" w:color="auto" w:fill="auto"/>
                  <w:noWrap w:val="0"/>
                  <w:vAlign w:val="center"/>
                </w:tcPr>
                <w:p w14:paraId="3E28BCF0">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达标</w:t>
                  </w:r>
                </w:p>
              </w:tc>
            </w:tr>
            <w:tr w14:paraId="2BE5EC8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34124EEF">
                  <w:pPr>
                    <w:widowControl/>
                    <w:jc w:val="center"/>
                    <w:rPr>
                      <w:rFonts w:hint="default" w:ascii="Times New Roman" w:hAnsi="Times New Roman" w:eastAsia="仿宋" w:cs="Times New Roman"/>
                      <w:color w:val="auto"/>
                      <w:kern w:val="0"/>
                      <w:sz w:val="21"/>
                      <w:szCs w:val="21"/>
                      <w:highlight w:val="none"/>
                    </w:rPr>
                  </w:pPr>
                </w:p>
              </w:tc>
              <w:tc>
                <w:tcPr>
                  <w:tcW w:w="580" w:type="pct"/>
                  <w:vMerge w:val="continue"/>
                  <w:tcBorders>
                    <w:tl2br w:val="nil"/>
                    <w:tr2bl w:val="nil"/>
                  </w:tcBorders>
                  <w:noWrap w:val="0"/>
                  <w:vAlign w:val="center"/>
                </w:tcPr>
                <w:p w14:paraId="776B68F8">
                  <w:pPr>
                    <w:widowControl/>
                    <w:jc w:val="center"/>
                    <w:rPr>
                      <w:rFonts w:hint="default" w:ascii="Times New Roman" w:hAnsi="Times New Roman" w:eastAsia="仿宋" w:cs="Times New Roman"/>
                      <w:color w:val="auto"/>
                      <w:kern w:val="0"/>
                      <w:sz w:val="21"/>
                      <w:szCs w:val="21"/>
                      <w:highlight w:val="none"/>
                    </w:rPr>
                  </w:pPr>
                </w:p>
              </w:tc>
              <w:tc>
                <w:tcPr>
                  <w:tcW w:w="780" w:type="pct"/>
                  <w:tcBorders>
                    <w:tl2br w:val="nil"/>
                    <w:tr2bl w:val="nil"/>
                  </w:tcBorders>
                  <w:shd w:val="clear" w:color="auto" w:fill="auto"/>
                  <w:noWrap w:val="0"/>
                  <w:vAlign w:val="center"/>
                </w:tcPr>
                <w:p w14:paraId="159D26D9">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rPr>
                    <w:t>化学需氧量</w:t>
                  </w:r>
                </w:p>
              </w:tc>
              <w:tc>
                <w:tcPr>
                  <w:tcW w:w="560" w:type="pct"/>
                  <w:tcBorders>
                    <w:tl2br w:val="nil"/>
                    <w:tr2bl w:val="nil"/>
                  </w:tcBorders>
                  <w:shd w:val="clear" w:color="auto" w:fill="auto"/>
                  <w:noWrap w:val="0"/>
                  <w:vAlign w:val="center"/>
                </w:tcPr>
                <w:p w14:paraId="0965ACC3">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mg/L</w:t>
                  </w:r>
                </w:p>
              </w:tc>
              <w:tc>
                <w:tcPr>
                  <w:tcW w:w="471" w:type="pct"/>
                  <w:tcBorders>
                    <w:tl2br w:val="nil"/>
                    <w:tr2bl w:val="nil"/>
                  </w:tcBorders>
                  <w:noWrap w:val="0"/>
                  <w:vAlign w:val="center"/>
                </w:tcPr>
                <w:p w14:paraId="2BB718EF">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162</w:t>
                  </w:r>
                </w:p>
              </w:tc>
              <w:tc>
                <w:tcPr>
                  <w:tcW w:w="471" w:type="pct"/>
                  <w:tcBorders>
                    <w:tl2br w:val="nil"/>
                    <w:tr2bl w:val="nil"/>
                  </w:tcBorders>
                  <w:noWrap w:val="0"/>
                  <w:vAlign w:val="center"/>
                </w:tcPr>
                <w:p w14:paraId="55DDA578">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149</w:t>
                  </w:r>
                </w:p>
              </w:tc>
              <w:tc>
                <w:tcPr>
                  <w:tcW w:w="471" w:type="pct"/>
                  <w:tcBorders>
                    <w:tl2br w:val="nil"/>
                    <w:tr2bl w:val="nil"/>
                  </w:tcBorders>
                  <w:noWrap w:val="0"/>
                  <w:vAlign w:val="center"/>
                </w:tcPr>
                <w:p w14:paraId="6733273C">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178</w:t>
                  </w:r>
                </w:p>
              </w:tc>
              <w:tc>
                <w:tcPr>
                  <w:tcW w:w="493" w:type="pct"/>
                  <w:tcBorders>
                    <w:tl2br w:val="nil"/>
                    <w:tr2bl w:val="nil"/>
                  </w:tcBorders>
                  <w:shd w:val="clear" w:color="auto" w:fill="auto"/>
                  <w:noWrap w:val="0"/>
                  <w:vAlign w:val="center"/>
                </w:tcPr>
                <w:p w14:paraId="19B506C2">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rPr>
                    <w:t>400</w:t>
                  </w:r>
                </w:p>
              </w:tc>
              <w:tc>
                <w:tcPr>
                  <w:tcW w:w="542" w:type="pct"/>
                  <w:tcBorders>
                    <w:tl2br w:val="nil"/>
                    <w:tr2bl w:val="nil"/>
                  </w:tcBorders>
                  <w:shd w:val="clear" w:color="auto" w:fill="auto"/>
                  <w:noWrap w:val="0"/>
                  <w:vAlign w:val="center"/>
                </w:tcPr>
                <w:p w14:paraId="4A2256F7">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rPr>
                    <w:t>达标</w:t>
                  </w:r>
                </w:p>
              </w:tc>
            </w:tr>
            <w:tr w14:paraId="7705308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58551FD4">
                  <w:pPr>
                    <w:widowControl/>
                    <w:jc w:val="center"/>
                    <w:rPr>
                      <w:rFonts w:hint="default" w:ascii="Times New Roman" w:hAnsi="Times New Roman" w:eastAsia="仿宋" w:cs="Times New Roman"/>
                      <w:color w:val="auto"/>
                      <w:kern w:val="0"/>
                      <w:sz w:val="21"/>
                      <w:szCs w:val="21"/>
                      <w:highlight w:val="none"/>
                    </w:rPr>
                  </w:pPr>
                </w:p>
              </w:tc>
              <w:tc>
                <w:tcPr>
                  <w:tcW w:w="580" w:type="pct"/>
                  <w:vMerge w:val="continue"/>
                  <w:tcBorders>
                    <w:tl2br w:val="nil"/>
                    <w:tr2bl w:val="nil"/>
                  </w:tcBorders>
                  <w:noWrap w:val="0"/>
                  <w:vAlign w:val="center"/>
                </w:tcPr>
                <w:p w14:paraId="2BB20F1A">
                  <w:pPr>
                    <w:widowControl/>
                    <w:jc w:val="center"/>
                    <w:rPr>
                      <w:rFonts w:hint="default" w:ascii="Times New Roman" w:hAnsi="Times New Roman" w:eastAsia="仿宋" w:cs="Times New Roman"/>
                      <w:color w:val="auto"/>
                      <w:kern w:val="0"/>
                      <w:sz w:val="21"/>
                      <w:szCs w:val="21"/>
                      <w:highlight w:val="none"/>
                    </w:rPr>
                  </w:pPr>
                </w:p>
              </w:tc>
              <w:tc>
                <w:tcPr>
                  <w:tcW w:w="780" w:type="pct"/>
                  <w:tcBorders>
                    <w:tl2br w:val="nil"/>
                    <w:tr2bl w:val="nil"/>
                  </w:tcBorders>
                  <w:shd w:val="clear" w:color="auto" w:fill="auto"/>
                  <w:noWrap w:val="0"/>
                  <w:vAlign w:val="center"/>
                </w:tcPr>
                <w:p w14:paraId="54524533">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氨氮</w:t>
                  </w:r>
                </w:p>
              </w:tc>
              <w:tc>
                <w:tcPr>
                  <w:tcW w:w="560" w:type="pct"/>
                  <w:tcBorders>
                    <w:tl2br w:val="nil"/>
                    <w:tr2bl w:val="nil"/>
                  </w:tcBorders>
                  <w:shd w:val="clear" w:color="auto" w:fill="auto"/>
                  <w:noWrap w:val="0"/>
                  <w:vAlign w:val="center"/>
                </w:tcPr>
                <w:p w14:paraId="61A17A79">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mg/L</w:t>
                  </w:r>
                </w:p>
              </w:tc>
              <w:tc>
                <w:tcPr>
                  <w:tcW w:w="471" w:type="pct"/>
                  <w:tcBorders>
                    <w:tl2br w:val="nil"/>
                    <w:tr2bl w:val="nil"/>
                  </w:tcBorders>
                  <w:noWrap w:val="0"/>
                  <w:vAlign w:val="center"/>
                </w:tcPr>
                <w:p w14:paraId="0ED16C45">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24</w:t>
                  </w:r>
                </w:p>
              </w:tc>
              <w:tc>
                <w:tcPr>
                  <w:tcW w:w="471" w:type="pct"/>
                  <w:tcBorders>
                    <w:tl2br w:val="nil"/>
                    <w:tr2bl w:val="nil"/>
                  </w:tcBorders>
                  <w:noWrap w:val="0"/>
                  <w:vAlign w:val="center"/>
                </w:tcPr>
                <w:p w14:paraId="0FA06841">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23.1</w:t>
                  </w:r>
                </w:p>
              </w:tc>
              <w:tc>
                <w:tcPr>
                  <w:tcW w:w="471" w:type="pct"/>
                  <w:tcBorders>
                    <w:tl2br w:val="nil"/>
                    <w:tr2bl w:val="nil"/>
                  </w:tcBorders>
                  <w:noWrap w:val="0"/>
                  <w:vAlign w:val="center"/>
                </w:tcPr>
                <w:p w14:paraId="500B992F">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24.7</w:t>
                  </w:r>
                </w:p>
              </w:tc>
              <w:tc>
                <w:tcPr>
                  <w:tcW w:w="493" w:type="pct"/>
                  <w:tcBorders>
                    <w:tl2br w:val="nil"/>
                    <w:tr2bl w:val="nil"/>
                  </w:tcBorders>
                  <w:shd w:val="clear" w:color="auto" w:fill="auto"/>
                  <w:noWrap w:val="0"/>
                  <w:vAlign w:val="center"/>
                </w:tcPr>
                <w:p w14:paraId="3EDECAA7">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rPr>
                    <w:t>35</w:t>
                  </w:r>
                </w:p>
              </w:tc>
              <w:tc>
                <w:tcPr>
                  <w:tcW w:w="542" w:type="pct"/>
                  <w:tcBorders>
                    <w:tl2br w:val="nil"/>
                    <w:tr2bl w:val="nil"/>
                  </w:tcBorders>
                  <w:shd w:val="clear" w:color="auto" w:fill="auto"/>
                  <w:noWrap w:val="0"/>
                  <w:vAlign w:val="center"/>
                </w:tcPr>
                <w:p w14:paraId="5BD616C2">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达标</w:t>
                  </w:r>
                </w:p>
              </w:tc>
            </w:tr>
            <w:tr w14:paraId="6489062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2E88EF4C">
                  <w:pPr>
                    <w:widowControl/>
                    <w:jc w:val="center"/>
                    <w:rPr>
                      <w:rFonts w:hint="default" w:ascii="Times New Roman" w:hAnsi="Times New Roman" w:eastAsia="仿宋" w:cs="Times New Roman"/>
                      <w:color w:val="auto"/>
                      <w:kern w:val="0"/>
                      <w:sz w:val="21"/>
                      <w:szCs w:val="21"/>
                      <w:highlight w:val="none"/>
                    </w:rPr>
                  </w:pPr>
                </w:p>
              </w:tc>
              <w:tc>
                <w:tcPr>
                  <w:tcW w:w="580" w:type="pct"/>
                  <w:vMerge w:val="continue"/>
                  <w:tcBorders>
                    <w:tl2br w:val="nil"/>
                    <w:tr2bl w:val="nil"/>
                  </w:tcBorders>
                  <w:noWrap w:val="0"/>
                  <w:vAlign w:val="center"/>
                </w:tcPr>
                <w:p w14:paraId="47C1054B">
                  <w:pPr>
                    <w:widowControl/>
                    <w:jc w:val="center"/>
                    <w:rPr>
                      <w:rFonts w:hint="default" w:ascii="Times New Roman" w:hAnsi="Times New Roman" w:eastAsia="仿宋" w:cs="Times New Roman"/>
                      <w:color w:val="auto"/>
                      <w:kern w:val="0"/>
                      <w:sz w:val="21"/>
                      <w:szCs w:val="21"/>
                      <w:highlight w:val="none"/>
                    </w:rPr>
                  </w:pPr>
                </w:p>
              </w:tc>
              <w:tc>
                <w:tcPr>
                  <w:tcW w:w="780" w:type="pct"/>
                  <w:tcBorders>
                    <w:tl2br w:val="nil"/>
                    <w:tr2bl w:val="nil"/>
                  </w:tcBorders>
                  <w:shd w:val="clear" w:color="auto" w:fill="auto"/>
                  <w:noWrap w:val="0"/>
                  <w:vAlign w:val="center"/>
                </w:tcPr>
                <w:p w14:paraId="15A6CE03">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总磷</w:t>
                  </w:r>
                </w:p>
              </w:tc>
              <w:tc>
                <w:tcPr>
                  <w:tcW w:w="560" w:type="pct"/>
                  <w:tcBorders>
                    <w:tl2br w:val="nil"/>
                    <w:tr2bl w:val="nil"/>
                  </w:tcBorders>
                  <w:shd w:val="clear" w:color="auto" w:fill="auto"/>
                  <w:noWrap w:val="0"/>
                  <w:vAlign w:val="center"/>
                </w:tcPr>
                <w:p w14:paraId="2859C606">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mg/L</w:t>
                  </w:r>
                </w:p>
              </w:tc>
              <w:tc>
                <w:tcPr>
                  <w:tcW w:w="471" w:type="pct"/>
                  <w:tcBorders>
                    <w:tl2br w:val="nil"/>
                    <w:tr2bl w:val="nil"/>
                  </w:tcBorders>
                  <w:noWrap w:val="0"/>
                  <w:vAlign w:val="center"/>
                </w:tcPr>
                <w:p w14:paraId="24E00615">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3.74</w:t>
                  </w:r>
                </w:p>
              </w:tc>
              <w:tc>
                <w:tcPr>
                  <w:tcW w:w="471" w:type="pct"/>
                  <w:tcBorders>
                    <w:tl2br w:val="nil"/>
                    <w:tr2bl w:val="nil"/>
                  </w:tcBorders>
                  <w:noWrap w:val="0"/>
                  <w:vAlign w:val="center"/>
                </w:tcPr>
                <w:p w14:paraId="05C095C7">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4.3</w:t>
                  </w:r>
                </w:p>
              </w:tc>
              <w:tc>
                <w:tcPr>
                  <w:tcW w:w="471" w:type="pct"/>
                  <w:tcBorders>
                    <w:tl2br w:val="nil"/>
                    <w:tr2bl w:val="nil"/>
                  </w:tcBorders>
                  <w:noWrap w:val="0"/>
                  <w:vAlign w:val="center"/>
                </w:tcPr>
                <w:p w14:paraId="1A6E1260">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4.62</w:t>
                  </w:r>
                </w:p>
              </w:tc>
              <w:tc>
                <w:tcPr>
                  <w:tcW w:w="493" w:type="pct"/>
                  <w:tcBorders>
                    <w:tl2br w:val="nil"/>
                    <w:tr2bl w:val="nil"/>
                  </w:tcBorders>
                  <w:shd w:val="clear" w:color="auto" w:fill="auto"/>
                  <w:noWrap w:val="0"/>
                  <w:vAlign w:val="center"/>
                </w:tcPr>
                <w:p w14:paraId="30FB956B">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rPr>
                    <w:t>5</w:t>
                  </w:r>
                </w:p>
              </w:tc>
              <w:tc>
                <w:tcPr>
                  <w:tcW w:w="542" w:type="pct"/>
                  <w:tcBorders>
                    <w:tl2br w:val="nil"/>
                    <w:tr2bl w:val="nil"/>
                  </w:tcBorders>
                  <w:shd w:val="clear" w:color="auto" w:fill="auto"/>
                  <w:noWrap w:val="0"/>
                  <w:vAlign w:val="center"/>
                </w:tcPr>
                <w:p w14:paraId="0BE659C1">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达标</w:t>
                  </w:r>
                </w:p>
              </w:tc>
            </w:tr>
            <w:tr w14:paraId="1D118BD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7" w:type="pct"/>
                  <w:vMerge w:val="continue"/>
                  <w:tcBorders>
                    <w:tl2br w:val="nil"/>
                    <w:tr2bl w:val="nil"/>
                  </w:tcBorders>
                  <w:noWrap w:val="0"/>
                  <w:vAlign w:val="center"/>
                </w:tcPr>
                <w:p w14:paraId="110CF80F">
                  <w:pPr>
                    <w:widowControl/>
                    <w:jc w:val="center"/>
                    <w:rPr>
                      <w:rFonts w:hint="default" w:ascii="Times New Roman" w:hAnsi="Times New Roman" w:eastAsia="仿宋" w:cs="Times New Roman"/>
                      <w:color w:val="auto"/>
                      <w:kern w:val="0"/>
                      <w:sz w:val="21"/>
                      <w:szCs w:val="21"/>
                      <w:highlight w:val="none"/>
                    </w:rPr>
                  </w:pPr>
                </w:p>
              </w:tc>
              <w:tc>
                <w:tcPr>
                  <w:tcW w:w="580" w:type="pct"/>
                  <w:vMerge w:val="continue"/>
                  <w:tcBorders>
                    <w:tl2br w:val="nil"/>
                    <w:tr2bl w:val="nil"/>
                  </w:tcBorders>
                  <w:noWrap w:val="0"/>
                  <w:vAlign w:val="center"/>
                </w:tcPr>
                <w:p w14:paraId="3AE67559">
                  <w:pPr>
                    <w:widowControl/>
                    <w:jc w:val="center"/>
                    <w:rPr>
                      <w:rFonts w:hint="default" w:ascii="Times New Roman" w:hAnsi="Times New Roman" w:eastAsia="仿宋" w:cs="Times New Roman"/>
                      <w:color w:val="auto"/>
                      <w:kern w:val="0"/>
                      <w:sz w:val="21"/>
                      <w:szCs w:val="21"/>
                      <w:highlight w:val="none"/>
                    </w:rPr>
                  </w:pPr>
                </w:p>
              </w:tc>
              <w:tc>
                <w:tcPr>
                  <w:tcW w:w="780" w:type="pct"/>
                  <w:tcBorders>
                    <w:tl2br w:val="nil"/>
                    <w:tr2bl w:val="nil"/>
                  </w:tcBorders>
                  <w:shd w:val="clear" w:color="auto" w:fill="auto"/>
                  <w:noWrap w:val="0"/>
                  <w:vAlign w:val="center"/>
                </w:tcPr>
                <w:p w14:paraId="628D9DBD">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总氮</w:t>
                  </w:r>
                </w:p>
              </w:tc>
              <w:tc>
                <w:tcPr>
                  <w:tcW w:w="560" w:type="pct"/>
                  <w:tcBorders>
                    <w:tl2br w:val="nil"/>
                    <w:tr2bl w:val="nil"/>
                  </w:tcBorders>
                  <w:shd w:val="clear" w:color="auto" w:fill="auto"/>
                  <w:noWrap w:val="0"/>
                  <w:vAlign w:val="center"/>
                </w:tcPr>
                <w:p w14:paraId="3DCAA7D8">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mg/L</w:t>
                  </w:r>
                </w:p>
              </w:tc>
              <w:tc>
                <w:tcPr>
                  <w:tcW w:w="471" w:type="pct"/>
                  <w:tcBorders>
                    <w:tl2br w:val="nil"/>
                    <w:tr2bl w:val="nil"/>
                  </w:tcBorders>
                  <w:noWrap w:val="0"/>
                  <w:vAlign w:val="center"/>
                </w:tcPr>
                <w:p w14:paraId="2A830B6E">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31.9</w:t>
                  </w:r>
                </w:p>
              </w:tc>
              <w:tc>
                <w:tcPr>
                  <w:tcW w:w="471" w:type="pct"/>
                  <w:tcBorders>
                    <w:tl2br w:val="nil"/>
                    <w:tr2bl w:val="nil"/>
                  </w:tcBorders>
                  <w:noWrap w:val="0"/>
                  <w:vAlign w:val="center"/>
                </w:tcPr>
                <w:p w14:paraId="3ECDB3EA">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38.6</w:t>
                  </w:r>
                </w:p>
              </w:tc>
              <w:tc>
                <w:tcPr>
                  <w:tcW w:w="471" w:type="pct"/>
                  <w:tcBorders>
                    <w:tl2br w:val="nil"/>
                    <w:tr2bl w:val="nil"/>
                  </w:tcBorders>
                  <w:noWrap w:val="0"/>
                  <w:vAlign w:val="center"/>
                </w:tcPr>
                <w:p w14:paraId="010D9057">
                  <w:pPr>
                    <w:widowControl/>
                    <w:jc w:val="center"/>
                    <w:rPr>
                      <w:rFonts w:hint="default"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30.5</w:t>
                  </w:r>
                </w:p>
              </w:tc>
              <w:tc>
                <w:tcPr>
                  <w:tcW w:w="493" w:type="pct"/>
                  <w:tcBorders>
                    <w:tl2br w:val="nil"/>
                    <w:tr2bl w:val="nil"/>
                  </w:tcBorders>
                  <w:shd w:val="clear" w:color="auto" w:fill="auto"/>
                  <w:noWrap w:val="0"/>
                  <w:vAlign w:val="center"/>
                </w:tcPr>
                <w:p w14:paraId="3104EF21">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40</w:t>
                  </w:r>
                </w:p>
              </w:tc>
              <w:tc>
                <w:tcPr>
                  <w:tcW w:w="542" w:type="pct"/>
                  <w:tcBorders>
                    <w:tl2br w:val="nil"/>
                    <w:tr2bl w:val="nil"/>
                  </w:tcBorders>
                  <w:shd w:val="clear" w:color="auto" w:fill="auto"/>
                  <w:noWrap w:val="0"/>
                  <w:vAlign w:val="center"/>
                </w:tcPr>
                <w:p w14:paraId="2CC13F54">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达标</w:t>
                  </w:r>
                </w:p>
              </w:tc>
            </w:tr>
            <w:tr w14:paraId="44E0557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9"/>
                  <w:tcBorders>
                    <w:tl2br w:val="nil"/>
                    <w:tr2bl w:val="nil"/>
                  </w:tcBorders>
                  <w:noWrap w:val="0"/>
                  <w:vAlign w:val="center"/>
                </w:tcPr>
                <w:p w14:paraId="2C9066BF">
                  <w:pPr>
                    <w:widowControl/>
                    <w:jc w:val="both"/>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注：pH值、悬浮物、化学需氧量、氨氮、总磷、总氮均满足</w:t>
                  </w:r>
                  <w:r>
                    <w:rPr>
                      <w:rFonts w:hint="default" w:ascii="Times New Roman" w:hAnsi="Times New Roman" w:eastAsia="仿宋" w:cs="Times New Roman"/>
                      <w:color w:val="auto"/>
                      <w:kern w:val="0"/>
                      <w:sz w:val="21"/>
                      <w:szCs w:val="21"/>
                      <w:highlight w:val="none"/>
                    </w:rPr>
                    <w:t>苏州市相润排水管理有限公司</w:t>
                  </w:r>
                  <w:r>
                    <w:rPr>
                      <w:rFonts w:hint="default" w:ascii="Times New Roman" w:hAnsi="Times New Roman" w:eastAsia="仿宋" w:cs="Times New Roman"/>
                      <w:color w:val="auto"/>
                      <w:kern w:val="0"/>
                      <w:sz w:val="21"/>
                      <w:szCs w:val="21"/>
                      <w:highlight w:val="none"/>
                      <w:lang w:eastAsia="zh-CN"/>
                    </w:rPr>
                    <w:t>（</w:t>
                  </w:r>
                  <w:r>
                    <w:rPr>
                      <w:rFonts w:hint="eastAsia" w:eastAsia="仿宋" w:cs="Times New Roman"/>
                      <w:color w:val="auto"/>
                      <w:kern w:val="0"/>
                      <w:sz w:val="21"/>
                      <w:szCs w:val="21"/>
                      <w:highlight w:val="none"/>
                      <w:lang w:val="en-US" w:eastAsia="zh-CN"/>
                    </w:rPr>
                    <w:t>漕湖</w:t>
                  </w:r>
                  <w:r>
                    <w:rPr>
                      <w:rFonts w:hint="default" w:ascii="Times New Roman" w:hAnsi="Times New Roman" w:eastAsia="仿宋" w:cs="Times New Roman"/>
                      <w:color w:val="auto"/>
                      <w:kern w:val="0"/>
                      <w:sz w:val="21"/>
                      <w:szCs w:val="21"/>
                      <w:highlight w:val="none"/>
                    </w:rPr>
                    <w:t>污水厂</w:t>
                  </w:r>
                  <w:r>
                    <w:rPr>
                      <w:rFonts w:hint="default" w:ascii="Times New Roman" w:hAnsi="Times New Roman" w:eastAsia="仿宋" w:cs="Times New Roman"/>
                      <w:color w:val="auto"/>
                      <w:kern w:val="0"/>
                      <w:sz w:val="21"/>
                      <w:szCs w:val="21"/>
                      <w:highlight w:val="none"/>
                      <w:lang w:eastAsia="zh-CN"/>
                    </w:rPr>
                    <w:t>）</w:t>
                  </w:r>
                  <w:r>
                    <w:rPr>
                      <w:rFonts w:hint="default" w:ascii="Times New Roman" w:hAnsi="Times New Roman" w:eastAsia="仿宋" w:cs="Times New Roman"/>
                      <w:color w:val="auto"/>
                      <w:kern w:val="0"/>
                      <w:sz w:val="21"/>
                      <w:szCs w:val="21"/>
                      <w:highlight w:val="none"/>
                    </w:rPr>
                    <w:t>接管标准。</w:t>
                  </w:r>
                </w:p>
              </w:tc>
            </w:tr>
          </w:tbl>
          <w:p w14:paraId="1341190B">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eastAsia" w:ascii="Times New Roman" w:hAnsi="Times New Roman" w:eastAsia="宋体" w:cs="Times New Roman"/>
                <w:b/>
                <w:bCs/>
                <w:color w:val="auto"/>
                <w:kern w:val="2"/>
                <w:sz w:val="24"/>
                <w:szCs w:val="24"/>
                <w:highlight w:val="none"/>
                <w:lang w:val="en-US" w:eastAsia="zh-CN" w:bidi="ar"/>
              </w:rPr>
              <w:t>现有项目废水污染物排放总量核算表</w:t>
            </w:r>
          </w:p>
          <w:tbl>
            <w:tblPr>
              <w:tblStyle w:val="23"/>
              <w:tblW w:w="9257" w:type="dxa"/>
              <w:tblInd w:w="-4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1446"/>
              <w:gridCol w:w="1485"/>
              <w:gridCol w:w="1213"/>
              <w:gridCol w:w="1431"/>
              <w:gridCol w:w="1089"/>
              <w:gridCol w:w="1531"/>
            </w:tblGrid>
            <w:tr w14:paraId="7DFA66A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trHeight w:val="340" w:hRule="atLeast"/>
              </w:trPr>
              <w:tc>
                <w:tcPr>
                  <w:tcW w:w="574" w:type="pct"/>
                  <w:vAlign w:val="center"/>
                </w:tcPr>
                <w:p w14:paraId="26203AB7">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监测点位</w:t>
                  </w:r>
                </w:p>
              </w:tc>
              <w:tc>
                <w:tcPr>
                  <w:tcW w:w="781" w:type="pct"/>
                  <w:vAlign w:val="center"/>
                </w:tcPr>
                <w:p w14:paraId="4BB3A0D4">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污染物名称</w:t>
                  </w:r>
                </w:p>
              </w:tc>
              <w:tc>
                <w:tcPr>
                  <w:tcW w:w="802" w:type="pct"/>
                  <w:vAlign w:val="center"/>
                </w:tcPr>
                <w:p w14:paraId="127E982B">
                  <w:pPr>
                    <w:jc w:val="center"/>
                    <w:rPr>
                      <w:rFonts w:hint="default" w:ascii="Times New Roman" w:hAnsi="Times New Roman" w:eastAsia="仿宋" w:cs="Times New Roman"/>
                      <w:b/>
                      <w:bCs/>
                      <w:color w:val="auto"/>
                      <w:sz w:val="21"/>
                      <w:szCs w:val="21"/>
                      <w:highlight w:val="none"/>
                      <w:vertAlign w:val="baseline"/>
                    </w:rPr>
                  </w:pPr>
                  <w:r>
                    <w:rPr>
                      <w:rFonts w:hint="default" w:ascii="Times New Roman" w:hAnsi="Times New Roman" w:eastAsia="仿宋" w:cs="Times New Roman"/>
                      <w:b/>
                      <w:bCs/>
                      <w:color w:val="auto"/>
                      <w:sz w:val="21"/>
                      <w:szCs w:val="21"/>
                      <w:highlight w:val="none"/>
                      <w:vertAlign w:val="baseline"/>
                      <w:lang w:val="en-US" w:eastAsia="zh-CN"/>
                    </w:rPr>
                    <w:t>排放浓度（mg/L）</w:t>
                  </w:r>
                </w:p>
              </w:tc>
              <w:tc>
                <w:tcPr>
                  <w:tcW w:w="655" w:type="pct"/>
                  <w:vAlign w:val="center"/>
                </w:tcPr>
                <w:p w14:paraId="0E1768AC">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年排水量（m</w:t>
                  </w:r>
                  <w:r>
                    <w:rPr>
                      <w:rFonts w:hint="default" w:ascii="Times New Roman" w:hAnsi="Times New Roman" w:eastAsia="仿宋" w:cs="Times New Roman"/>
                      <w:b/>
                      <w:bCs/>
                      <w:color w:val="auto"/>
                      <w:sz w:val="21"/>
                      <w:szCs w:val="21"/>
                      <w:highlight w:val="none"/>
                      <w:vertAlign w:val="superscript"/>
                      <w:lang w:val="en-US" w:eastAsia="zh-CN"/>
                    </w:rPr>
                    <w:t>3</w:t>
                  </w:r>
                  <w:r>
                    <w:rPr>
                      <w:rFonts w:hint="default" w:ascii="Times New Roman" w:hAnsi="Times New Roman" w:eastAsia="仿宋" w:cs="Times New Roman"/>
                      <w:b/>
                      <w:bCs/>
                      <w:color w:val="auto"/>
                      <w:sz w:val="21"/>
                      <w:szCs w:val="21"/>
                      <w:highlight w:val="none"/>
                      <w:vertAlign w:val="baseline"/>
                      <w:lang w:val="en-US" w:eastAsia="zh-CN"/>
                    </w:rPr>
                    <w:t>/a）</w:t>
                  </w:r>
                </w:p>
              </w:tc>
              <w:tc>
                <w:tcPr>
                  <w:tcW w:w="773" w:type="pct"/>
                  <w:vAlign w:val="center"/>
                </w:tcPr>
                <w:p w14:paraId="56041691">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实际排放总量（t/a）</w:t>
                  </w:r>
                </w:p>
              </w:tc>
              <w:tc>
                <w:tcPr>
                  <w:tcW w:w="588" w:type="pct"/>
                  <w:vAlign w:val="center"/>
                </w:tcPr>
                <w:p w14:paraId="70B972D7">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批复总量（t/a）</w:t>
                  </w:r>
                </w:p>
              </w:tc>
              <w:tc>
                <w:tcPr>
                  <w:tcW w:w="824" w:type="pct"/>
                  <w:vAlign w:val="center"/>
                </w:tcPr>
                <w:p w14:paraId="6CE428BC">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达标情况</w:t>
                  </w:r>
                </w:p>
              </w:tc>
            </w:tr>
            <w:tr w14:paraId="1B21358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pct"/>
                  <w:vMerge w:val="restart"/>
                  <w:vAlign w:val="center"/>
                </w:tcPr>
                <w:p w14:paraId="16A8E975">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厂区污水总排口</w:t>
                  </w:r>
                </w:p>
              </w:tc>
              <w:tc>
                <w:tcPr>
                  <w:tcW w:w="781" w:type="pct"/>
                  <w:shd w:val="clear" w:color="auto" w:fill="auto"/>
                  <w:vAlign w:val="center"/>
                </w:tcPr>
                <w:p w14:paraId="5DDF2CCE">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悬浮物</w:t>
                  </w:r>
                </w:p>
              </w:tc>
              <w:tc>
                <w:tcPr>
                  <w:tcW w:w="1486" w:type="dxa"/>
                  <w:vAlign w:val="center"/>
                </w:tcPr>
                <w:p w14:paraId="01CAE56A">
                  <w:pPr>
                    <w:widowControl/>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59.5</w:t>
                  </w:r>
                </w:p>
              </w:tc>
              <w:tc>
                <w:tcPr>
                  <w:tcW w:w="655" w:type="pct"/>
                  <w:vMerge w:val="restart"/>
                  <w:vAlign w:val="center"/>
                </w:tcPr>
                <w:p w14:paraId="6E27929F">
                  <w:pPr>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6000</w:t>
                  </w:r>
                </w:p>
              </w:tc>
              <w:tc>
                <w:tcPr>
                  <w:tcW w:w="1432" w:type="dxa"/>
                  <w:vAlign w:val="center"/>
                </w:tcPr>
                <w:p w14:paraId="153CEBFA">
                  <w:pPr>
                    <w:jc w:val="center"/>
                    <w:rPr>
                      <w:rFonts w:hint="default"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0.219</w:t>
                  </w:r>
                </w:p>
              </w:tc>
              <w:tc>
                <w:tcPr>
                  <w:tcW w:w="588" w:type="pct"/>
                  <w:vAlign w:val="center"/>
                </w:tcPr>
                <w:p w14:paraId="1978A07F">
                  <w:pPr>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1.2</w:t>
                  </w:r>
                </w:p>
              </w:tc>
              <w:tc>
                <w:tcPr>
                  <w:tcW w:w="824" w:type="pct"/>
                  <w:vAlign w:val="center"/>
                </w:tcPr>
                <w:p w14:paraId="7061A8E0">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达标</w:t>
                  </w:r>
                </w:p>
              </w:tc>
            </w:tr>
            <w:tr w14:paraId="20FFC07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pct"/>
                  <w:vMerge w:val="continue"/>
                  <w:vAlign w:val="center"/>
                </w:tcPr>
                <w:p w14:paraId="72CD0107">
                  <w:pPr>
                    <w:jc w:val="center"/>
                    <w:rPr>
                      <w:rFonts w:hint="default" w:ascii="Times New Roman" w:hAnsi="Times New Roman" w:eastAsia="仿宋" w:cs="Times New Roman"/>
                      <w:color w:val="auto"/>
                      <w:sz w:val="21"/>
                      <w:szCs w:val="21"/>
                      <w:highlight w:val="none"/>
                      <w:vertAlign w:val="baseline"/>
                    </w:rPr>
                  </w:pPr>
                </w:p>
              </w:tc>
              <w:tc>
                <w:tcPr>
                  <w:tcW w:w="781" w:type="pct"/>
                  <w:shd w:val="clear" w:color="auto" w:fill="auto"/>
                  <w:vAlign w:val="center"/>
                </w:tcPr>
                <w:p w14:paraId="1540F224">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lang w:val="en-US" w:eastAsia="zh-CN"/>
                    </w:rPr>
                    <w:t>化学需氧量</w:t>
                  </w:r>
                </w:p>
              </w:tc>
              <w:tc>
                <w:tcPr>
                  <w:tcW w:w="1486" w:type="dxa"/>
                  <w:vAlign w:val="center"/>
                </w:tcPr>
                <w:p w14:paraId="17FD88F2">
                  <w:pPr>
                    <w:widowControl/>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191.8</w:t>
                  </w:r>
                </w:p>
              </w:tc>
              <w:tc>
                <w:tcPr>
                  <w:tcW w:w="655" w:type="pct"/>
                  <w:vMerge w:val="continue"/>
                  <w:vAlign w:val="center"/>
                </w:tcPr>
                <w:p w14:paraId="54251EB8">
                  <w:pPr>
                    <w:jc w:val="center"/>
                    <w:rPr>
                      <w:rFonts w:hint="default" w:ascii="Times New Roman" w:hAnsi="Times New Roman" w:eastAsia="仿宋" w:cs="Times New Roman"/>
                      <w:color w:val="auto"/>
                      <w:sz w:val="21"/>
                      <w:szCs w:val="21"/>
                      <w:highlight w:val="none"/>
                      <w:vertAlign w:val="baseline"/>
                    </w:rPr>
                  </w:pPr>
                </w:p>
              </w:tc>
              <w:tc>
                <w:tcPr>
                  <w:tcW w:w="1432" w:type="dxa"/>
                  <w:vAlign w:val="center"/>
                </w:tcPr>
                <w:p w14:paraId="06162BE8">
                  <w:pPr>
                    <w:jc w:val="center"/>
                    <w:rPr>
                      <w:rFonts w:hint="default"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0.7</w:t>
                  </w:r>
                </w:p>
              </w:tc>
              <w:tc>
                <w:tcPr>
                  <w:tcW w:w="588" w:type="pct"/>
                  <w:vAlign w:val="center"/>
                </w:tcPr>
                <w:p w14:paraId="2A420376">
                  <w:pPr>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2.1</w:t>
                  </w:r>
                </w:p>
              </w:tc>
              <w:tc>
                <w:tcPr>
                  <w:tcW w:w="824" w:type="pct"/>
                  <w:vAlign w:val="center"/>
                </w:tcPr>
                <w:p w14:paraId="2EF4EDB4">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达标</w:t>
                  </w:r>
                </w:p>
              </w:tc>
            </w:tr>
            <w:tr w14:paraId="2504CBE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pct"/>
                  <w:vMerge w:val="continue"/>
                  <w:vAlign w:val="center"/>
                </w:tcPr>
                <w:p w14:paraId="1FACEF01">
                  <w:pPr>
                    <w:jc w:val="center"/>
                    <w:rPr>
                      <w:rFonts w:hint="default" w:ascii="Times New Roman" w:hAnsi="Times New Roman" w:eastAsia="仿宋" w:cs="Times New Roman"/>
                      <w:color w:val="auto"/>
                      <w:sz w:val="21"/>
                      <w:szCs w:val="21"/>
                      <w:highlight w:val="none"/>
                      <w:vertAlign w:val="baseline"/>
                    </w:rPr>
                  </w:pPr>
                </w:p>
              </w:tc>
              <w:tc>
                <w:tcPr>
                  <w:tcW w:w="781" w:type="pct"/>
                  <w:shd w:val="clear" w:color="auto" w:fill="auto"/>
                  <w:vAlign w:val="center"/>
                </w:tcPr>
                <w:p w14:paraId="6B4DB742">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氨氮</w:t>
                  </w:r>
                </w:p>
              </w:tc>
              <w:tc>
                <w:tcPr>
                  <w:tcW w:w="1486" w:type="dxa"/>
                  <w:vAlign w:val="center"/>
                </w:tcPr>
                <w:p w14:paraId="4E4DA8D6">
                  <w:pPr>
                    <w:widowControl/>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2435</w:t>
                  </w:r>
                </w:p>
              </w:tc>
              <w:tc>
                <w:tcPr>
                  <w:tcW w:w="655" w:type="pct"/>
                  <w:vMerge w:val="continue"/>
                  <w:vAlign w:val="center"/>
                </w:tcPr>
                <w:p w14:paraId="39094E80">
                  <w:pPr>
                    <w:jc w:val="center"/>
                    <w:rPr>
                      <w:rFonts w:hint="default" w:ascii="Times New Roman" w:hAnsi="Times New Roman" w:eastAsia="仿宋" w:cs="Times New Roman"/>
                      <w:color w:val="auto"/>
                      <w:sz w:val="21"/>
                      <w:szCs w:val="21"/>
                      <w:highlight w:val="none"/>
                      <w:vertAlign w:val="baseline"/>
                      <w:lang w:val="en-US" w:eastAsia="zh-CN"/>
                    </w:rPr>
                  </w:pPr>
                </w:p>
              </w:tc>
              <w:tc>
                <w:tcPr>
                  <w:tcW w:w="1432" w:type="dxa"/>
                  <w:vAlign w:val="center"/>
                </w:tcPr>
                <w:p w14:paraId="7592A8C3">
                  <w:pPr>
                    <w:jc w:val="center"/>
                    <w:rPr>
                      <w:rFonts w:hint="default"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0.09</w:t>
                  </w:r>
                </w:p>
              </w:tc>
              <w:tc>
                <w:tcPr>
                  <w:tcW w:w="588" w:type="pct"/>
                  <w:vAlign w:val="center"/>
                </w:tcPr>
                <w:p w14:paraId="44869D7D">
                  <w:pPr>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0.15</w:t>
                  </w:r>
                </w:p>
              </w:tc>
              <w:tc>
                <w:tcPr>
                  <w:tcW w:w="824" w:type="pct"/>
                  <w:vAlign w:val="center"/>
                </w:tcPr>
                <w:p w14:paraId="41A98C1E">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lang w:val="en-US" w:eastAsia="zh-CN"/>
                    </w:rPr>
                    <w:t>达标</w:t>
                  </w:r>
                </w:p>
              </w:tc>
            </w:tr>
            <w:tr w14:paraId="718E93C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pct"/>
                  <w:vMerge w:val="continue"/>
                  <w:vAlign w:val="center"/>
                </w:tcPr>
                <w:p w14:paraId="331D6C5A">
                  <w:pPr>
                    <w:jc w:val="center"/>
                    <w:rPr>
                      <w:rFonts w:hint="default" w:ascii="Times New Roman" w:hAnsi="Times New Roman" w:eastAsia="仿宋" w:cs="Times New Roman"/>
                      <w:color w:val="auto"/>
                      <w:sz w:val="21"/>
                      <w:szCs w:val="21"/>
                      <w:highlight w:val="none"/>
                      <w:vertAlign w:val="baseline"/>
                    </w:rPr>
                  </w:pPr>
                </w:p>
              </w:tc>
              <w:tc>
                <w:tcPr>
                  <w:tcW w:w="781" w:type="pct"/>
                  <w:shd w:val="clear" w:color="auto" w:fill="auto"/>
                  <w:vAlign w:val="center"/>
                </w:tcPr>
                <w:p w14:paraId="5F365A68">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总磷</w:t>
                  </w:r>
                </w:p>
              </w:tc>
              <w:tc>
                <w:tcPr>
                  <w:tcW w:w="1486" w:type="dxa"/>
                  <w:vAlign w:val="center"/>
                </w:tcPr>
                <w:p w14:paraId="60F5E1BB">
                  <w:pPr>
                    <w:widowControl/>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4.3</w:t>
                  </w:r>
                </w:p>
              </w:tc>
              <w:tc>
                <w:tcPr>
                  <w:tcW w:w="655" w:type="pct"/>
                  <w:vMerge w:val="continue"/>
                  <w:vAlign w:val="center"/>
                </w:tcPr>
                <w:p w14:paraId="115D1555">
                  <w:pPr>
                    <w:jc w:val="center"/>
                    <w:rPr>
                      <w:rFonts w:hint="default" w:ascii="Times New Roman" w:hAnsi="Times New Roman" w:eastAsia="仿宋" w:cs="Times New Roman"/>
                      <w:color w:val="auto"/>
                      <w:sz w:val="21"/>
                      <w:szCs w:val="21"/>
                      <w:highlight w:val="none"/>
                      <w:vertAlign w:val="baseline"/>
                    </w:rPr>
                  </w:pPr>
                </w:p>
              </w:tc>
              <w:tc>
                <w:tcPr>
                  <w:tcW w:w="1432" w:type="dxa"/>
                  <w:vAlign w:val="center"/>
                </w:tcPr>
                <w:p w14:paraId="102E4757">
                  <w:pPr>
                    <w:jc w:val="center"/>
                    <w:rPr>
                      <w:rFonts w:hint="default"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0.0158</w:t>
                  </w:r>
                </w:p>
              </w:tc>
              <w:tc>
                <w:tcPr>
                  <w:tcW w:w="588" w:type="pct"/>
                  <w:vAlign w:val="center"/>
                </w:tcPr>
                <w:p w14:paraId="76DF8D4D">
                  <w:pPr>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0.018</w:t>
                  </w:r>
                </w:p>
              </w:tc>
              <w:tc>
                <w:tcPr>
                  <w:tcW w:w="824" w:type="pct"/>
                  <w:vAlign w:val="center"/>
                </w:tcPr>
                <w:p w14:paraId="5B09CDAD">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lang w:val="en-US" w:eastAsia="zh-CN"/>
                    </w:rPr>
                    <w:t>达标</w:t>
                  </w:r>
                </w:p>
              </w:tc>
            </w:tr>
            <w:tr w14:paraId="7EAE165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4" w:type="pct"/>
                  <w:vMerge w:val="continue"/>
                  <w:vAlign w:val="center"/>
                </w:tcPr>
                <w:p w14:paraId="3FE61B3A">
                  <w:pPr>
                    <w:jc w:val="center"/>
                    <w:rPr>
                      <w:rFonts w:hint="default" w:ascii="Times New Roman" w:hAnsi="Times New Roman" w:eastAsia="仿宋" w:cs="Times New Roman"/>
                      <w:color w:val="auto"/>
                      <w:sz w:val="21"/>
                      <w:szCs w:val="21"/>
                      <w:highlight w:val="none"/>
                      <w:vertAlign w:val="baseline"/>
                    </w:rPr>
                  </w:pPr>
                </w:p>
              </w:tc>
              <w:tc>
                <w:tcPr>
                  <w:tcW w:w="781" w:type="pct"/>
                  <w:shd w:val="clear" w:color="auto" w:fill="auto"/>
                  <w:vAlign w:val="center"/>
                </w:tcPr>
                <w:p w14:paraId="2582C8DB">
                  <w:pPr>
                    <w:widowControl/>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总氮</w:t>
                  </w:r>
                </w:p>
              </w:tc>
              <w:tc>
                <w:tcPr>
                  <w:tcW w:w="1486" w:type="dxa"/>
                  <w:vAlign w:val="center"/>
                </w:tcPr>
                <w:p w14:paraId="1EF0E249">
                  <w:pPr>
                    <w:widowControl/>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34.6</w:t>
                  </w:r>
                </w:p>
              </w:tc>
              <w:tc>
                <w:tcPr>
                  <w:tcW w:w="655" w:type="pct"/>
                  <w:vMerge w:val="continue"/>
                  <w:vAlign w:val="center"/>
                </w:tcPr>
                <w:p w14:paraId="3E49B369">
                  <w:pPr>
                    <w:jc w:val="center"/>
                    <w:rPr>
                      <w:rFonts w:hint="default" w:ascii="Times New Roman" w:hAnsi="Times New Roman" w:eastAsia="仿宋" w:cs="Times New Roman"/>
                      <w:color w:val="auto"/>
                      <w:sz w:val="21"/>
                      <w:szCs w:val="21"/>
                      <w:highlight w:val="none"/>
                      <w:vertAlign w:val="baseline"/>
                    </w:rPr>
                  </w:pPr>
                </w:p>
              </w:tc>
              <w:tc>
                <w:tcPr>
                  <w:tcW w:w="1432" w:type="dxa"/>
                  <w:vAlign w:val="center"/>
                </w:tcPr>
                <w:p w14:paraId="3A456CDD">
                  <w:pPr>
                    <w:jc w:val="center"/>
                    <w:rPr>
                      <w:rFonts w:hint="default"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0.127</w:t>
                  </w:r>
                </w:p>
              </w:tc>
              <w:tc>
                <w:tcPr>
                  <w:tcW w:w="588" w:type="pct"/>
                  <w:vAlign w:val="center"/>
                </w:tcPr>
                <w:p w14:paraId="6AA16CED">
                  <w:pPr>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0.24</w:t>
                  </w:r>
                </w:p>
              </w:tc>
              <w:tc>
                <w:tcPr>
                  <w:tcW w:w="824" w:type="pct"/>
                  <w:vAlign w:val="center"/>
                </w:tcPr>
                <w:p w14:paraId="03A2EC5B">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lang w:val="en-US" w:eastAsia="zh-CN"/>
                    </w:rPr>
                    <w:t>达标</w:t>
                  </w:r>
                </w:p>
              </w:tc>
            </w:tr>
            <w:tr w14:paraId="5EFC730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7"/>
                  <w:vAlign w:val="center"/>
                </w:tcPr>
                <w:p w14:paraId="1F971CB2">
                  <w:pPr>
                    <w:jc w:val="both"/>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 w:val="21"/>
                      <w:szCs w:val="21"/>
                      <w:highlight w:val="none"/>
                      <w:vertAlign w:val="baseline"/>
                      <w:lang w:val="en-US" w:eastAsia="zh-CN"/>
                    </w:rPr>
                    <w:t>核算公式：</w:t>
                  </w:r>
                  <w:r>
                    <w:rPr>
                      <w:rFonts w:hint="default" w:ascii="Times New Roman" w:hAnsi="Times New Roman" w:eastAsia="仿宋" w:cs="Times New Roman"/>
                      <w:color w:val="auto"/>
                      <w:szCs w:val="21"/>
                      <w:highlight w:val="none"/>
                    </w:rPr>
                    <w:t>废水污染物实际排放量</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t/a</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Cs w:val="21"/>
                      <w:highlight w:val="none"/>
                    </w:rPr>
                    <w:t>=污染物</w:t>
                  </w:r>
                  <w:r>
                    <w:rPr>
                      <w:rFonts w:hint="default" w:ascii="Times New Roman" w:hAnsi="Times New Roman" w:eastAsia="仿宋" w:cs="Times New Roman"/>
                      <w:color w:val="auto"/>
                      <w:sz w:val="21"/>
                      <w:szCs w:val="21"/>
                      <w:highlight w:val="none"/>
                      <w:lang w:val="en-US" w:eastAsia="zh-CN"/>
                    </w:rPr>
                    <w:t>排放</w:t>
                  </w:r>
                  <w:r>
                    <w:rPr>
                      <w:rFonts w:hint="default" w:ascii="Times New Roman" w:hAnsi="Times New Roman" w:eastAsia="仿宋" w:cs="Times New Roman"/>
                      <w:color w:val="auto"/>
                      <w:szCs w:val="21"/>
                      <w:highlight w:val="none"/>
                    </w:rPr>
                    <w:t>浓度</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mg/L</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Cs w:val="21"/>
                      <w:highlight w:val="none"/>
                    </w:rPr>
                    <w:t>*排水量</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m</w:t>
                  </w:r>
                  <w:r>
                    <w:rPr>
                      <w:rFonts w:hint="default" w:ascii="Times New Roman" w:hAnsi="Times New Roman" w:eastAsia="仿宋" w:cs="Times New Roman"/>
                      <w:color w:val="auto"/>
                      <w:sz w:val="21"/>
                      <w:szCs w:val="21"/>
                      <w:highlight w:val="none"/>
                      <w:vertAlign w:val="superscript"/>
                      <w:lang w:val="en-US" w:eastAsia="zh-CN"/>
                    </w:rPr>
                    <w:t>3</w:t>
                  </w:r>
                  <w:r>
                    <w:rPr>
                      <w:rFonts w:hint="default" w:ascii="Times New Roman" w:hAnsi="Times New Roman" w:eastAsia="仿宋" w:cs="Times New Roman"/>
                      <w:color w:val="auto"/>
                      <w:sz w:val="21"/>
                      <w:szCs w:val="21"/>
                      <w:highlight w:val="none"/>
                      <w:lang w:val="en-US" w:eastAsia="zh-CN"/>
                    </w:rPr>
                    <w:t>/a</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Cs w:val="21"/>
                      <w:highlight w:val="none"/>
                    </w:rPr>
                    <w:t>/10</w:t>
                  </w:r>
                  <w:r>
                    <w:rPr>
                      <w:rFonts w:hint="default" w:ascii="Times New Roman" w:hAnsi="Times New Roman" w:eastAsia="仿宋" w:cs="Times New Roman"/>
                      <w:color w:val="auto"/>
                      <w:sz w:val="21"/>
                      <w:szCs w:val="21"/>
                      <w:highlight w:val="none"/>
                      <w:vertAlign w:val="superscript"/>
                      <w:lang w:val="en-US" w:eastAsia="zh-CN"/>
                    </w:rPr>
                    <w:t>6</w:t>
                  </w:r>
                  <w:r>
                    <w:rPr>
                      <w:rFonts w:hint="default" w:ascii="Times New Roman" w:hAnsi="Times New Roman" w:eastAsia="仿宋" w:cs="Times New Roman"/>
                      <w:color w:val="auto"/>
                      <w:szCs w:val="21"/>
                      <w:highlight w:val="none"/>
                    </w:rPr>
                    <w:t>，排水量由企业提供。</w:t>
                  </w:r>
                </w:p>
                <w:p w14:paraId="57D65268">
                  <w:pPr>
                    <w:jc w:val="both"/>
                    <w:rPr>
                      <w:rFonts w:hint="default" w:ascii="Times New Roman" w:hAnsi="Times New Roman" w:eastAsia="仿宋" w:cs="Times New Roman"/>
                      <w:color w:val="auto"/>
                      <w:szCs w:val="21"/>
                      <w:highlight w:val="none"/>
                      <w:lang w:val="en-US" w:eastAsia="zh-CN"/>
                    </w:rPr>
                  </w:pPr>
                  <w:r>
                    <w:rPr>
                      <w:rFonts w:hint="eastAsia" w:eastAsia="仿宋" w:cs="Times New Roman"/>
                      <w:color w:val="auto"/>
                      <w:szCs w:val="21"/>
                      <w:highlight w:val="none"/>
                      <w:lang w:val="en-US" w:eastAsia="zh-CN"/>
                    </w:rPr>
                    <w:t>注：本次排放浓度取验收时的平均值。</w:t>
                  </w:r>
                </w:p>
              </w:tc>
            </w:tr>
          </w:tbl>
          <w:p w14:paraId="0B277EC6">
            <w:pPr>
              <w:keepNext w:val="0"/>
              <w:keepLines w:val="0"/>
              <w:numPr>
                <w:ilvl w:val="0"/>
                <w:numId w:val="0"/>
              </w:numPr>
              <w:suppressLineNumbers w:val="0"/>
              <w:spacing w:before="0" w:beforeAutospacing="0" w:after="0" w:afterAutospacing="0" w:line="360" w:lineRule="auto"/>
              <w:ind w:right="0" w:rightChars="0" w:firstLine="480" w:firstLineChars="200"/>
              <w:rPr>
                <w:color w:val="auto"/>
                <w:highlight w:val="none"/>
              </w:rPr>
            </w:pPr>
            <w:r>
              <w:rPr>
                <w:rFonts w:hint="eastAsia" w:ascii="Times New Roman" w:hAnsi="Times New Roman" w:eastAsia="宋体" w:cs="Times New Roman"/>
                <w:color w:val="auto"/>
                <w:kern w:val="2"/>
                <w:sz w:val="24"/>
                <w:szCs w:val="24"/>
                <w:highlight w:val="none"/>
                <w:lang w:val="en-US" w:eastAsia="zh-CN" w:bidi="ar-SA"/>
              </w:rPr>
              <w:t>（2）</w:t>
            </w:r>
            <w:r>
              <w:rPr>
                <w:rFonts w:hint="eastAsia"/>
                <w:color w:val="auto"/>
                <w:sz w:val="24"/>
                <w:szCs w:val="24"/>
                <w:highlight w:val="none"/>
                <w:lang w:val="en-US" w:eastAsia="zh-CN"/>
              </w:rPr>
              <w:t>废气</w:t>
            </w:r>
          </w:p>
          <w:p w14:paraId="646AC125">
            <w:pPr>
              <w:spacing w:before="0" w:after="0" w:line="360" w:lineRule="auto"/>
              <w:ind w:right="0"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现有项目</w:t>
            </w:r>
            <w:r>
              <w:rPr>
                <w:rFonts w:hint="eastAsia" w:ascii="Times New Roman" w:hAnsi="Times New Roman" w:eastAsia="宋体" w:cs="Times New Roman"/>
                <w:color w:val="auto"/>
                <w:sz w:val="24"/>
                <w:szCs w:val="24"/>
                <w:highlight w:val="none"/>
                <w:vertAlign w:val="baseline"/>
                <w:lang w:val="en-US" w:eastAsia="zh-CN"/>
              </w:rPr>
              <w:t>印刷油墨废气产生量极少，在车间无组织排放，可忽略不计，不定量分析。激光打标产生极少量颗粒物，在车间无组织排放，可忽略不计，不定量分析。切削液挥发废气经设备内自带的油雾分离装置过滤后无组织排放。</w:t>
            </w:r>
          </w:p>
          <w:p w14:paraId="08EBA9A6">
            <w:pPr>
              <w:spacing w:before="0" w:after="0" w:line="360" w:lineRule="auto"/>
              <w:ind w:right="0" w:firstLine="480" w:firstLineChars="200"/>
              <w:rPr>
                <w:rFonts w:hint="eastAsia"/>
                <w:color w:val="auto"/>
                <w:highlight w:val="none"/>
                <w:lang w:eastAsia="zh-CN"/>
              </w:rPr>
            </w:pPr>
            <w:r>
              <w:rPr>
                <w:rFonts w:hint="eastAsia" w:ascii="Times New Roman" w:hAnsi="Times New Roman"/>
                <w:color w:val="auto"/>
                <w:sz w:val="24"/>
                <w:szCs w:val="24"/>
                <w:highlight w:val="none"/>
              </w:rPr>
              <w:t>现有项目各</w:t>
            </w:r>
            <w:r>
              <w:rPr>
                <w:rFonts w:hint="eastAsia"/>
                <w:color w:val="auto"/>
                <w:sz w:val="24"/>
                <w:szCs w:val="24"/>
                <w:highlight w:val="none"/>
                <w:lang w:val="en-US" w:eastAsia="zh-CN"/>
              </w:rPr>
              <w:t>废气</w:t>
            </w:r>
            <w:r>
              <w:rPr>
                <w:rFonts w:hint="eastAsia" w:ascii="Times New Roman" w:hAnsi="Times New Roman"/>
                <w:color w:val="auto"/>
                <w:sz w:val="24"/>
                <w:szCs w:val="24"/>
                <w:highlight w:val="none"/>
              </w:rPr>
              <w:t>处理设施均正常运行，</w:t>
            </w:r>
            <w:r>
              <w:rPr>
                <w:rFonts w:hint="eastAsia"/>
                <w:color w:val="auto"/>
                <w:sz w:val="24"/>
                <w:szCs w:val="24"/>
                <w:highlight w:val="none"/>
                <w:lang w:val="en-US" w:eastAsia="zh-CN"/>
              </w:rPr>
              <w:t>本次引用例行监测中相关数据</w:t>
            </w:r>
            <w:r>
              <w:rPr>
                <w:rFonts w:hint="eastAsia" w:ascii="Times New Roman" w:hAnsi="Times New Roman"/>
                <w:color w:val="auto"/>
                <w:sz w:val="24"/>
                <w:szCs w:val="24"/>
                <w:highlight w:val="none"/>
              </w:rPr>
              <w:t>（</w:t>
            </w:r>
            <w:r>
              <w:rPr>
                <w:rFonts w:hint="eastAsia" w:ascii="Times New Roman" w:hAnsi="Times New Roman"/>
                <w:color w:val="auto"/>
                <w:sz w:val="24"/>
                <w:szCs w:val="24"/>
                <w:highlight w:val="none"/>
                <w:lang w:val="en-US" w:eastAsia="zh-CN"/>
              </w:rPr>
              <w:t>JSDHC2603078</w:t>
            </w:r>
            <w:r>
              <w:rPr>
                <w:rFonts w:hint="eastAsia"/>
                <w:color w:val="auto"/>
                <w:sz w:val="24"/>
                <w:szCs w:val="24"/>
                <w:highlight w:val="none"/>
                <w:lang w:eastAsia="zh-CN"/>
              </w:rPr>
              <w:t>）</w:t>
            </w:r>
            <w:r>
              <w:rPr>
                <w:rFonts w:hint="eastAsia"/>
                <w:color w:val="auto"/>
                <w:sz w:val="24"/>
                <w:szCs w:val="24"/>
                <w:highlight w:val="none"/>
                <w:lang w:val="en-US" w:eastAsia="zh-CN"/>
              </w:rPr>
              <w:t>，具体数据如下</w:t>
            </w:r>
            <w:r>
              <w:rPr>
                <w:rFonts w:hint="eastAsia" w:ascii="Times New Roman" w:hAnsi="Times New Roman"/>
                <w:color w:val="auto"/>
                <w:sz w:val="24"/>
                <w:szCs w:val="24"/>
                <w:highlight w:val="none"/>
                <w:lang w:eastAsia="zh-CN"/>
              </w:rPr>
              <w:t>。</w:t>
            </w:r>
          </w:p>
          <w:p w14:paraId="7E540142">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eastAsia" w:ascii="Times New Roman" w:hAnsi="Times New Roman" w:eastAsia="宋体" w:cs="Times New Roman"/>
                <w:b/>
                <w:bCs/>
                <w:color w:val="auto"/>
                <w:kern w:val="2"/>
                <w:sz w:val="24"/>
                <w:szCs w:val="24"/>
                <w:highlight w:val="none"/>
                <w:lang w:val="en-US" w:eastAsia="zh-CN" w:bidi="ar"/>
              </w:rPr>
              <w:t>现有项目无组织废气检测结果一览表</w:t>
            </w:r>
          </w:p>
          <w:tbl>
            <w:tblPr>
              <w:tblStyle w:val="22"/>
              <w:tblW w:w="4997"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1213"/>
              <w:gridCol w:w="1195"/>
              <w:gridCol w:w="1085"/>
              <w:gridCol w:w="1004"/>
              <w:gridCol w:w="910"/>
              <w:gridCol w:w="1083"/>
              <w:gridCol w:w="637"/>
            </w:tblGrid>
            <w:tr w14:paraId="16997D2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vMerge w:val="restart"/>
                  <w:tcBorders>
                    <w:tl2br w:val="nil"/>
                    <w:tr2bl w:val="nil"/>
                  </w:tcBorders>
                  <w:noWrap w:val="0"/>
                  <w:vAlign w:val="center"/>
                </w:tcPr>
                <w:p w14:paraId="5852EFA3">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检测点位</w:t>
                  </w:r>
                </w:p>
              </w:tc>
              <w:tc>
                <w:tcPr>
                  <w:tcW w:w="1214" w:type="dxa"/>
                  <w:vMerge w:val="restart"/>
                  <w:tcBorders>
                    <w:tl2br w:val="nil"/>
                    <w:tr2bl w:val="nil"/>
                  </w:tcBorders>
                  <w:noWrap w:val="0"/>
                  <w:vAlign w:val="center"/>
                </w:tcPr>
                <w:p w14:paraId="4393E66A">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检测时间</w:t>
                  </w:r>
                </w:p>
              </w:tc>
              <w:tc>
                <w:tcPr>
                  <w:tcW w:w="1159" w:type="dxa"/>
                  <w:vMerge w:val="restart"/>
                  <w:tcBorders>
                    <w:tl2br w:val="nil"/>
                    <w:tr2bl w:val="nil"/>
                  </w:tcBorders>
                  <w:noWrap w:val="0"/>
                  <w:vAlign w:val="center"/>
                </w:tcPr>
                <w:p w14:paraId="37D52DD2">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检测项目</w:t>
                  </w:r>
                </w:p>
              </w:tc>
              <w:tc>
                <w:tcPr>
                  <w:tcW w:w="3014" w:type="dxa"/>
                  <w:gridSpan w:val="3"/>
                  <w:tcBorders>
                    <w:tl2br w:val="nil"/>
                    <w:tr2bl w:val="nil"/>
                  </w:tcBorders>
                  <w:noWrap w:val="0"/>
                  <w:vAlign w:val="center"/>
                </w:tcPr>
                <w:p w14:paraId="713E19A8">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检测结果</w:t>
                  </w:r>
                </w:p>
              </w:tc>
              <w:tc>
                <w:tcPr>
                  <w:tcW w:w="1090" w:type="dxa"/>
                  <w:vMerge w:val="restart"/>
                  <w:tcBorders>
                    <w:tl2br w:val="nil"/>
                    <w:tr2bl w:val="nil"/>
                  </w:tcBorders>
                  <w:noWrap w:val="0"/>
                  <w:vAlign w:val="center"/>
                </w:tcPr>
                <w:p w14:paraId="536FD9FF">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标准限值</w:t>
                  </w:r>
                </w:p>
              </w:tc>
              <w:tc>
                <w:tcPr>
                  <w:tcW w:w="638" w:type="dxa"/>
                  <w:vMerge w:val="restart"/>
                  <w:tcBorders>
                    <w:tl2br w:val="nil"/>
                    <w:tr2bl w:val="nil"/>
                  </w:tcBorders>
                  <w:noWrap w:val="0"/>
                  <w:vAlign w:val="center"/>
                </w:tcPr>
                <w:p w14:paraId="08FA2AA2">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评价</w:t>
                  </w:r>
                </w:p>
              </w:tc>
            </w:tr>
            <w:tr w14:paraId="0EB0F9F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vMerge w:val="continue"/>
                  <w:tcBorders>
                    <w:tl2br w:val="nil"/>
                    <w:tr2bl w:val="nil"/>
                  </w:tcBorders>
                  <w:noWrap w:val="0"/>
                  <w:vAlign w:val="center"/>
                </w:tcPr>
                <w:p w14:paraId="4674CE86">
                  <w:pPr>
                    <w:jc w:val="center"/>
                    <w:rPr>
                      <w:highlight w:val="none"/>
                    </w:rPr>
                  </w:pPr>
                </w:p>
              </w:tc>
              <w:tc>
                <w:tcPr>
                  <w:tcW w:w="1214" w:type="dxa"/>
                  <w:vMerge w:val="continue"/>
                  <w:tcBorders>
                    <w:tl2br w:val="nil"/>
                    <w:tr2bl w:val="nil"/>
                  </w:tcBorders>
                  <w:noWrap w:val="0"/>
                  <w:vAlign w:val="center"/>
                </w:tcPr>
                <w:p w14:paraId="00C4D25E">
                  <w:pPr>
                    <w:jc w:val="center"/>
                    <w:rPr>
                      <w:highlight w:val="none"/>
                    </w:rPr>
                  </w:pPr>
                </w:p>
              </w:tc>
              <w:tc>
                <w:tcPr>
                  <w:tcW w:w="1159" w:type="dxa"/>
                  <w:vMerge w:val="continue"/>
                  <w:tcBorders>
                    <w:tl2br w:val="nil"/>
                    <w:tr2bl w:val="nil"/>
                  </w:tcBorders>
                  <w:noWrap w:val="0"/>
                  <w:vAlign w:val="center"/>
                </w:tcPr>
                <w:p w14:paraId="307198E0">
                  <w:pPr>
                    <w:jc w:val="center"/>
                    <w:rPr>
                      <w:highlight w:val="none"/>
                    </w:rPr>
                  </w:pPr>
                </w:p>
              </w:tc>
              <w:tc>
                <w:tcPr>
                  <w:tcW w:w="1091" w:type="dxa"/>
                  <w:tcBorders>
                    <w:tl2br w:val="nil"/>
                    <w:tr2bl w:val="nil"/>
                  </w:tcBorders>
                  <w:noWrap w:val="0"/>
                  <w:vAlign w:val="center"/>
                </w:tcPr>
                <w:p w14:paraId="73193B65">
                  <w:pPr>
                    <w:jc w:val="center"/>
                    <w:rPr>
                      <w:rFonts w:hint="eastAsia" w:ascii="Times New Roman" w:hAnsi="Times New Roman" w:eastAsia="仿宋" w:cs="Times New Roman"/>
                      <w:b/>
                      <w:bCs/>
                      <w:color w:val="auto"/>
                      <w:sz w:val="21"/>
                      <w:szCs w:val="21"/>
                      <w:highlight w:val="none"/>
                      <w:lang w:val="en-US" w:eastAsia="zh-CN"/>
                    </w:rPr>
                  </w:pPr>
                  <w:r>
                    <w:rPr>
                      <w:rFonts w:hint="eastAsia" w:eastAsia="仿宋" w:cs="Times New Roman"/>
                      <w:b/>
                      <w:bCs/>
                      <w:color w:val="auto"/>
                      <w:sz w:val="21"/>
                      <w:szCs w:val="21"/>
                      <w:highlight w:val="none"/>
                      <w:lang w:val="en-US" w:eastAsia="zh-CN"/>
                    </w:rPr>
                    <w:t>第一次</w:t>
                  </w:r>
                </w:p>
              </w:tc>
              <w:tc>
                <w:tcPr>
                  <w:tcW w:w="1009" w:type="dxa"/>
                  <w:tcBorders>
                    <w:tl2br w:val="nil"/>
                    <w:tr2bl w:val="nil"/>
                  </w:tcBorders>
                  <w:noWrap w:val="0"/>
                  <w:vAlign w:val="center"/>
                </w:tcPr>
                <w:p w14:paraId="49C5B1A0">
                  <w:pPr>
                    <w:jc w:val="center"/>
                    <w:rPr>
                      <w:rFonts w:hint="eastAsia" w:ascii="Times New Roman" w:hAnsi="Times New Roman" w:eastAsia="仿宋" w:cs="Times New Roman"/>
                      <w:b/>
                      <w:bCs/>
                      <w:color w:val="auto"/>
                      <w:sz w:val="21"/>
                      <w:szCs w:val="21"/>
                      <w:highlight w:val="none"/>
                      <w:lang w:val="en-US" w:eastAsia="zh-CN"/>
                    </w:rPr>
                  </w:pPr>
                  <w:r>
                    <w:rPr>
                      <w:rFonts w:hint="eastAsia" w:eastAsia="仿宋" w:cs="Times New Roman"/>
                      <w:b/>
                      <w:bCs/>
                      <w:color w:val="auto"/>
                      <w:sz w:val="21"/>
                      <w:szCs w:val="21"/>
                      <w:highlight w:val="none"/>
                      <w:lang w:val="en-US" w:eastAsia="zh-CN"/>
                    </w:rPr>
                    <w:t>第二次</w:t>
                  </w:r>
                </w:p>
              </w:tc>
              <w:tc>
                <w:tcPr>
                  <w:tcW w:w="914" w:type="dxa"/>
                  <w:tcBorders>
                    <w:tl2br w:val="nil"/>
                    <w:tr2bl w:val="nil"/>
                  </w:tcBorders>
                  <w:noWrap w:val="0"/>
                  <w:vAlign w:val="center"/>
                </w:tcPr>
                <w:p w14:paraId="3BE3C375">
                  <w:pPr>
                    <w:jc w:val="center"/>
                    <w:rPr>
                      <w:rFonts w:hint="eastAsia" w:ascii="Times New Roman" w:hAnsi="Times New Roman" w:eastAsia="仿宋" w:cs="Times New Roman"/>
                      <w:b/>
                      <w:bCs/>
                      <w:color w:val="auto"/>
                      <w:sz w:val="21"/>
                      <w:szCs w:val="21"/>
                      <w:highlight w:val="none"/>
                      <w:lang w:val="en-US" w:eastAsia="zh-CN"/>
                    </w:rPr>
                  </w:pPr>
                  <w:r>
                    <w:rPr>
                      <w:rFonts w:hint="eastAsia" w:eastAsia="仿宋" w:cs="Times New Roman"/>
                      <w:b/>
                      <w:bCs/>
                      <w:color w:val="auto"/>
                      <w:sz w:val="21"/>
                      <w:szCs w:val="21"/>
                      <w:highlight w:val="none"/>
                      <w:lang w:val="en-US" w:eastAsia="zh-CN"/>
                    </w:rPr>
                    <w:t>第三次</w:t>
                  </w:r>
                </w:p>
              </w:tc>
              <w:tc>
                <w:tcPr>
                  <w:tcW w:w="1090" w:type="dxa"/>
                  <w:vMerge w:val="continue"/>
                  <w:tcBorders>
                    <w:tl2br w:val="nil"/>
                    <w:tr2bl w:val="nil"/>
                  </w:tcBorders>
                  <w:noWrap w:val="0"/>
                  <w:vAlign w:val="center"/>
                </w:tcPr>
                <w:p w14:paraId="26FAAACB">
                  <w:pPr>
                    <w:jc w:val="center"/>
                    <w:rPr>
                      <w:rFonts w:hint="default" w:ascii="Times New Roman" w:hAnsi="Times New Roman" w:eastAsia="仿宋" w:cs="Times New Roman"/>
                      <w:b/>
                      <w:bCs/>
                      <w:color w:val="auto"/>
                      <w:sz w:val="21"/>
                      <w:szCs w:val="21"/>
                      <w:highlight w:val="none"/>
                    </w:rPr>
                  </w:pPr>
                </w:p>
              </w:tc>
              <w:tc>
                <w:tcPr>
                  <w:tcW w:w="638" w:type="dxa"/>
                  <w:vMerge w:val="continue"/>
                  <w:tcBorders>
                    <w:tl2br w:val="nil"/>
                    <w:tr2bl w:val="nil"/>
                  </w:tcBorders>
                  <w:noWrap w:val="0"/>
                  <w:vAlign w:val="center"/>
                </w:tcPr>
                <w:p w14:paraId="0BE24872">
                  <w:pPr>
                    <w:jc w:val="center"/>
                    <w:rPr>
                      <w:rFonts w:hint="default" w:ascii="Times New Roman" w:hAnsi="Times New Roman" w:eastAsia="仿宋" w:cs="Times New Roman"/>
                      <w:b/>
                      <w:bCs/>
                      <w:color w:val="auto"/>
                      <w:sz w:val="21"/>
                      <w:szCs w:val="21"/>
                      <w:highlight w:val="none"/>
                    </w:rPr>
                  </w:pPr>
                </w:p>
              </w:tc>
            </w:tr>
            <w:tr w14:paraId="55AC9CF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tcBorders>
                    <w:tl2br w:val="nil"/>
                    <w:tr2bl w:val="nil"/>
                  </w:tcBorders>
                  <w:noWrap w:val="0"/>
                  <w:vAlign w:val="center"/>
                </w:tcPr>
                <w:p w14:paraId="70703232">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上风向G1</w:t>
                  </w:r>
                </w:p>
              </w:tc>
              <w:tc>
                <w:tcPr>
                  <w:tcW w:w="1214" w:type="dxa"/>
                  <w:vMerge w:val="restart"/>
                  <w:tcBorders>
                    <w:tl2br w:val="nil"/>
                    <w:tr2bl w:val="nil"/>
                  </w:tcBorders>
                  <w:noWrap w:val="0"/>
                  <w:vAlign w:val="center"/>
                </w:tcPr>
                <w:p w14:paraId="1E69B530">
                  <w:pPr>
                    <w:jc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rPr>
                    <w:t>202</w:t>
                  </w:r>
                  <w:r>
                    <w:rPr>
                      <w:rFonts w:hint="eastAsia" w:eastAsia="仿宋" w:cs="Times New Roman"/>
                      <w:color w:val="auto"/>
                      <w:sz w:val="21"/>
                      <w:szCs w:val="21"/>
                      <w:highlight w:val="none"/>
                      <w:lang w:val="en-US" w:eastAsia="zh-CN"/>
                    </w:rPr>
                    <w:t>6.03.16</w:t>
                  </w:r>
                </w:p>
              </w:tc>
              <w:tc>
                <w:tcPr>
                  <w:tcW w:w="1159" w:type="dxa"/>
                  <w:vMerge w:val="restart"/>
                  <w:tcBorders>
                    <w:tl2br w:val="nil"/>
                    <w:tr2bl w:val="nil"/>
                  </w:tcBorders>
                  <w:noWrap w:val="0"/>
                  <w:vAlign w:val="center"/>
                </w:tcPr>
                <w:p w14:paraId="2021D40F">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非甲烷总烃（mg/m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w:t>
                  </w:r>
                </w:p>
              </w:tc>
              <w:tc>
                <w:tcPr>
                  <w:tcW w:w="1091" w:type="dxa"/>
                  <w:tcBorders>
                    <w:tl2br w:val="nil"/>
                    <w:tr2bl w:val="nil"/>
                  </w:tcBorders>
                  <w:noWrap w:val="0"/>
                  <w:vAlign w:val="center"/>
                </w:tcPr>
                <w:p w14:paraId="4ACC66E9">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0.53</w:t>
                  </w:r>
                </w:p>
              </w:tc>
              <w:tc>
                <w:tcPr>
                  <w:tcW w:w="1009" w:type="dxa"/>
                  <w:tcBorders>
                    <w:tl2br w:val="nil"/>
                    <w:tr2bl w:val="nil"/>
                  </w:tcBorders>
                  <w:noWrap w:val="0"/>
                  <w:vAlign w:val="center"/>
                </w:tcPr>
                <w:p w14:paraId="2CFB735F">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0.57</w:t>
                  </w:r>
                </w:p>
              </w:tc>
              <w:tc>
                <w:tcPr>
                  <w:tcW w:w="914" w:type="dxa"/>
                  <w:tcBorders>
                    <w:tl2br w:val="nil"/>
                    <w:tr2bl w:val="nil"/>
                  </w:tcBorders>
                  <w:noWrap w:val="0"/>
                  <w:vAlign w:val="center"/>
                </w:tcPr>
                <w:p w14:paraId="5BEA6AFE">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0.55</w:t>
                  </w:r>
                </w:p>
              </w:tc>
              <w:tc>
                <w:tcPr>
                  <w:tcW w:w="1090" w:type="dxa"/>
                  <w:vMerge w:val="restart"/>
                  <w:tcBorders>
                    <w:tl2br w:val="nil"/>
                    <w:tr2bl w:val="nil"/>
                  </w:tcBorders>
                  <w:noWrap w:val="0"/>
                  <w:vAlign w:val="center"/>
                </w:tcPr>
                <w:p w14:paraId="3990339C">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4</w:t>
                  </w:r>
                </w:p>
              </w:tc>
              <w:tc>
                <w:tcPr>
                  <w:tcW w:w="638" w:type="dxa"/>
                  <w:vMerge w:val="restart"/>
                  <w:tcBorders>
                    <w:tl2br w:val="nil"/>
                    <w:tr2bl w:val="nil"/>
                  </w:tcBorders>
                  <w:noWrap w:val="0"/>
                  <w:vAlign w:val="center"/>
                </w:tcPr>
                <w:p w14:paraId="29E6ECD2">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w:t>
                  </w:r>
                </w:p>
              </w:tc>
            </w:tr>
            <w:tr w14:paraId="4BCBBE3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tcBorders>
                    <w:tl2br w:val="nil"/>
                    <w:tr2bl w:val="nil"/>
                  </w:tcBorders>
                  <w:noWrap w:val="0"/>
                  <w:vAlign w:val="center"/>
                </w:tcPr>
                <w:p w14:paraId="7DDAB7B2">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下风向G2</w:t>
                  </w:r>
                </w:p>
              </w:tc>
              <w:tc>
                <w:tcPr>
                  <w:tcW w:w="1214" w:type="dxa"/>
                  <w:vMerge w:val="continue"/>
                  <w:tcBorders>
                    <w:tl2br w:val="nil"/>
                    <w:tr2bl w:val="nil"/>
                  </w:tcBorders>
                  <w:noWrap w:val="0"/>
                  <w:vAlign w:val="center"/>
                </w:tcPr>
                <w:p w14:paraId="70F4ACB1">
                  <w:pPr>
                    <w:jc w:val="center"/>
                    <w:rPr>
                      <w:rFonts w:hint="default" w:ascii="Times New Roman" w:hAnsi="Times New Roman" w:eastAsia="仿宋" w:cs="Times New Roman"/>
                      <w:color w:val="auto"/>
                      <w:sz w:val="21"/>
                      <w:szCs w:val="21"/>
                      <w:highlight w:val="none"/>
                    </w:rPr>
                  </w:pPr>
                </w:p>
              </w:tc>
              <w:tc>
                <w:tcPr>
                  <w:tcW w:w="1159" w:type="dxa"/>
                  <w:vMerge w:val="continue"/>
                  <w:tcBorders>
                    <w:tl2br w:val="nil"/>
                    <w:tr2bl w:val="nil"/>
                  </w:tcBorders>
                  <w:noWrap w:val="0"/>
                  <w:vAlign w:val="center"/>
                </w:tcPr>
                <w:p w14:paraId="3DDDF4EC">
                  <w:pPr>
                    <w:jc w:val="center"/>
                    <w:rPr>
                      <w:rFonts w:hint="default" w:ascii="Times New Roman" w:hAnsi="Times New Roman" w:eastAsia="仿宋" w:cs="Times New Roman"/>
                      <w:color w:val="auto"/>
                      <w:sz w:val="21"/>
                      <w:szCs w:val="21"/>
                      <w:highlight w:val="none"/>
                    </w:rPr>
                  </w:pPr>
                </w:p>
              </w:tc>
              <w:tc>
                <w:tcPr>
                  <w:tcW w:w="1091" w:type="dxa"/>
                  <w:tcBorders>
                    <w:tl2br w:val="nil"/>
                    <w:tr2bl w:val="nil"/>
                  </w:tcBorders>
                  <w:noWrap w:val="0"/>
                  <w:vAlign w:val="center"/>
                </w:tcPr>
                <w:p w14:paraId="1EFE8665">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0.86</w:t>
                  </w:r>
                </w:p>
              </w:tc>
              <w:tc>
                <w:tcPr>
                  <w:tcW w:w="1009" w:type="dxa"/>
                  <w:tcBorders>
                    <w:tl2br w:val="nil"/>
                    <w:tr2bl w:val="nil"/>
                  </w:tcBorders>
                  <w:noWrap w:val="0"/>
                  <w:vAlign w:val="center"/>
                </w:tcPr>
                <w:p w14:paraId="5D27A1DF">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0.88</w:t>
                  </w:r>
                </w:p>
              </w:tc>
              <w:tc>
                <w:tcPr>
                  <w:tcW w:w="914" w:type="dxa"/>
                  <w:tcBorders>
                    <w:tl2br w:val="nil"/>
                    <w:tr2bl w:val="nil"/>
                  </w:tcBorders>
                  <w:noWrap w:val="0"/>
                  <w:vAlign w:val="center"/>
                </w:tcPr>
                <w:p w14:paraId="7B7FB83F">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0.82</w:t>
                  </w:r>
                </w:p>
              </w:tc>
              <w:tc>
                <w:tcPr>
                  <w:tcW w:w="1090" w:type="dxa"/>
                  <w:vMerge w:val="continue"/>
                  <w:tcBorders>
                    <w:tl2br w:val="nil"/>
                    <w:tr2bl w:val="nil"/>
                  </w:tcBorders>
                  <w:noWrap w:val="0"/>
                  <w:vAlign w:val="center"/>
                </w:tcPr>
                <w:p w14:paraId="26810998">
                  <w:pPr>
                    <w:jc w:val="center"/>
                    <w:rPr>
                      <w:rFonts w:hint="default" w:ascii="Times New Roman" w:hAnsi="Times New Roman" w:eastAsia="仿宋" w:cs="Times New Roman"/>
                      <w:color w:val="auto"/>
                      <w:sz w:val="21"/>
                      <w:szCs w:val="21"/>
                      <w:highlight w:val="none"/>
                    </w:rPr>
                  </w:pPr>
                </w:p>
              </w:tc>
              <w:tc>
                <w:tcPr>
                  <w:tcW w:w="638" w:type="dxa"/>
                  <w:vMerge w:val="continue"/>
                  <w:tcBorders>
                    <w:tl2br w:val="nil"/>
                    <w:tr2bl w:val="nil"/>
                  </w:tcBorders>
                  <w:noWrap w:val="0"/>
                  <w:vAlign w:val="center"/>
                </w:tcPr>
                <w:p w14:paraId="5EA5E198">
                  <w:pPr>
                    <w:jc w:val="center"/>
                    <w:rPr>
                      <w:rFonts w:hint="default" w:ascii="Times New Roman" w:hAnsi="Times New Roman" w:eastAsia="仿宋" w:cs="Times New Roman"/>
                      <w:color w:val="auto"/>
                      <w:sz w:val="21"/>
                      <w:szCs w:val="21"/>
                      <w:highlight w:val="none"/>
                    </w:rPr>
                  </w:pPr>
                </w:p>
              </w:tc>
            </w:tr>
            <w:tr w14:paraId="24315F3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tcBorders>
                    <w:tl2br w:val="nil"/>
                    <w:tr2bl w:val="nil"/>
                  </w:tcBorders>
                  <w:noWrap w:val="0"/>
                  <w:vAlign w:val="center"/>
                </w:tcPr>
                <w:p w14:paraId="5383DFBA">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下风向G3</w:t>
                  </w:r>
                </w:p>
              </w:tc>
              <w:tc>
                <w:tcPr>
                  <w:tcW w:w="1214" w:type="dxa"/>
                  <w:vMerge w:val="continue"/>
                  <w:tcBorders>
                    <w:tl2br w:val="nil"/>
                    <w:tr2bl w:val="nil"/>
                  </w:tcBorders>
                  <w:noWrap w:val="0"/>
                  <w:vAlign w:val="center"/>
                </w:tcPr>
                <w:p w14:paraId="31839DA6">
                  <w:pPr>
                    <w:jc w:val="center"/>
                    <w:rPr>
                      <w:rFonts w:hint="default" w:ascii="Times New Roman" w:hAnsi="Times New Roman" w:eastAsia="仿宋" w:cs="Times New Roman"/>
                      <w:color w:val="auto"/>
                      <w:sz w:val="21"/>
                      <w:szCs w:val="21"/>
                      <w:highlight w:val="none"/>
                    </w:rPr>
                  </w:pPr>
                </w:p>
              </w:tc>
              <w:tc>
                <w:tcPr>
                  <w:tcW w:w="1159" w:type="dxa"/>
                  <w:vMerge w:val="continue"/>
                  <w:tcBorders>
                    <w:tl2br w:val="nil"/>
                    <w:tr2bl w:val="nil"/>
                  </w:tcBorders>
                  <w:noWrap w:val="0"/>
                  <w:vAlign w:val="center"/>
                </w:tcPr>
                <w:p w14:paraId="78FF61D5">
                  <w:pPr>
                    <w:jc w:val="center"/>
                    <w:rPr>
                      <w:rFonts w:hint="default" w:ascii="Times New Roman" w:hAnsi="Times New Roman" w:eastAsia="仿宋" w:cs="Times New Roman"/>
                      <w:color w:val="auto"/>
                      <w:sz w:val="21"/>
                      <w:szCs w:val="21"/>
                      <w:highlight w:val="none"/>
                    </w:rPr>
                  </w:pPr>
                </w:p>
              </w:tc>
              <w:tc>
                <w:tcPr>
                  <w:tcW w:w="1091" w:type="dxa"/>
                  <w:tcBorders>
                    <w:tl2br w:val="nil"/>
                    <w:tr2bl w:val="nil"/>
                  </w:tcBorders>
                  <w:noWrap w:val="0"/>
                  <w:vAlign w:val="center"/>
                </w:tcPr>
                <w:p w14:paraId="06B53121">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0.83</w:t>
                  </w:r>
                </w:p>
              </w:tc>
              <w:tc>
                <w:tcPr>
                  <w:tcW w:w="1009" w:type="dxa"/>
                  <w:tcBorders>
                    <w:tl2br w:val="nil"/>
                    <w:tr2bl w:val="nil"/>
                  </w:tcBorders>
                  <w:noWrap w:val="0"/>
                  <w:vAlign w:val="center"/>
                </w:tcPr>
                <w:p w14:paraId="11A4D565">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0.86</w:t>
                  </w:r>
                </w:p>
              </w:tc>
              <w:tc>
                <w:tcPr>
                  <w:tcW w:w="914" w:type="dxa"/>
                  <w:tcBorders>
                    <w:tl2br w:val="nil"/>
                    <w:tr2bl w:val="nil"/>
                  </w:tcBorders>
                  <w:noWrap w:val="0"/>
                  <w:vAlign w:val="center"/>
                </w:tcPr>
                <w:p w14:paraId="62F0E022">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0.84</w:t>
                  </w:r>
                </w:p>
              </w:tc>
              <w:tc>
                <w:tcPr>
                  <w:tcW w:w="1090" w:type="dxa"/>
                  <w:vMerge w:val="continue"/>
                  <w:tcBorders>
                    <w:tl2br w:val="nil"/>
                    <w:tr2bl w:val="nil"/>
                  </w:tcBorders>
                  <w:noWrap w:val="0"/>
                  <w:vAlign w:val="center"/>
                </w:tcPr>
                <w:p w14:paraId="67AF45DE">
                  <w:pPr>
                    <w:jc w:val="center"/>
                    <w:rPr>
                      <w:rFonts w:hint="default" w:ascii="Times New Roman" w:hAnsi="Times New Roman" w:eastAsia="仿宋" w:cs="Times New Roman"/>
                      <w:color w:val="auto"/>
                      <w:sz w:val="21"/>
                      <w:szCs w:val="21"/>
                      <w:highlight w:val="none"/>
                    </w:rPr>
                  </w:pPr>
                </w:p>
              </w:tc>
              <w:tc>
                <w:tcPr>
                  <w:tcW w:w="638" w:type="dxa"/>
                  <w:vMerge w:val="continue"/>
                  <w:tcBorders>
                    <w:tl2br w:val="nil"/>
                    <w:tr2bl w:val="nil"/>
                  </w:tcBorders>
                  <w:noWrap w:val="0"/>
                  <w:vAlign w:val="center"/>
                </w:tcPr>
                <w:p w14:paraId="48365797">
                  <w:pPr>
                    <w:jc w:val="center"/>
                    <w:rPr>
                      <w:rFonts w:hint="default" w:ascii="Times New Roman" w:hAnsi="Times New Roman" w:eastAsia="仿宋" w:cs="Times New Roman"/>
                      <w:color w:val="auto"/>
                      <w:sz w:val="21"/>
                      <w:szCs w:val="21"/>
                      <w:highlight w:val="none"/>
                    </w:rPr>
                  </w:pPr>
                </w:p>
              </w:tc>
            </w:tr>
            <w:tr w14:paraId="04BA055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tcBorders>
                    <w:tl2br w:val="nil"/>
                    <w:tr2bl w:val="nil"/>
                  </w:tcBorders>
                  <w:noWrap w:val="0"/>
                  <w:vAlign w:val="center"/>
                </w:tcPr>
                <w:p w14:paraId="2EF169F1">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下风向G4</w:t>
                  </w:r>
                </w:p>
              </w:tc>
              <w:tc>
                <w:tcPr>
                  <w:tcW w:w="1214" w:type="dxa"/>
                  <w:vMerge w:val="continue"/>
                  <w:tcBorders>
                    <w:tl2br w:val="nil"/>
                    <w:tr2bl w:val="nil"/>
                  </w:tcBorders>
                  <w:noWrap w:val="0"/>
                  <w:vAlign w:val="center"/>
                </w:tcPr>
                <w:p w14:paraId="77DCA592">
                  <w:pPr>
                    <w:jc w:val="center"/>
                    <w:rPr>
                      <w:rFonts w:hint="default" w:ascii="Times New Roman" w:hAnsi="Times New Roman" w:eastAsia="仿宋" w:cs="Times New Roman"/>
                      <w:color w:val="auto"/>
                      <w:sz w:val="21"/>
                      <w:szCs w:val="21"/>
                      <w:highlight w:val="none"/>
                    </w:rPr>
                  </w:pPr>
                </w:p>
              </w:tc>
              <w:tc>
                <w:tcPr>
                  <w:tcW w:w="1159" w:type="dxa"/>
                  <w:vMerge w:val="continue"/>
                  <w:tcBorders>
                    <w:tl2br w:val="nil"/>
                    <w:tr2bl w:val="nil"/>
                  </w:tcBorders>
                  <w:noWrap w:val="0"/>
                  <w:vAlign w:val="center"/>
                </w:tcPr>
                <w:p w14:paraId="221464B0">
                  <w:pPr>
                    <w:jc w:val="center"/>
                    <w:rPr>
                      <w:rFonts w:hint="default" w:ascii="Times New Roman" w:hAnsi="Times New Roman" w:eastAsia="仿宋" w:cs="Times New Roman"/>
                      <w:color w:val="auto"/>
                      <w:sz w:val="21"/>
                      <w:szCs w:val="21"/>
                      <w:highlight w:val="none"/>
                    </w:rPr>
                  </w:pPr>
                </w:p>
              </w:tc>
              <w:tc>
                <w:tcPr>
                  <w:tcW w:w="1091" w:type="dxa"/>
                  <w:tcBorders>
                    <w:tl2br w:val="nil"/>
                    <w:tr2bl w:val="nil"/>
                  </w:tcBorders>
                  <w:noWrap w:val="0"/>
                  <w:vAlign w:val="center"/>
                </w:tcPr>
                <w:p w14:paraId="5D442443">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0.85</w:t>
                  </w:r>
                </w:p>
              </w:tc>
              <w:tc>
                <w:tcPr>
                  <w:tcW w:w="1009" w:type="dxa"/>
                  <w:tcBorders>
                    <w:tl2br w:val="nil"/>
                    <w:tr2bl w:val="nil"/>
                  </w:tcBorders>
                  <w:noWrap w:val="0"/>
                  <w:vAlign w:val="center"/>
                </w:tcPr>
                <w:p w14:paraId="19BA03BB">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0.88</w:t>
                  </w:r>
                </w:p>
              </w:tc>
              <w:tc>
                <w:tcPr>
                  <w:tcW w:w="914" w:type="dxa"/>
                  <w:tcBorders>
                    <w:tl2br w:val="nil"/>
                    <w:tr2bl w:val="nil"/>
                  </w:tcBorders>
                  <w:noWrap w:val="0"/>
                  <w:vAlign w:val="center"/>
                </w:tcPr>
                <w:p w14:paraId="7BBEAF92">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0.88</w:t>
                  </w:r>
                </w:p>
              </w:tc>
              <w:tc>
                <w:tcPr>
                  <w:tcW w:w="1090" w:type="dxa"/>
                  <w:vMerge w:val="continue"/>
                  <w:tcBorders>
                    <w:tl2br w:val="nil"/>
                    <w:tr2bl w:val="nil"/>
                  </w:tcBorders>
                  <w:noWrap w:val="0"/>
                  <w:vAlign w:val="center"/>
                </w:tcPr>
                <w:p w14:paraId="1111ED02">
                  <w:pPr>
                    <w:jc w:val="center"/>
                    <w:rPr>
                      <w:rFonts w:hint="default" w:ascii="Times New Roman" w:hAnsi="Times New Roman" w:eastAsia="仿宋" w:cs="Times New Roman"/>
                      <w:color w:val="auto"/>
                      <w:sz w:val="21"/>
                      <w:szCs w:val="21"/>
                      <w:highlight w:val="none"/>
                    </w:rPr>
                  </w:pPr>
                </w:p>
              </w:tc>
              <w:tc>
                <w:tcPr>
                  <w:tcW w:w="638" w:type="dxa"/>
                  <w:vMerge w:val="continue"/>
                  <w:tcBorders>
                    <w:tl2br w:val="nil"/>
                    <w:tr2bl w:val="nil"/>
                  </w:tcBorders>
                  <w:noWrap w:val="0"/>
                  <w:vAlign w:val="center"/>
                </w:tcPr>
                <w:p w14:paraId="2FA51647">
                  <w:pPr>
                    <w:jc w:val="center"/>
                    <w:rPr>
                      <w:rFonts w:hint="default" w:ascii="Times New Roman" w:hAnsi="Times New Roman" w:eastAsia="仿宋" w:cs="Times New Roman"/>
                      <w:color w:val="auto"/>
                      <w:sz w:val="21"/>
                      <w:szCs w:val="21"/>
                      <w:highlight w:val="none"/>
                    </w:rPr>
                  </w:pPr>
                </w:p>
              </w:tc>
            </w:tr>
            <w:tr w14:paraId="60F6A95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tcBorders>
                    <w:tl2br w:val="nil"/>
                    <w:tr2bl w:val="nil"/>
                  </w:tcBorders>
                  <w:noWrap w:val="0"/>
                  <w:vAlign w:val="center"/>
                </w:tcPr>
                <w:p w14:paraId="5631AA48">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生产车间门外1mG5</w:t>
                  </w:r>
                </w:p>
              </w:tc>
              <w:tc>
                <w:tcPr>
                  <w:tcW w:w="1214" w:type="dxa"/>
                  <w:vMerge w:val="continue"/>
                  <w:tcBorders>
                    <w:tl2br w:val="nil"/>
                    <w:tr2bl w:val="nil"/>
                  </w:tcBorders>
                  <w:noWrap w:val="0"/>
                  <w:vAlign w:val="center"/>
                </w:tcPr>
                <w:p w14:paraId="4104CAC1">
                  <w:pPr>
                    <w:jc w:val="center"/>
                    <w:rPr>
                      <w:rFonts w:hint="default" w:ascii="Times New Roman" w:hAnsi="Times New Roman" w:eastAsia="仿宋" w:cs="Times New Roman"/>
                      <w:color w:val="auto"/>
                      <w:sz w:val="21"/>
                      <w:szCs w:val="21"/>
                      <w:highlight w:val="none"/>
                    </w:rPr>
                  </w:pPr>
                </w:p>
              </w:tc>
              <w:tc>
                <w:tcPr>
                  <w:tcW w:w="1159" w:type="dxa"/>
                  <w:vMerge w:val="continue"/>
                  <w:tcBorders>
                    <w:tl2br w:val="nil"/>
                    <w:tr2bl w:val="nil"/>
                  </w:tcBorders>
                  <w:noWrap w:val="0"/>
                  <w:vAlign w:val="center"/>
                </w:tcPr>
                <w:p w14:paraId="78A94E23">
                  <w:pPr>
                    <w:jc w:val="center"/>
                    <w:rPr>
                      <w:rFonts w:hint="default" w:ascii="Times New Roman" w:hAnsi="Times New Roman" w:eastAsia="仿宋" w:cs="Times New Roman"/>
                      <w:color w:val="auto"/>
                      <w:sz w:val="21"/>
                      <w:szCs w:val="21"/>
                      <w:highlight w:val="none"/>
                    </w:rPr>
                  </w:pPr>
                </w:p>
              </w:tc>
              <w:tc>
                <w:tcPr>
                  <w:tcW w:w="1091" w:type="dxa"/>
                  <w:tcBorders>
                    <w:tl2br w:val="nil"/>
                    <w:tr2bl w:val="nil"/>
                  </w:tcBorders>
                  <w:noWrap w:val="0"/>
                  <w:vAlign w:val="center"/>
                </w:tcPr>
                <w:p w14:paraId="32B6DCA5">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0.86</w:t>
                  </w:r>
                </w:p>
              </w:tc>
              <w:tc>
                <w:tcPr>
                  <w:tcW w:w="1009" w:type="dxa"/>
                  <w:tcBorders>
                    <w:tl2br w:val="nil"/>
                    <w:tr2bl w:val="nil"/>
                  </w:tcBorders>
                  <w:noWrap w:val="0"/>
                  <w:vAlign w:val="center"/>
                </w:tcPr>
                <w:p w14:paraId="3B956524">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0.84</w:t>
                  </w:r>
                </w:p>
              </w:tc>
              <w:tc>
                <w:tcPr>
                  <w:tcW w:w="914" w:type="dxa"/>
                  <w:tcBorders>
                    <w:tl2br w:val="nil"/>
                    <w:tr2bl w:val="nil"/>
                  </w:tcBorders>
                  <w:noWrap w:val="0"/>
                  <w:vAlign w:val="center"/>
                </w:tcPr>
                <w:p w14:paraId="7EF661A9">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0.85</w:t>
                  </w:r>
                </w:p>
              </w:tc>
              <w:tc>
                <w:tcPr>
                  <w:tcW w:w="1090" w:type="dxa"/>
                  <w:tcBorders>
                    <w:tl2br w:val="nil"/>
                    <w:tr2bl w:val="nil"/>
                  </w:tcBorders>
                  <w:noWrap w:val="0"/>
                  <w:vAlign w:val="center"/>
                </w:tcPr>
                <w:p w14:paraId="7CD87FF3">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6</w:t>
                  </w:r>
                </w:p>
              </w:tc>
              <w:tc>
                <w:tcPr>
                  <w:tcW w:w="638" w:type="dxa"/>
                  <w:tcBorders>
                    <w:tl2br w:val="nil"/>
                    <w:tr2bl w:val="nil"/>
                  </w:tcBorders>
                  <w:noWrap w:val="0"/>
                  <w:vAlign w:val="center"/>
                </w:tcPr>
                <w:p w14:paraId="5C2264C7">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达标</w:t>
                  </w:r>
                </w:p>
              </w:tc>
            </w:tr>
            <w:tr w14:paraId="45BC3E1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tcBorders>
                    <w:tl2br w:val="nil"/>
                    <w:tr2bl w:val="nil"/>
                  </w:tcBorders>
                  <w:noWrap w:val="0"/>
                  <w:vAlign w:val="center"/>
                </w:tcPr>
                <w:p w14:paraId="11B246A9">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上风向G1</w:t>
                  </w:r>
                </w:p>
              </w:tc>
              <w:tc>
                <w:tcPr>
                  <w:tcW w:w="1214" w:type="dxa"/>
                  <w:vMerge w:val="continue"/>
                  <w:tcBorders>
                    <w:tl2br w:val="nil"/>
                    <w:tr2bl w:val="nil"/>
                  </w:tcBorders>
                  <w:noWrap w:val="0"/>
                  <w:vAlign w:val="center"/>
                </w:tcPr>
                <w:p w14:paraId="6A120454">
                  <w:pPr>
                    <w:jc w:val="center"/>
                    <w:rPr>
                      <w:rFonts w:hint="default" w:ascii="Times New Roman" w:hAnsi="Times New Roman" w:eastAsia="仿宋" w:cs="Times New Roman"/>
                      <w:color w:val="auto"/>
                      <w:sz w:val="21"/>
                      <w:szCs w:val="21"/>
                      <w:highlight w:val="none"/>
                    </w:rPr>
                  </w:pPr>
                </w:p>
              </w:tc>
              <w:tc>
                <w:tcPr>
                  <w:tcW w:w="1159" w:type="dxa"/>
                  <w:vMerge w:val="restart"/>
                  <w:tcBorders>
                    <w:tl2br w:val="nil"/>
                    <w:tr2bl w:val="nil"/>
                  </w:tcBorders>
                  <w:noWrap w:val="0"/>
                  <w:vAlign w:val="center"/>
                </w:tcPr>
                <w:p w14:paraId="701F2521">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颗粒物</w:t>
                  </w: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color w:val="auto"/>
                      <w:sz w:val="21"/>
                      <w:szCs w:val="21"/>
                      <w:highlight w:val="none"/>
                      <w:lang w:val="en-US" w:eastAsia="zh-CN"/>
                    </w:rPr>
                    <w:t>m</w:t>
                  </w:r>
                  <w:r>
                    <w:rPr>
                      <w:rFonts w:hint="default" w:ascii="Times New Roman" w:hAnsi="Times New Roman" w:eastAsia="仿宋" w:cs="Times New Roman"/>
                      <w:color w:val="auto"/>
                      <w:sz w:val="21"/>
                      <w:szCs w:val="21"/>
                      <w:highlight w:val="none"/>
                    </w:rPr>
                    <w:t>g/m</w:t>
                  </w:r>
                  <w:r>
                    <w:rPr>
                      <w:rFonts w:hint="default" w:ascii="Times New Roman" w:hAnsi="Times New Roman" w:eastAsia="仿宋" w:cs="Times New Roman"/>
                      <w:color w:val="auto"/>
                      <w:sz w:val="21"/>
                      <w:szCs w:val="21"/>
                      <w:highlight w:val="none"/>
                      <w:vertAlign w:val="superscript"/>
                    </w:rPr>
                    <w:t>3</w:t>
                  </w:r>
                  <w:r>
                    <w:rPr>
                      <w:rFonts w:hint="default" w:ascii="Times New Roman" w:hAnsi="Times New Roman" w:eastAsia="仿宋" w:cs="Times New Roman"/>
                      <w:color w:val="auto"/>
                      <w:sz w:val="21"/>
                      <w:szCs w:val="21"/>
                      <w:highlight w:val="none"/>
                    </w:rPr>
                    <w:t>）</w:t>
                  </w:r>
                </w:p>
              </w:tc>
              <w:tc>
                <w:tcPr>
                  <w:tcW w:w="3014" w:type="dxa"/>
                  <w:gridSpan w:val="3"/>
                  <w:tcBorders>
                    <w:tl2br w:val="nil"/>
                    <w:tr2bl w:val="nil"/>
                  </w:tcBorders>
                  <w:noWrap w:val="0"/>
                  <w:vAlign w:val="center"/>
                </w:tcPr>
                <w:p w14:paraId="42DC0EF7">
                  <w:pPr>
                    <w:jc w:val="center"/>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0.187</w:t>
                  </w:r>
                </w:p>
              </w:tc>
              <w:tc>
                <w:tcPr>
                  <w:tcW w:w="1090" w:type="dxa"/>
                  <w:vMerge w:val="restart"/>
                  <w:tcBorders>
                    <w:tl2br w:val="nil"/>
                    <w:tr2bl w:val="nil"/>
                  </w:tcBorders>
                  <w:noWrap w:val="0"/>
                  <w:vAlign w:val="center"/>
                </w:tcPr>
                <w:p w14:paraId="42225ED1">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0.5</w:t>
                  </w:r>
                </w:p>
              </w:tc>
              <w:tc>
                <w:tcPr>
                  <w:tcW w:w="638" w:type="dxa"/>
                  <w:vMerge w:val="restart"/>
                  <w:tcBorders>
                    <w:tl2br w:val="nil"/>
                    <w:tr2bl w:val="nil"/>
                  </w:tcBorders>
                  <w:noWrap w:val="0"/>
                  <w:vAlign w:val="center"/>
                </w:tcPr>
                <w:p w14:paraId="0C715C6C">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w:t>
                  </w:r>
                </w:p>
              </w:tc>
            </w:tr>
            <w:tr w14:paraId="4721220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tcBorders>
                    <w:tl2br w:val="nil"/>
                    <w:tr2bl w:val="nil"/>
                  </w:tcBorders>
                  <w:noWrap w:val="0"/>
                  <w:vAlign w:val="center"/>
                </w:tcPr>
                <w:p w14:paraId="25E9C9E3">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下风向G2</w:t>
                  </w:r>
                </w:p>
              </w:tc>
              <w:tc>
                <w:tcPr>
                  <w:tcW w:w="1214" w:type="dxa"/>
                  <w:vMerge w:val="continue"/>
                  <w:tcBorders>
                    <w:tl2br w:val="nil"/>
                    <w:tr2bl w:val="nil"/>
                  </w:tcBorders>
                  <w:noWrap w:val="0"/>
                  <w:vAlign w:val="center"/>
                </w:tcPr>
                <w:p w14:paraId="113B8C14">
                  <w:pPr>
                    <w:jc w:val="center"/>
                    <w:rPr>
                      <w:rFonts w:hint="default" w:ascii="Times New Roman" w:hAnsi="Times New Roman" w:eastAsia="仿宋" w:cs="Times New Roman"/>
                      <w:color w:val="auto"/>
                      <w:sz w:val="21"/>
                      <w:szCs w:val="21"/>
                      <w:highlight w:val="none"/>
                    </w:rPr>
                  </w:pPr>
                </w:p>
              </w:tc>
              <w:tc>
                <w:tcPr>
                  <w:tcW w:w="1159" w:type="dxa"/>
                  <w:vMerge w:val="continue"/>
                  <w:tcBorders>
                    <w:tl2br w:val="nil"/>
                    <w:tr2bl w:val="nil"/>
                  </w:tcBorders>
                  <w:noWrap w:val="0"/>
                  <w:vAlign w:val="center"/>
                </w:tcPr>
                <w:p w14:paraId="04CDA5E9">
                  <w:pPr>
                    <w:jc w:val="center"/>
                    <w:rPr>
                      <w:rFonts w:hint="default" w:ascii="Times New Roman" w:hAnsi="Times New Roman" w:eastAsia="仿宋" w:cs="Times New Roman"/>
                      <w:color w:val="auto"/>
                      <w:sz w:val="21"/>
                      <w:szCs w:val="21"/>
                      <w:highlight w:val="none"/>
                    </w:rPr>
                  </w:pPr>
                </w:p>
              </w:tc>
              <w:tc>
                <w:tcPr>
                  <w:tcW w:w="3014" w:type="dxa"/>
                  <w:gridSpan w:val="3"/>
                  <w:tcBorders>
                    <w:tl2br w:val="nil"/>
                    <w:tr2bl w:val="nil"/>
                  </w:tcBorders>
                  <w:noWrap w:val="0"/>
                  <w:vAlign w:val="center"/>
                </w:tcPr>
                <w:p w14:paraId="0EBA9848">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0.220</w:t>
                  </w:r>
                </w:p>
              </w:tc>
              <w:tc>
                <w:tcPr>
                  <w:tcW w:w="1090" w:type="dxa"/>
                  <w:vMerge w:val="continue"/>
                  <w:tcBorders>
                    <w:tl2br w:val="nil"/>
                    <w:tr2bl w:val="nil"/>
                  </w:tcBorders>
                  <w:noWrap w:val="0"/>
                  <w:vAlign w:val="center"/>
                </w:tcPr>
                <w:p w14:paraId="3D1442AC">
                  <w:pPr>
                    <w:jc w:val="center"/>
                    <w:rPr>
                      <w:rFonts w:hint="default" w:ascii="Times New Roman" w:hAnsi="Times New Roman" w:eastAsia="仿宋" w:cs="Times New Roman"/>
                      <w:color w:val="auto"/>
                      <w:sz w:val="21"/>
                      <w:szCs w:val="21"/>
                      <w:highlight w:val="none"/>
                    </w:rPr>
                  </w:pPr>
                </w:p>
              </w:tc>
              <w:tc>
                <w:tcPr>
                  <w:tcW w:w="638" w:type="dxa"/>
                  <w:vMerge w:val="continue"/>
                  <w:tcBorders>
                    <w:tl2br w:val="nil"/>
                    <w:tr2bl w:val="nil"/>
                  </w:tcBorders>
                  <w:noWrap w:val="0"/>
                  <w:vAlign w:val="center"/>
                </w:tcPr>
                <w:p w14:paraId="78CA9ECA">
                  <w:pPr>
                    <w:jc w:val="center"/>
                    <w:rPr>
                      <w:rFonts w:hint="default" w:ascii="Times New Roman" w:hAnsi="Times New Roman" w:eastAsia="仿宋" w:cs="Times New Roman"/>
                      <w:color w:val="auto"/>
                      <w:sz w:val="21"/>
                      <w:szCs w:val="21"/>
                      <w:highlight w:val="none"/>
                    </w:rPr>
                  </w:pPr>
                </w:p>
              </w:tc>
            </w:tr>
            <w:tr w14:paraId="137ABE5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tcBorders>
                    <w:tl2br w:val="nil"/>
                    <w:tr2bl w:val="nil"/>
                  </w:tcBorders>
                  <w:noWrap w:val="0"/>
                  <w:vAlign w:val="center"/>
                </w:tcPr>
                <w:p w14:paraId="4CAEA08C">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下风向G3</w:t>
                  </w:r>
                </w:p>
              </w:tc>
              <w:tc>
                <w:tcPr>
                  <w:tcW w:w="1214" w:type="dxa"/>
                  <w:vMerge w:val="continue"/>
                  <w:tcBorders>
                    <w:tl2br w:val="nil"/>
                    <w:tr2bl w:val="nil"/>
                  </w:tcBorders>
                  <w:noWrap w:val="0"/>
                  <w:vAlign w:val="center"/>
                </w:tcPr>
                <w:p w14:paraId="6EE21B53">
                  <w:pPr>
                    <w:jc w:val="center"/>
                    <w:rPr>
                      <w:rFonts w:hint="default" w:ascii="Times New Roman" w:hAnsi="Times New Roman" w:eastAsia="仿宋" w:cs="Times New Roman"/>
                      <w:color w:val="auto"/>
                      <w:sz w:val="21"/>
                      <w:szCs w:val="21"/>
                      <w:highlight w:val="none"/>
                    </w:rPr>
                  </w:pPr>
                </w:p>
              </w:tc>
              <w:tc>
                <w:tcPr>
                  <w:tcW w:w="1159" w:type="dxa"/>
                  <w:vMerge w:val="continue"/>
                  <w:tcBorders>
                    <w:tl2br w:val="nil"/>
                    <w:tr2bl w:val="nil"/>
                  </w:tcBorders>
                  <w:noWrap w:val="0"/>
                  <w:vAlign w:val="center"/>
                </w:tcPr>
                <w:p w14:paraId="2CF4A318">
                  <w:pPr>
                    <w:jc w:val="center"/>
                    <w:rPr>
                      <w:rFonts w:hint="default" w:ascii="Times New Roman" w:hAnsi="Times New Roman" w:eastAsia="仿宋" w:cs="Times New Roman"/>
                      <w:color w:val="auto"/>
                      <w:sz w:val="21"/>
                      <w:szCs w:val="21"/>
                      <w:highlight w:val="none"/>
                    </w:rPr>
                  </w:pPr>
                </w:p>
              </w:tc>
              <w:tc>
                <w:tcPr>
                  <w:tcW w:w="3014" w:type="dxa"/>
                  <w:gridSpan w:val="3"/>
                  <w:tcBorders>
                    <w:tl2br w:val="nil"/>
                    <w:tr2bl w:val="nil"/>
                  </w:tcBorders>
                  <w:noWrap w:val="0"/>
                  <w:vAlign w:val="center"/>
                </w:tcPr>
                <w:p w14:paraId="4759A98B">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0.208</w:t>
                  </w:r>
                </w:p>
              </w:tc>
              <w:tc>
                <w:tcPr>
                  <w:tcW w:w="1090" w:type="dxa"/>
                  <w:vMerge w:val="continue"/>
                  <w:tcBorders>
                    <w:tl2br w:val="nil"/>
                    <w:tr2bl w:val="nil"/>
                  </w:tcBorders>
                  <w:noWrap w:val="0"/>
                  <w:vAlign w:val="center"/>
                </w:tcPr>
                <w:p w14:paraId="2EF43BD3">
                  <w:pPr>
                    <w:jc w:val="center"/>
                    <w:rPr>
                      <w:rFonts w:hint="default" w:ascii="Times New Roman" w:hAnsi="Times New Roman" w:eastAsia="仿宋" w:cs="Times New Roman"/>
                      <w:color w:val="auto"/>
                      <w:sz w:val="21"/>
                      <w:szCs w:val="21"/>
                      <w:highlight w:val="none"/>
                    </w:rPr>
                  </w:pPr>
                </w:p>
              </w:tc>
              <w:tc>
                <w:tcPr>
                  <w:tcW w:w="638" w:type="dxa"/>
                  <w:vMerge w:val="continue"/>
                  <w:tcBorders>
                    <w:tl2br w:val="nil"/>
                    <w:tr2bl w:val="nil"/>
                  </w:tcBorders>
                  <w:noWrap w:val="0"/>
                  <w:vAlign w:val="center"/>
                </w:tcPr>
                <w:p w14:paraId="02C41283">
                  <w:pPr>
                    <w:jc w:val="center"/>
                    <w:rPr>
                      <w:rFonts w:hint="default" w:ascii="Times New Roman" w:hAnsi="Times New Roman" w:eastAsia="仿宋" w:cs="Times New Roman"/>
                      <w:color w:val="auto"/>
                      <w:sz w:val="21"/>
                      <w:szCs w:val="21"/>
                      <w:highlight w:val="none"/>
                    </w:rPr>
                  </w:pPr>
                </w:p>
              </w:tc>
            </w:tr>
            <w:tr w14:paraId="146EB60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2" w:type="dxa"/>
                  <w:tcBorders>
                    <w:tl2br w:val="nil"/>
                    <w:tr2bl w:val="nil"/>
                  </w:tcBorders>
                  <w:noWrap w:val="0"/>
                  <w:vAlign w:val="center"/>
                </w:tcPr>
                <w:p w14:paraId="27E19F95">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下风向G4</w:t>
                  </w:r>
                </w:p>
              </w:tc>
              <w:tc>
                <w:tcPr>
                  <w:tcW w:w="1214" w:type="dxa"/>
                  <w:vMerge w:val="continue"/>
                  <w:tcBorders>
                    <w:tl2br w:val="nil"/>
                    <w:tr2bl w:val="nil"/>
                  </w:tcBorders>
                  <w:noWrap w:val="0"/>
                  <w:vAlign w:val="center"/>
                </w:tcPr>
                <w:p w14:paraId="1226BB63">
                  <w:pPr>
                    <w:jc w:val="center"/>
                    <w:rPr>
                      <w:rFonts w:hint="default" w:ascii="Times New Roman" w:hAnsi="Times New Roman" w:eastAsia="仿宋" w:cs="Times New Roman"/>
                      <w:color w:val="auto"/>
                      <w:sz w:val="21"/>
                      <w:szCs w:val="21"/>
                      <w:highlight w:val="none"/>
                    </w:rPr>
                  </w:pPr>
                </w:p>
              </w:tc>
              <w:tc>
                <w:tcPr>
                  <w:tcW w:w="1159" w:type="dxa"/>
                  <w:vMerge w:val="continue"/>
                  <w:tcBorders>
                    <w:tl2br w:val="nil"/>
                    <w:tr2bl w:val="nil"/>
                  </w:tcBorders>
                  <w:noWrap w:val="0"/>
                  <w:vAlign w:val="center"/>
                </w:tcPr>
                <w:p w14:paraId="55537264">
                  <w:pPr>
                    <w:jc w:val="center"/>
                    <w:rPr>
                      <w:rFonts w:hint="default" w:ascii="Times New Roman" w:hAnsi="Times New Roman" w:eastAsia="仿宋" w:cs="Times New Roman"/>
                      <w:color w:val="auto"/>
                      <w:sz w:val="21"/>
                      <w:szCs w:val="21"/>
                      <w:highlight w:val="none"/>
                    </w:rPr>
                  </w:pPr>
                </w:p>
              </w:tc>
              <w:tc>
                <w:tcPr>
                  <w:tcW w:w="3014" w:type="dxa"/>
                  <w:gridSpan w:val="3"/>
                  <w:tcBorders>
                    <w:tl2br w:val="nil"/>
                    <w:tr2bl w:val="nil"/>
                  </w:tcBorders>
                  <w:noWrap w:val="0"/>
                  <w:vAlign w:val="center"/>
                </w:tcPr>
                <w:p w14:paraId="046A5249">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0.303</w:t>
                  </w:r>
                </w:p>
              </w:tc>
              <w:tc>
                <w:tcPr>
                  <w:tcW w:w="1090" w:type="dxa"/>
                  <w:vMerge w:val="continue"/>
                  <w:tcBorders>
                    <w:tl2br w:val="nil"/>
                    <w:tr2bl w:val="nil"/>
                  </w:tcBorders>
                  <w:noWrap w:val="0"/>
                  <w:vAlign w:val="center"/>
                </w:tcPr>
                <w:p w14:paraId="635C74AD">
                  <w:pPr>
                    <w:jc w:val="center"/>
                    <w:rPr>
                      <w:rFonts w:hint="default" w:ascii="Times New Roman" w:hAnsi="Times New Roman" w:eastAsia="仿宋" w:cs="Times New Roman"/>
                      <w:color w:val="auto"/>
                      <w:sz w:val="21"/>
                      <w:szCs w:val="21"/>
                      <w:highlight w:val="none"/>
                    </w:rPr>
                  </w:pPr>
                </w:p>
              </w:tc>
              <w:tc>
                <w:tcPr>
                  <w:tcW w:w="638" w:type="dxa"/>
                  <w:vMerge w:val="continue"/>
                  <w:tcBorders>
                    <w:tl2br w:val="nil"/>
                    <w:tr2bl w:val="nil"/>
                  </w:tcBorders>
                  <w:noWrap w:val="0"/>
                  <w:vAlign w:val="center"/>
                </w:tcPr>
                <w:p w14:paraId="2776B433">
                  <w:pPr>
                    <w:jc w:val="center"/>
                    <w:rPr>
                      <w:rFonts w:hint="default" w:ascii="Times New Roman" w:hAnsi="Times New Roman" w:eastAsia="仿宋" w:cs="Times New Roman"/>
                      <w:color w:val="auto"/>
                      <w:sz w:val="21"/>
                      <w:szCs w:val="21"/>
                      <w:highlight w:val="none"/>
                    </w:rPr>
                  </w:pPr>
                </w:p>
              </w:tc>
            </w:tr>
            <w:tr w14:paraId="706C8DA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57" w:type="dxa"/>
                  <w:gridSpan w:val="8"/>
                  <w:tcBorders>
                    <w:tl2br w:val="nil"/>
                    <w:tr2bl w:val="nil"/>
                  </w:tcBorders>
                  <w:noWrap w:val="0"/>
                  <w:vAlign w:val="center"/>
                </w:tcPr>
                <w:p w14:paraId="13897584">
                  <w:pPr>
                    <w:jc w:val="left"/>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天气：</w:t>
                  </w:r>
                  <w:r>
                    <w:rPr>
                      <w:rFonts w:hint="eastAsia" w:eastAsia="仿宋" w:cs="Times New Roman"/>
                      <w:color w:val="auto"/>
                      <w:sz w:val="21"/>
                      <w:szCs w:val="21"/>
                      <w:highlight w:val="none"/>
                      <w:vertAlign w:val="baseline"/>
                      <w:lang w:val="en-US" w:eastAsia="zh-CN"/>
                    </w:rPr>
                    <w:t>阴</w:t>
                  </w:r>
                  <w:r>
                    <w:rPr>
                      <w:rFonts w:hint="default" w:ascii="Times New Roman" w:hAnsi="Times New Roman" w:eastAsia="仿宋" w:cs="Times New Roman"/>
                      <w:color w:val="auto"/>
                      <w:sz w:val="21"/>
                      <w:szCs w:val="21"/>
                      <w:highlight w:val="none"/>
                      <w:vertAlign w:val="baseline"/>
                      <w:lang w:val="en-US" w:eastAsia="zh-CN"/>
                    </w:rPr>
                    <w:t>，风向：</w:t>
                  </w:r>
                  <w:r>
                    <w:rPr>
                      <w:rFonts w:hint="eastAsia" w:eastAsia="仿宋" w:cs="Times New Roman"/>
                      <w:color w:val="auto"/>
                      <w:sz w:val="21"/>
                      <w:szCs w:val="21"/>
                      <w:highlight w:val="none"/>
                      <w:vertAlign w:val="baseline"/>
                      <w:lang w:val="en-US" w:eastAsia="zh-CN"/>
                    </w:rPr>
                    <w:t>东</w:t>
                  </w:r>
                  <w:r>
                    <w:rPr>
                      <w:rFonts w:hint="default" w:ascii="Times New Roman" w:hAnsi="Times New Roman" w:eastAsia="仿宋" w:cs="Times New Roman"/>
                      <w:color w:val="auto"/>
                      <w:sz w:val="21"/>
                      <w:szCs w:val="21"/>
                      <w:highlight w:val="none"/>
                      <w:vertAlign w:val="baseline"/>
                      <w:lang w:val="en-US" w:eastAsia="zh-CN"/>
                    </w:rPr>
                    <w:t>风，风速：</w:t>
                  </w:r>
                  <w:r>
                    <w:rPr>
                      <w:rFonts w:hint="eastAsia" w:eastAsia="仿宋" w:cs="Times New Roman"/>
                      <w:color w:val="auto"/>
                      <w:sz w:val="21"/>
                      <w:szCs w:val="21"/>
                      <w:highlight w:val="none"/>
                      <w:vertAlign w:val="baseline"/>
                      <w:lang w:val="en-US" w:eastAsia="zh-CN"/>
                    </w:rPr>
                    <w:t>2.5</w:t>
                  </w:r>
                  <w:r>
                    <w:rPr>
                      <w:rFonts w:hint="default" w:ascii="Times New Roman" w:hAnsi="Times New Roman" w:eastAsia="仿宋" w:cs="Times New Roman"/>
                      <w:color w:val="auto"/>
                      <w:sz w:val="21"/>
                      <w:szCs w:val="21"/>
                      <w:highlight w:val="none"/>
                      <w:vertAlign w:val="baseline"/>
                      <w:lang w:val="en-US" w:eastAsia="zh-CN"/>
                    </w:rPr>
                    <w:t>m/s。</w:t>
                  </w:r>
                </w:p>
              </w:tc>
            </w:tr>
            <w:tr w14:paraId="0356E61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57" w:type="dxa"/>
                  <w:gridSpan w:val="8"/>
                  <w:tcBorders>
                    <w:tl2br w:val="nil"/>
                    <w:tr2bl w:val="nil"/>
                  </w:tcBorders>
                  <w:noWrap w:val="0"/>
                  <w:vAlign w:val="center"/>
                </w:tcPr>
                <w:p w14:paraId="37B0029E">
                  <w:pPr>
                    <w:jc w:val="both"/>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注：</w:t>
                  </w:r>
                  <w:r>
                    <w:rPr>
                      <w:rFonts w:hint="default" w:ascii="Times New Roman" w:hAnsi="Times New Roman" w:eastAsia="仿宋" w:cs="Times New Roman"/>
                      <w:color w:val="auto"/>
                      <w:sz w:val="21"/>
                      <w:szCs w:val="21"/>
                      <w:highlight w:val="none"/>
                    </w:rPr>
                    <w:t>厂界无组织废气中非甲烷总烃、颗粒物</w:t>
                  </w:r>
                  <w:r>
                    <w:rPr>
                      <w:rFonts w:hint="default" w:ascii="Times New Roman" w:hAnsi="Times New Roman" w:eastAsia="仿宋" w:cs="Times New Roman"/>
                      <w:color w:val="auto"/>
                      <w:sz w:val="21"/>
                      <w:szCs w:val="21"/>
                      <w:highlight w:val="none"/>
                      <w:lang w:val="en-US" w:eastAsia="zh-CN"/>
                    </w:rPr>
                    <w:t>监测浓度满足</w:t>
                  </w:r>
                  <w:r>
                    <w:rPr>
                      <w:rFonts w:hint="default" w:ascii="Times New Roman" w:hAnsi="Times New Roman" w:eastAsia="仿宋" w:cs="Times New Roman"/>
                      <w:color w:val="auto"/>
                      <w:sz w:val="21"/>
                      <w:szCs w:val="21"/>
                      <w:highlight w:val="none"/>
                    </w:rPr>
                    <w:t>《大气污染物综合排放标准》</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DB</w:t>
                  </w:r>
                  <w:r>
                    <w:rPr>
                      <w:rFonts w:hint="default" w:ascii="Times New Roman" w:hAnsi="Times New Roman"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rPr>
                    <w:t>32/4041-2021</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表3限值</w:t>
                  </w:r>
                  <w:r>
                    <w:rPr>
                      <w:rFonts w:hint="default" w:ascii="Times New Roman" w:hAnsi="Times New Roman" w:eastAsia="仿宋" w:cs="Times New Roman"/>
                      <w:color w:val="auto"/>
                      <w:sz w:val="21"/>
                      <w:szCs w:val="21"/>
                      <w:highlight w:val="none"/>
                      <w:lang w:val="en-US" w:eastAsia="zh-CN"/>
                    </w:rPr>
                    <w:t>要求；厂区内非甲烷总烃满足</w:t>
                  </w:r>
                  <w:r>
                    <w:rPr>
                      <w:rFonts w:hint="default" w:ascii="Times New Roman" w:hAnsi="Times New Roman" w:eastAsia="仿宋" w:cs="Times New Roman"/>
                      <w:color w:val="auto"/>
                      <w:sz w:val="21"/>
                      <w:szCs w:val="21"/>
                      <w:highlight w:val="none"/>
                    </w:rPr>
                    <w:t>《挥发性有机物无组织排放控制标准》</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GB</w:t>
                  </w:r>
                  <w:r>
                    <w:rPr>
                      <w:rFonts w:hint="default" w:ascii="Times New Roman" w:hAnsi="Times New Roman"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rPr>
                    <w:t>37822-2019</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附录A表A.1限值</w:t>
                  </w:r>
                  <w:r>
                    <w:rPr>
                      <w:rFonts w:hint="default" w:ascii="Times New Roman" w:hAnsi="Times New Roman" w:eastAsia="仿宋" w:cs="Times New Roman"/>
                      <w:color w:val="auto"/>
                      <w:sz w:val="21"/>
                      <w:szCs w:val="21"/>
                      <w:highlight w:val="none"/>
                      <w:lang w:val="en-US" w:eastAsia="zh-CN"/>
                    </w:rPr>
                    <w:t>要求</w:t>
                  </w:r>
                  <w:r>
                    <w:rPr>
                      <w:rFonts w:hint="default" w:ascii="Times New Roman" w:hAnsi="Times New Roman" w:eastAsia="仿宋" w:cs="Times New Roman"/>
                      <w:color w:val="auto"/>
                      <w:sz w:val="21"/>
                      <w:szCs w:val="21"/>
                      <w:highlight w:val="none"/>
                    </w:rPr>
                    <w:t>。</w:t>
                  </w:r>
                </w:p>
              </w:tc>
            </w:tr>
          </w:tbl>
          <w:p w14:paraId="22014171">
            <w:pPr>
              <w:keepNext w:val="0"/>
              <w:keepLines w:val="0"/>
              <w:numPr>
                <w:ilvl w:val="0"/>
                <w:numId w:val="0"/>
              </w:numPr>
              <w:suppressLineNumbers w:val="0"/>
              <w:spacing w:before="0" w:beforeAutospacing="0" w:after="0" w:afterAutospacing="0" w:line="360" w:lineRule="auto"/>
              <w:ind w:right="0" w:rightChars="0" w:firstLine="480" w:firstLineChars="200"/>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w:t>
            </w:r>
            <w:r>
              <w:rPr>
                <w:rFonts w:hint="eastAsia" w:eastAsia="宋体"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）噪声</w:t>
            </w:r>
          </w:p>
          <w:p w14:paraId="709360A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olor w:val="auto"/>
                <w:sz w:val="24"/>
                <w:szCs w:val="24"/>
                <w:highlight w:val="none"/>
                <w:lang w:val="en-US" w:eastAsia="zh-Hans"/>
              </w:rPr>
            </w:pPr>
            <w:r>
              <w:rPr>
                <w:rFonts w:hint="eastAsia"/>
                <w:color w:val="auto"/>
                <w:sz w:val="24"/>
                <w:highlight w:val="none"/>
                <w:lang w:eastAsia="zh-Hans"/>
              </w:rPr>
              <w:t>现有项目均正常运行，本次引用</w:t>
            </w:r>
            <w:r>
              <w:rPr>
                <w:rFonts w:hint="eastAsia"/>
                <w:color w:val="auto"/>
                <w:sz w:val="24"/>
                <w:highlight w:val="none"/>
                <w:lang w:val="en-US" w:eastAsia="zh-CN"/>
              </w:rPr>
              <w:t>例行监测</w:t>
            </w:r>
            <w:r>
              <w:rPr>
                <w:rFonts w:hint="eastAsia"/>
                <w:color w:val="auto"/>
                <w:sz w:val="24"/>
                <w:highlight w:val="none"/>
                <w:lang w:eastAsia="zh-Hans"/>
              </w:rPr>
              <w:t>中相关数据（JSDHC2603078），具体数据如下</w:t>
            </w:r>
            <w:r>
              <w:rPr>
                <w:rFonts w:hint="eastAsia" w:ascii="Times New Roman" w:hAnsi="Times New Roman" w:eastAsia="宋体"/>
                <w:color w:val="auto"/>
                <w:sz w:val="24"/>
                <w:szCs w:val="24"/>
                <w:highlight w:val="none"/>
                <w:lang w:val="en-US" w:eastAsia="zh-Hans"/>
              </w:rPr>
              <w:t>。</w:t>
            </w:r>
          </w:p>
          <w:p w14:paraId="0EFC78B9">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eastAsia" w:ascii="Times New Roman" w:hAnsi="Times New Roman" w:eastAsia="宋体" w:cs="Times New Roman"/>
                <w:b/>
                <w:bCs/>
                <w:color w:val="auto"/>
                <w:kern w:val="2"/>
                <w:sz w:val="24"/>
                <w:szCs w:val="24"/>
                <w:highlight w:val="none"/>
                <w:lang w:val="en-US" w:eastAsia="zh-CN" w:bidi="ar"/>
              </w:rPr>
              <w:t>现有项目噪声检测结果一览表</w:t>
            </w:r>
          </w:p>
          <w:tbl>
            <w:tblPr>
              <w:tblStyle w:val="22"/>
              <w:tblW w:w="4996"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1094"/>
              <w:gridCol w:w="1571"/>
              <w:gridCol w:w="986"/>
              <w:gridCol w:w="851"/>
              <w:gridCol w:w="724"/>
              <w:gridCol w:w="959"/>
              <w:gridCol w:w="888"/>
              <w:gridCol w:w="822"/>
            </w:tblGrid>
            <w:tr w14:paraId="447120A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pct"/>
                  <w:vMerge w:val="restart"/>
                  <w:tcBorders>
                    <w:tl2br w:val="nil"/>
                    <w:tr2bl w:val="nil"/>
                  </w:tcBorders>
                  <w:noWrap w:val="0"/>
                  <w:vAlign w:val="center"/>
                </w:tcPr>
                <w:p w14:paraId="79AEB796">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r>
                    <w:rPr>
                      <w:rFonts w:hint="default" w:ascii="Times New Roman" w:hAnsi="Times New Roman" w:eastAsia="仿宋" w:cs="Times New Roman"/>
                      <w:b/>
                      <w:bCs/>
                      <w:color w:val="auto"/>
                      <w:sz w:val="21"/>
                      <w:szCs w:val="21"/>
                      <w:highlight w:val="none"/>
                      <w:u w:val="none" w:color="000000"/>
                    </w:rPr>
                    <w:t>日期</w:t>
                  </w:r>
                </w:p>
              </w:tc>
              <w:tc>
                <w:tcPr>
                  <w:tcW w:w="591" w:type="pct"/>
                  <w:vMerge w:val="restart"/>
                  <w:tcBorders>
                    <w:tl2br w:val="nil"/>
                    <w:tr2bl w:val="nil"/>
                  </w:tcBorders>
                  <w:noWrap w:val="0"/>
                  <w:vAlign w:val="center"/>
                </w:tcPr>
                <w:p w14:paraId="488E86BE">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r>
                    <w:rPr>
                      <w:rFonts w:hint="default" w:ascii="Times New Roman" w:hAnsi="Times New Roman" w:eastAsia="仿宋" w:cs="Times New Roman"/>
                      <w:b/>
                      <w:bCs/>
                      <w:color w:val="auto"/>
                      <w:sz w:val="21"/>
                      <w:szCs w:val="21"/>
                      <w:highlight w:val="none"/>
                      <w:u w:val="none" w:color="000000"/>
                    </w:rPr>
                    <w:t>测点编号</w:t>
                  </w:r>
                </w:p>
              </w:tc>
              <w:tc>
                <w:tcPr>
                  <w:tcW w:w="849" w:type="pct"/>
                  <w:vMerge w:val="restart"/>
                  <w:tcBorders>
                    <w:tl2br w:val="nil"/>
                    <w:tr2bl w:val="nil"/>
                  </w:tcBorders>
                  <w:noWrap w:val="0"/>
                  <w:vAlign w:val="center"/>
                </w:tcPr>
                <w:p w14:paraId="0E20B9DE">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r>
                    <w:rPr>
                      <w:rFonts w:hint="default" w:ascii="Times New Roman" w:hAnsi="Times New Roman" w:eastAsia="仿宋" w:cs="Times New Roman"/>
                      <w:b/>
                      <w:bCs/>
                      <w:color w:val="auto"/>
                      <w:sz w:val="21"/>
                      <w:szCs w:val="21"/>
                      <w:highlight w:val="none"/>
                      <w:u w:val="none" w:color="000000"/>
                    </w:rPr>
                    <w:t>测点位置</w:t>
                  </w:r>
                </w:p>
              </w:tc>
              <w:tc>
                <w:tcPr>
                  <w:tcW w:w="2824" w:type="pct"/>
                  <w:gridSpan w:val="6"/>
                  <w:tcBorders>
                    <w:tl2br w:val="nil"/>
                    <w:tr2bl w:val="nil"/>
                  </w:tcBorders>
                  <w:noWrap w:val="0"/>
                  <w:vAlign w:val="center"/>
                </w:tcPr>
                <w:p w14:paraId="26B7C7C3">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r>
                    <w:rPr>
                      <w:rFonts w:hint="default" w:ascii="Times New Roman" w:hAnsi="Times New Roman" w:eastAsia="仿宋" w:cs="Times New Roman"/>
                      <w:b/>
                      <w:bCs/>
                      <w:color w:val="auto"/>
                      <w:sz w:val="21"/>
                      <w:szCs w:val="21"/>
                      <w:highlight w:val="none"/>
                      <w:u w:val="none" w:color="000000"/>
                    </w:rPr>
                    <w:t>厂界噪声dB（A）</w:t>
                  </w:r>
                </w:p>
              </w:tc>
            </w:tr>
            <w:tr w14:paraId="3F3F220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pct"/>
                  <w:vMerge w:val="continue"/>
                  <w:tcBorders>
                    <w:tl2br w:val="nil"/>
                    <w:tr2bl w:val="nil"/>
                  </w:tcBorders>
                  <w:noWrap w:val="0"/>
                  <w:vAlign w:val="center"/>
                </w:tcPr>
                <w:p w14:paraId="526E1CEA">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rPr>
                  </w:pPr>
                </w:p>
              </w:tc>
              <w:tc>
                <w:tcPr>
                  <w:tcW w:w="591" w:type="pct"/>
                  <w:vMerge w:val="continue"/>
                  <w:tcBorders>
                    <w:tl2br w:val="nil"/>
                    <w:tr2bl w:val="nil"/>
                  </w:tcBorders>
                  <w:noWrap w:val="0"/>
                  <w:vAlign w:val="center"/>
                </w:tcPr>
                <w:p w14:paraId="5C6FCB60">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rPr>
                  </w:pPr>
                </w:p>
              </w:tc>
              <w:tc>
                <w:tcPr>
                  <w:tcW w:w="849" w:type="pct"/>
                  <w:vMerge w:val="continue"/>
                  <w:tcBorders>
                    <w:tl2br w:val="nil"/>
                    <w:tr2bl w:val="nil"/>
                  </w:tcBorders>
                  <w:noWrap w:val="0"/>
                  <w:vAlign w:val="center"/>
                </w:tcPr>
                <w:p w14:paraId="7F472F5A">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rPr>
                  </w:pPr>
                </w:p>
              </w:tc>
              <w:tc>
                <w:tcPr>
                  <w:tcW w:w="1384" w:type="pct"/>
                  <w:gridSpan w:val="3"/>
                  <w:tcBorders>
                    <w:tl2br w:val="nil"/>
                    <w:tr2bl w:val="nil"/>
                  </w:tcBorders>
                  <w:noWrap w:val="0"/>
                  <w:vAlign w:val="center"/>
                </w:tcPr>
                <w:p w14:paraId="55217F27">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r>
                    <w:rPr>
                      <w:rFonts w:hint="default" w:ascii="Times New Roman" w:hAnsi="Times New Roman" w:eastAsia="仿宋" w:cs="Times New Roman"/>
                      <w:b/>
                      <w:bCs/>
                      <w:color w:val="auto"/>
                      <w:sz w:val="21"/>
                      <w:szCs w:val="21"/>
                      <w:highlight w:val="none"/>
                      <w:u w:val="none" w:color="000000"/>
                    </w:rPr>
                    <w:t>昼间</w:t>
                  </w:r>
                </w:p>
              </w:tc>
              <w:tc>
                <w:tcPr>
                  <w:tcW w:w="1440" w:type="pct"/>
                  <w:gridSpan w:val="3"/>
                  <w:tcBorders>
                    <w:tl2br w:val="nil"/>
                    <w:tr2bl w:val="nil"/>
                  </w:tcBorders>
                  <w:noWrap w:val="0"/>
                  <w:vAlign w:val="center"/>
                </w:tcPr>
                <w:p w14:paraId="7560E0EE">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lang w:val="en-US" w:eastAsia="zh-CN"/>
                    </w:rPr>
                  </w:pPr>
                  <w:r>
                    <w:rPr>
                      <w:rFonts w:hint="default" w:ascii="Times New Roman" w:hAnsi="Times New Roman" w:eastAsia="仿宋" w:cs="Times New Roman"/>
                      <w:b/>
                      <w:bCs/>
                      <w:color w:val="auto"/>
                      <w:sz w:val="21"/>
                      <w:szCs w:val="21"/>
                      <w:highlight w:val="none"/>
                      <w:u w:val="none" w:color="000000"/>
                      <w:lang w:val="en-US" w:eastAsia="zh-CN"/>
                    </w:rPr>
                    <w:t>夜间</w:t>
                  </w:r>
                </w:p>
              </w:tc>
            </w:tr>
            <w:tr w14:paraId="05920D7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pct"/>
                  <w:vMerge w:val="continue"/>
                  <w:tcBorders>
                    <w:tl2br w:val="nil"/>
                    <w:tr2bl w:val="nil"/>
                  </w:tcBorders>
                  <w:noWrap w:val="0"/>
                  <w:vAlign w:val="center"/>
                </w:tcPr>
                <w:p w14:paraId="52C8BB10">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p>
              </w:tc>
              <w:tc>
                <w:tcPr>
                  <w:tcW w:w="591" w:type="pct"/>
                  <w:vMerge w:val="continue"/>
                  <w:tcBorders>
                    <w:tl2br w:val="nil"/>
                    <w:tr2bl w:val="nil"/>
                  </w:tcBorders>
                  <w:noWrap w:val="0"/>
                  <w:vAlign w:val="center"/>
                </w:tcPr>
                <w:p w14:paraId="59BD3BE6">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p>
              </w:tc>
              <w:tc>
                <w:tcPr>
                  <w:tcW w:w="849" w:type="pct"/>
                  <w:vMerge w:val="continue"/>
                  <w:tcBorders>
                    <w:tl2br w:val="nil"/>
                    <w:tr2bl w:val="nil"/>
                  </w:tcBorders>
                  <w:noWrap w:val="0"/>
                  <w:vAlign w:val="center"/>
                </w:tcPr>
                <w:p w14:paraId="211869A0">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p>
              </w:tc>
              <w:tc>
                <w:tcPr>
                  <w:tcW w:w="533" w:type="pct"/>
                  <w:tcBorders>
                    <w:tl2br w:val="nil"/>
                    <w:tr2bl w:val="nil"/>
                  </w:tcBorders>
                  <w:noWrap w:val="0"/>
                  <w:vAlign w:val="center"/>
                </w:tcPr>
                <w:p w14:paraId="30D807BF">
                  <w:pPr>
                    <w:pStyle w:val="45"/>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r>
                    <w:rPr>
                      <w:rFonts w:hint="default" w:ascii="Times New Roman" w:hAnsi="Times New Roman" w:eastAsia="仿宋" w:cs="Times New Roman"/>
                      <w:b/>
                      <w:bCs/>
                      <w:color w:val="auto"/>
                      <w:sz w:val="21"/>
                      <w:szCs w:val="21"/>
                      <w:highlight w:val="none"/>
                      <w:u w:val="none" w:color="000000"/>
                    </w:rPr>
                    <w:t>监测值</w:t>
                  </w:r>
                </w:p>
              </w:tc>
              <w:tc>
                <w:tcPr>
                  <w:tcW w:w="460" w:type="pct"/>
                  <w:tcBorders>
                    <w:tl2br w:val="nil"/>
                    <w:tr2bl w:val="nil"/>
                  </w:tcBorders>
                  <w:noWrap w:val="0"/>
                  <w:vAlign w:val="center"/>
                </w:tcPr>
                <w:p w14:paraId="2E9D76E3">
                  <w:pPr>
                    <w:pStyle w:val="45"/>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lang w:val="en-US" w:eastAsia="zh-CN"/>
                    </w:rPr>
                  </w:pPr>
                  <w:r>
                    <w:rPr>
                      <w:rFonts w:hint="default" w:ascii="Times New Roman" w:hAnsi="Times New Roman" w:eastAsia="仿宋" w:cs="Times New Roman"/>
                      <w:b/>
                      <w:bCs/>
                      <w:color w:val="auto"/>
                      <w:sz w:val="21"/>
                      <w:szCs w:val="21"/>
                      <w:highlight w:val="none"/>
                      <w:u w:val="none" w:color="000000"/>
                      <w:lang w:val="en-US" w:eastAsia="zh-CN"/>
                    </w:rPr>
                    <w:t>标准值</w:t>
                  </w:r>
                </w:p>
              </w:tc>
              <w:tc>
                <w:tcPr>
                  <w:tcW w:w="390" w:type="pct"/>
                  <w:tcBorders>
                    <w:tl2br w:val="nil"/>
                    <w:tr2bl w:val="nil"/>
                  </w:tcBorders>
                  <w:noWrap w:val="0"/>
                  <w:vAlign w:val="center"/>
                </w:tcPr>
                <w:p w14:paraId="4496E452">
                  <w:pPr>
                    <w:pStyle w:val="45"/>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lang w:val="en-US" w:eastAsia="zh-CN"/>
                    </w:rPr>
                  </w:pPr>
                  <w:r>
                    <w:rPr>
                      <w:rFonts w:hint="default" w:ascii="Times New Roman" w:hAnsi="Times New Roman" w:eastAsia="仿宋" w:cs="Times New Roman"/>
                      <w:b/>
                      <w:bCs/>
                      <w:color w:val="auto"/>
                      <w:sz w:val="21"/>
                      <w:szCs w:val="21"/>
                      <w:highlight w:val="none"/>
                      <w:u w:val="none" w:color="000000"/>
                      <w:lang w:val="en-US" w:eastAsia="zh-CN"/>
                    </w:rPr>
                    <w:t>判定</w:t>
                  </w:r>
                </w:p>
              </w:tc>
              <w:tc>
                <w:tcPr>
                  <w:tcW w:w="518" w:type="pct"/>
                  <w:tcBorders>
                    <w:tl2br w:val="nil"/>
                    <w:tr2bl w:val="nil"/>
                  </w:tcBorders>
                  <w:shd w:val="clear" w:color="auto" w:fill="auto"/>
                  <w:noWrap w:val="0"/>
                  <w:vAlign w:val="center"/>
                </w:tcPr>
                <w:p w14:paraId="6B21A688">
                  <w:pPr>
                    <w:pStyle w:val="45"/>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textAlignment w:val="auto"/>
                    <w:rPr>
                      <w:rFonts w:hint="default" w:ascii="Times New Roman" w:hAnsi="Times New Roman" w:eastAsia="仿宋" w:cs="Times New Roman"/>
                      <w:b/>
                      <w:bCs/>
                      <w:color w:val="auto"/>
                      <w:kern w:val="2"/>
                      <w:sz w:val="21"/>
                      <w:szCs w:val="21"/>
                      <w:highlight w:val="none"/>
                      <w:u w:val="none" w:color="000000"/>
                      <w:lang w:val="en-US" w:eastAsia="zh-CN" w:bidi="ar-SA"/>
                    </w:rPr>
                  </w:pPr>
                  <w:r>
                    <w:rPr>
                      <w:rFonts w:hint="default" w:ascii="Times New Roman" w:hAnsi="Times New Roman" w:eastAsia="仿宋" w:cs="Times New Roman"/>
                      <w:b/>
                      <w:bCs/>
                      <w:color w:val="auto"/>
                      <w:sz w:val="21"/>
                      <w:szCs w:val="21"/>
                      <w:highlight w:val="none"/>
                      <w:u w:val="none" w:color="000000"/>
                    </w:rPr>
                    <w:t>监测值</w:t>
                  </w:r>
                </w:p>
              </w:tc>
              <w:tc>
                <w:tcPr>
                  <w:tcW w:w="480" w:type="pct"/>
                  <w:tcBorders>
                    <w:tl2br w:val="nil"/>
                    <w:tr2bl w:val="nil"/>
                  </w:tcBorders>
                  <w:noWrap w:val="0"/>
                  <w:vAlign w:val="center"/>
                </w:tcPr>
                <w:p w14:paraId="633D6DEC">
                  <w:pPr>
                    <w:pStyle w:val="45"/>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r>
                    <w:rPr>
                      <w:rFonts w:hint="default" w:ascii="Times New Roman" w:hAnsi="Times New Roman" w:eastAsia="仿宋" w:cs="Times New Roman"/>
                      <w:b/>
                      <w:bCs/>
                      <w:color w:val="auto"/>
                      <w:sz w:val="21"/>
                      <w:szCs w:val="21"/>
                      <w:highlight w:val="none"/>
                      <w:u w:val="none" w:color="000000"/>
                    </w:rPr>
                    <w:t>标准值</w:t>
                  </w:r>
                </w:p>
              </w:tc>
              <w:tc>
                <w:tcPr>
                  <w:tcW w:w="441" w:type="pct"/>
                  <w:tcBorders>
                    <w:tl2br w:val="nil"/>
                    <w:tr2bl w:val="nil"/>
                  </w:tcBorders>
                  <w:noWrap w:val="0"/>
                  <w:vAlign w:val="center"/>
                </w:tcPr>
                <w:p w14:paraId="2C2077FD">
                  <w:pPr>
                    <w:pStyle w:val="45"/>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textAlignment w:val="auto"/>
                    <w:rPr>
                      <w:rFonts w:hint="default" w:ascii="Times New Roman" w:hAnsi="Times New Roman" w:eastAsia="仿宋" w:cs="Times New Roman"/>
                      <w:b/>
                      <w:bCs/>
                      <w:color w:val="auto"/>
                      <w:sz w:val="21"/>
                      <w:szCs w:val="21"/>
                      <w:highlight w:val="none"/>
                      <w:u w:val="none" w:color="000000"/>
                    </w:rPr>
                  </w:pPr>
                  <w:r>
                    <w:rPr>
                      <w:rFonts w:hint="default" w:ascii="Times New Roman" w:hAnsi="Times New Roman" w:eastAsia="仿宋" w:cs="Times New Roman"/>
                      <w:b/>
                      <w:bCs/>
                      <w:color w:val="auto"/>
                      <w:sz w:val="21"/>
                      <w:szCs w:val="21"/>
                      <w:highlight w:val="none"/>
                      <w:u w:val="none" w:color="000000"/>
                    </w:rPr>
                    <w:t>判定</w:t>
                  </w:r>
                </w:p>
              </w:tc>
            </w:tr>
            <w:tr w14:paraId="685A9AB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pct"/>
                  <w:vMerge w:val="restart"/>
                  <w:tcBorders>
                    <w:tl2br w:val="nil"/>
                    <w:tr2bl w:val="nil"/>
                  </w:tcBorders>
                  <w:noWrap w:val="0"/>
                  <w:vAlign w:val="center"/>
                </w:tcPr>
                <w:p w14:paraId="0C54A83B">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default" w:ascii="Times New Roman" w:hAnsi="Times New Roman" w:eastAsia="仿宋" w:cs="Times New Roman"/>
                      <w:color w:val="auto"/>
                      <w:sz w:val="21"/>
                      <w:szCs w:val="21"/>
                      <w:highlight w:val="none"/>
                      <w:lang w:val="en-US" w:eastAsia="zh-CN"/>
                    </w:rPr>
                    <w:t>202</w:t>
                  </w:r>
                  <w:r>
                    <w:rPr>
                      <w:rFonts w:hint="eastAsia" w:eastAsia="仿宋" w:cs="Times New Roman"/>
                      <w:color w:val="auto"/>
                      <w:sz w:val="21"/>
                      <w:szCs w:val="21"/>
                      <w:highlight w:val="none"/>
                      <w:lang w:val="en-US" w:eastAsia="zh-CN"/>
                    </w:rPr>
                    <w:t>6.03.16</w:t>
                  </w:r>
                </w:p>
              </w:tc>
              <w:tc>
                <w:tcPr>
                  <w:tcW w:w="591" w:type="pct"/>
                  <w:tcBorders>
                    <w:tl2br w:val="nil"/>
                    <w:tr2bl w:val="nil"/>
                  </w:tcBorders>
                  <w:noWrap w:val="0"/>
                  <w:vAlign w:val="center"/>
                </w:tcPr>
                <w:p w14:paraId="5CD38309">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rPr>
                    <w:t>N1</w:t>
                  </w:r>
                </w:p>
              </w:tc>
              <w:tc>
                <w:tcPr>
                  <w:tcW w:w="849" w:type="pct"/>
                  <w:tcBorders>
                    <w:tl2br w:val="nil"/>
                    <w:tr2bl w:val="nil"/>
                  </w:tcBorders>
                  <w:noWrap w:val="0"/>
                  <w:vAlign w:val="center"/>
                </w:tcPr>
                <w:p w14:paraId="747FEB5B">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rPr>
                    <w:t>东厂界外1m</w:t>
                  </w:r>
                </w:p>
              </w:tc>
              <w:tc>
                <w:tcPr>
                  <w:tcW w:w="533" w:type="pct"/>
                  <w:tcBorders>
                    <w:tl2br w:val="nil"/>
                    <w:tr2bl w:val="nil"/>
                  </w:tcBorders>
                  <w:noWrap w:val="0"/>
                  <w:vAlign w:val="center"/>
                </w:tcPr>
                <w:p w14:paraId="50ED103C">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eastAsia" w:eastAsia="仿宋" w:cs="Times New Roman"/>
                      <w:color w:val="auto"/>
                      <w:sz w:val="21"/>
                      <w:szCs w:val="21"/>
                      <w:highlight w:val="none"/>
                      <w:u w:val="none" w:color="000000"/>
                      <w:lang w:val="en-US" w:eastAsia="zh-CN"/>
                    </w:rPr>
                    <w:t>57.6</w:t>
                  </w:r>
                </w:p>
              </w:tc>
              <w:tc>
                <w:tcPr>
                  <w:tcW w:w="460" w:type="pct"/>
                  <w:vMerge w:val="restart"/>
                  <w:tcBorders>
                    <w:tl2br w:val="nil"/>
                    <w:tr2bl w:val="nil"/>
                  </w:tcBorders>
                  <w:noWrap w:val="0"/>
                  <w:vAlign w:val="center"/>
                </w:tcPr>
                <w:p w14:paraId="225B004E">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default" w:ascii="Times New Roman" w:hAnsi="Times New Roman" w:eastAsia="仿宋" w:cs="Times New Roman"/>
                      <w:color w:val="auto"/>
                      <w:sz w:val="21"/>
                      <w:szCs w:val="21"/>
                      <w:highlight w:val="none"/>
                      <w:u w:val="none" w:color="000000"/>
                      <w:lang w:val="en-US" w:eastAsia="zh-CN"/>
                    </w:rPr>
                    <w:t>≤</w:t>
                  </w:r>
                  <w:r>
                    <w:rPr>
                      <w:rFonts w:hint="default" w:ascii="Times New Roman" w:hAnsi="Times New Roman" w:eastAsia="仿宋" w:cs="Times New Roman"/>
                      <w:color w:val="auto"/>
                      <w:sz w:val="21"/>
                      <w:szCs w:val="21"/>
                      <w:highlight w:val="none"/>
                      <w:u w:val="none" w:color="000000"/>
                    </w:rPr>
                    <w:t>65</w:t>
                  </w:r>
                </w:p>
              </w:tc>
              <w:tc>
                <w:tcPr>
                  <w:tcW w:w="390" w:type="pct"/>
                  <w:tcBorders>
                    <w:tl2br w:val="nil"/>
                    <w:tr2bl w:val="nil"/>
                  </w:tcBorders>
                  <w:noWrap w:val="0"/>
                  <w:vAlign w:val="center"/>
                </w:tcPr>
                <w:p w14:paraId="2400FB34">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default" w:ascii="Times New Roman" w:hAnsi="Times New Roman" w:eastAsia="仿宋" w:cs="Times New Roman"/>
                      <w:color w:val="auto"/>
                      <w:sz w:val="21"/>
                      <w:szCs w:val="21"/>
                      <w:highlight w:val="none"/>
                      <w:u w:val="none" w:color="000000"/>
                      <w:lang w:val="en-US" w:eastAsia="zh-CN"/>
                    </w:rPr>
                    <w:t>达标</w:t>
                  </w:r>
                </w:p>
              </w:tc>
              <w:tc>
                <w:tcPr>
                  <w:tcW w:w="518" w:type="pct"/>
                  <w:tcBorders>
                    <w:tl2br w:val="nil"/>
                    <w:tr2bl w:val="nil"/>
                  </w:tcBorders>
                  <w:noWrap w:val="0"/>
                  <w:vAlign w:val="center"/>
                </w:tcPr>
                <w:p w14:paraId="622084A9">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eastAsia" w:eastAsia="仿宋" w:cs="Times New Roman"/>
                      <w:color w:val="auto"/>
                      <w:sz w:val="21"/>
                      <w:szCs w:val="21"/>
                      <w:highlight w:val="none"/>
                      <w:u w:val="none" w:color="000000"/>
                      <w:lang w:val="en-US" w:eastAsia="zh-CN"/>
                    </w:rPr>
                    <w:t>53.0</w:t>
                  </w:r>
                </w:p>
              </w:tc>
              <w:tc>
                <w:tcPr>
                  <w:tcW w:w="480" w:type="pct"/>
                  <w:vMerge w:val="restart"/>
                  <w:tcBorders>
                    <w:tl2br w:val="nil"/>
                    <w:tr2bl w:val="nil"/>
                  </w:tcBorders>
                  <w:noWrap w:val="0"/>
                  <w:vAlign w:val="center"/>
                </w:tcPr>
                <w:p w14:paraId="6CE62E67">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lang w:val="en-US" w:eastAsia="zh-CN"/>
                    </w:rPr>
                    <w:t>≤5</w:t>
                  </w:r>
                  <w:r>
                    <w:rPr>
                      <w:rFonts w:hint="default" w:ascii="Times New Roman" w:hAnsi="Times New Roman" w:eastAsia="仿宋" w:cs="Times New Roman"/>
                      <w:color w:val="auto"/>
                      <w:sz w:val="21"/>
                      <w:szCs w:val="21"/>
                      <w:highlight w:val="none"/>
                      <w:u w:val="none" w:color="000000"/>
                    </w:rPr>
                    <w:t>5</w:t>
                  </w:r>
                </w:p>
              </w:tc>
              <w:tc>
                <w:tcPr>
                  <w:tcW w:w="441" w:type="pct"/>
                  <w:tcBorders>
                    <w:tl2br w:val="nil"/>
                    <w:tr2bl w:val="nil"/>
                  </w:tcBorders>
                  <w:noWrap w:val="0"/>
                  <w:vAlign w:val="center"/>
                </w:tcPr>
                <w:p w14:paraId="63419212">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rPr>
                    <w:t>达标</w:t>
                  </w:r>
                </w:p>
              </w:tc>
            </w:tr>
            <w:tr w14:paraId="15546A2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pct"/>
                  <w:vMerge w:val="continue"/>
                  <w:tcBorders>
                    <w:tl2br w:val="nil"/>
                    <w:tr2bl w:val="nil"/>
                  </w:tcBorders>
                  <w:noWrap w:val="0"/>
                  <w:vAlign w:val="center"/>
                </w:tcPr>
                <w:p w14:paraId="4C4C7835">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p>
              </w:tc>
              <w:tc>
                <w:tcPr>
                  <w:tcW w:w="591" w:type="pct"/>
                  <w:tcBorders>
                    <w:tl2br w:val="nil"/>
                    <w:tr2bl w:val="nil"/>
                  </w:tcBorders>
                  <w:noWrap w:val="0"/>
                  <w:vAlign w:val="center"/>
                </w:tcPr>
                <w:p w14:paraId="661C9FC2">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rPr>
                    <w:t>N2</w:t>
                  </w:r>
                </w:p>
              </w:tc>
              <w:tc>
                <w:tcPr>
                  <w:tcW w:w="849" w:type="pct"/>
                  <w:tcBorders>
                    <w:tl2br w:val="nil"/>
                    <w:tr2bl w:val="nil"/>
                  </w:tcBorders>
                  <w:noWrap w:val="0"/>
                  <w:vAlign w:val="center"/>
                </w:tcPr>
                <w:p w14:paraId="5C669464">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rPr>
                    <w:t>南厂界外1m</w:t>
                  </w:r>
                </w:p>
              </w:tc>
              <w:tc>
                <w:tcPr>
                  <w:tcW w:w="533" w:type="pct"/>
                  <w:tcBorders>
                    <w:tl2br w:val="nil"/>
                    <w:tr2bl w:val="nil"/>
                  </w:tcBorders>
                  <w:noWrap w:val="0"/>
                  <w:vAlign w:val="center"/>
                </w:tcPr>
                <w:p w14:paraId="6CBD141D">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eastAsia" w:eastAsia="仿宋" w:cs="Times New Roman"/>
                      <w:color w:val="auto"/>
                      <w:sz w:val="21"/>
                      <w:szCs w:val="21"/>
                      <w:highlight w:val="none"/>
                      <w:u w:val="none" w:color="000000"/>
                      <w:lang w:val="en-US" w:eastAsia="zh-CN"/>
                    </w:rPr>
                    <w:t>60.5</w:t>
                  </w:r>
                </w:p>
              </w:tc>
              <w:tc>
                <w:tcPr>
                  <w:tcW w:w="460" w:type="pct"/>
                  <w:vMerge w:val="continue"/>
                  <w:tcBorders>
                    <w:tl2br w:val="nil"/>
                    <w:tr2bl w:val="nil"/>
                  </w:tcBorders>
                  <w:noWrap w:val="0"/>
                  <w:vAlign w:val="center"/>
                </w:tcPr>
                <w:p w14:paraId="602AC714">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p>
              </w:tc>
              <w:tc>
                <w:tcPr>
                  <w:tcW w:w="390" w:type="pct"/>
                  <w:tcBorders>
                    <w:tl2br w:val="nil"/>
                    <w:tr2bl w:val="nil"/>
                  </w:tcBorders>
                  <w:noWrap w:val="0"/>
                  <w:vAlign w:val="center"/>
                </w:tcPr>
                <w:p w14:paraId="282378A9">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default" w:ascii="Times New Roman" w:hAnsi="Times New Roman" w:eastAsia="仿宋" w:cs="Times New Roman"/>
                      <w:color w:val="auto"/>
                      <w:sz w:val="21"/>
                      <w:szCs w:val="21"/>
                      <w:highlight w:val="none"/>
                      <w:u w:val="none" w:color="000000"/>
                      <w:lang w:val="en-US" w:eastAsia="zh-CN"/>
                    </w:rPr>
                    <w:t>达标</w:t>
                  </w:r>
                </w:p>
              </w:tc>
              <w:tc>
                <w:tcPr>
                  <w:tcW w:w="518" w:type="pct"/>
                  <w:tcBorders>
                    <w:tl2br w:val="nil"/>
                    <w:tr2bl w:val="nil"/>
                  </w:tcBorders>
                  <w:noWrap w:val="0"/>
                  <w:vAlign w:val="center"/>
                </w:tcPr>
                <w:p w14:paraId="4CA2795E">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eastAsia" w:eastAsia="仿宋" w:cs="Times New Roman"/>
                      <w:color w:val="auto"/>
                      <w:sz w:val="21"/>
                      <w:szCs w:val="21"/>
                      <w:highlight w:val="none"/>
                      <w:u w:val="none" w:color="000000"/>
                      <w:lang w:val="en-US" w:eastAsia="zh-CN"/>
                    </w:rPr>
                    <w:t>51.2</w:t>
                  </w:r>
                </w:p>
              </w:tc>
              <w:tc>
                <w:tcPr>
                  <w:tcW w:w="480" w:type="pct"/>
                  <w:vMerge w:val="continue"/>
                  <w:tcBorders>
                    <w:tl2br w:val="nil"/>
                    <w:tr2bl w:val="nil"/>
                  </w:tcBorders>
                  <w:noWrap w:val="0"/>
                  <w:vAlign w:val="center"/>
                </w:tcPr>
                <w:p w14:paraId="5AE640A9">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p>
              </w:tc>
              <w:tc>
                <w:tcPr>
                  <w:tcW w:w="441" w:type="pct"/>
                  <w:tcBorders>
                    <w:tl2br w:val="nil"/>
                    <w:tr2bl w:val="nil"/>
                  </w:tcBorders>
                  <w:noWrap w:val="0"/>
                  <w:vAlign w:val="center"/>
                </w:tcPr>
                <w:p w14:paraId="49B7348B">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rPr>
                    <w:t>达标</w:t>
                  </w:r>
                </w:p>
              </w:tc>
            </w:tr>
            <w:tr w14:paraId="1A081B3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pct"/>
                  <w:vMerge w:val="continue"/>
                  <w:tcBorders>
                    <w:tl2br w:val="nil"/>
                    <w:tr2bl w:val="nil"/>
                  </w:tcBorders>
                  <w:noWrap w:val="0"/>
                  <w:vAlign w:val="center"/>
                </w:tcPr>
                <w:p w14:paraId="3A72518E">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p>
              </w:tc>
              <w:tc>
                <w:tcPr>
                  <w:tcW w:w="591" w:type="pct"/>
                  <w:tcBorders>
                    <w:tl2br w:val="nil"/>
                    <w:tr2bl w:val="nil"/>
                  </w:tcBorders>
                  <w:noWrap w:val="0"/>
                  <w:vAlign w:val="center"/>
                </w:tcPr>
                <w:p w14:paraId="6695674E">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rPr>
                    <w:t>N3</w:t>
                  </w:r>
                </w:p>
              </w:tc>
              <w:tc>
                <w:tcPr>
                  <w:tcW w:w="849" w:type="pct"/>
                  <w:tcBorders>
                    <w:tl2br w:val="nil"/>
                    <w:tr2bl w:val="nil"/>
                  </w:tcBorders>
                  <w:noWrap w:val="0"/>
                  <w:vAlign w:val="center"/>
                </w:tcPr>
                <w:p w14:paraId="46935438">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lang w:val="en-US" w:eastAsia="zh-CN"/>
                    </w:rPr>
                    <w:t>西</w:t>
                  </w:r>
                  <w:r>
                    <w:rPr>
                      <w:rFonts w:hint="default" w:ascii="Times New Roman" w:hAnsi="Times New Roman" w:eastAsia="仿宋" w:cs="Times New Roman"/>
                      <w:color w:val="auto"/>
                      <w:sz w:val="21"/>
                      <w:szCs w:val="21"/>
                      <w:highlight w:val="none"/>
                      <w:u w:val="none" w:color="000000"/>
                    </w:rPr>
                    <w:t>厂界外1m</w:t>
                  </w:r>
                </w:p>
              </w:tc>
              <w:tc>
                <w:tcPr>
                  <w:tcW w:w="533" w:type="pct"/>
                  <w:tcBorders>
                    <w:tl2br w:val="nil"/>
                    <w:tr2bl w:val="nil"/>
                  </w:tcBorders>
                  <w:noWrap w:val="0"/>
                  <w:vAlign w:val="center"/>
                </w:tcPr>
                <w:p w14:paraId="2382C21C">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eastAsia" w:eastAsia="仿宋" w:cs="Times New Roman"/>
                      <w:color w:val="auto"/>
                      <w:sz w:val="21"/>
                      <w:szCs w:val="21"/>
                      <w:highlight w:val="none"/>
                      <w:u w:val="none" w:color="000000"/>
                      <w:lang w:val="en-US" w:eastAsia="zh-CN"/>
                    </w:rPr>
                    <w:t>50.5</w:t>
                  </w:r>
                </w:p>
              </w:tc>
              <w:tc>
                <w:tcPr>
                  <w:tcW w:w="460" w:type="pct"/>
                  <w:vMerge w:val="continue"/>
                  <w:tcBorders>
                    <w:tl2br w:val="nil"/>
                    <w:tr2bl w:val="nil"/>
                  </w:tcBorders>
                  <w:noWrap w:val="0"/>
                  <w:vAlign w:val="center"/>
                </w:tcPr>
                <w:p w14:paraId="563410D7">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p>
              </w:tc>
              <w:tc>
                <w:tcPr>
                  <w:tcW w:w="390" w:type="pct"/>
                  <w:tcBorders>
                    <w:tl2br w:val="nil"/>
                    <w:tr2bl w:val="nil"/>
                  </w:tcBorders>
                  <w:noWrap w:val="0"/>
                  <w:vAlign w:val="center"/>
                </w:tcPr>
                <w:p w14:paraId="5FBFF7C4">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default" w:ascii="Times New Roman" w:hAnsi="Times New Roman" w:eastAsia="仿宋" w:cs="Times New Roman"/>
                      <w:color w:val="auto"/>
                      <w:sz w:val="21"/>
                      <w:szCs w:val="21"/>
                      <w:highlight w:val="none"/>
                      <w:u w:val="none" w:color="000000"/>
                      <w:lang w:val="en-US" w:eastAsia="zh-CN"/>
                    </w:rPr>
                    <w:t>达标</w:t>
                  </w:r>
                </w:p>
              </w:tc>
              <w:tc>
                <w:tcPr>
                  <w:tcW w:w="518" w:type="pct"/>
                  <w:tcBorders>
                    <w:tl2br w:val="nil"/>
                    <w:tr2bl w:val="nil"/>
                  </w:tcBorders>
                  <w:noWrap w:val="0"/>
                  <w:vAlign w:val="center"/>
                </w:tcPr>
                <w:p w14:paraId="1623AD81">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eastAsia" w:eastAsia="仿宋" w:cs="Times New Roman"/>
                      <w:color w:val="auto"/>
                      <w:sz w:val="21"/>
                      <w:szCs w:val="21"/>
                      <w:highlight w:val="none"/>
                      <w:u w:val="none" w:color="000000"/>
                      <w:lang w:val="en-US" w:eastAsia="zh-CN"/>
                    </w:rPr>
                    <w:t>48.0</w:t>
                  </w:r>
                </w:p>
              </w:tc>
              <w:tc>
                <w:tcPr>
                  <w:tcW w:w="480" w:type="pct"/>
                  <w:vMerge w:val="continue"/>
                  <w:tcBorders>
                    <w:tl2br w:val="nil"/>
                    <w:tr2bl w:val="nil"/>
                  </w:tcBorders>
                  <w:noWrap w:val="0"/>
                  <w:vAlign w:val="center"/>
                </w:tcPr>
                <w:p w14:paraId="36510A5E">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p>
              </w:tc>
              <w:tc>
                <w:tcPr>
                  <w:tcW w:w="441" w:type="pct"/>
                  <w:tcBorders>
                    <w:tl2br w:val="nil"/>
                    <w:tr2bl w:val="nil"/>
                  </w:tcBorders>
                  <w:noWrap w:val="0"/>
                  <w:vAlign w:val="center"/>
                </w:tcPr>
                <w:p w14:paraId="765BCE25">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rPr>
                    <w:t>达标</w:t>
                  </w:r>
                </w:p>
              </w:tc>
            </w:tr>
            <w:tr w14:paraId="0815D00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pct"/>
                  <w:vMerge w:val="continue"/>
                  <w:tcBorders>
                    <w:tl2br w:val="nil"/>
                    <w:tr2bl w:val="nil"/>
                  </w:tcBorders>
                  <w:noWrap w:val="0"/>
                  <w:vAlign w:val="center"/>
                </w:tcPr>
                <w:p w14:paraId="7F2406FE">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p>
              </w:tc>
              <w:tc>
                <w:tcPr>
                  <w:tcW w:w="591" w:type="pct"/>
                  <w:tcBorders>
                    <w:tl2br w:val="nil"/>
                    <w:tr2bl w:val="nil"/>
                  </w:tcBorders>
                  <w:noWrap w:val="0"/>
                  <w:vAlign w:val="center"/>
                </w:tcPr>
                <w:p w14:paraId="154C8175">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default" w:ascii="Times New Roman" w:hAnsi="Times New Roman" w:eastAsia="仿宋" w:cs="Times New Roman"/>
                      <w:color w:val="auto"/>
                      <w:sz w:val="21"/>
                      <w:szCs w:val="21"/>
                      <w:highlight w:val="none"/>
                      <w:u w:val="none" w:color="000000"/>
                      <w:lang w:val="en-US" w:eastAsia="zh-CN"/>
                    </w:rPr>
                    <w:t>N4</w:t>
                  </w:r>
                </w:p>
              </w:tc>
              <w:tc>
                <w:tcPr>
                  <w:tcW w:w="849" w:type="pct"/>
                  <w:tcBorders>
                    <w:tl2br w:val="nil"/>
                    <w:tr2bl w:val="nil"/>
                  </w:tcBorders>
                  <w:noWrap w:val="0"/>
                  <w:vAlign w:val="center"/>
                </w:tcPr>
                <w:p w14:paraId="2643264F">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default" w:ascii="Times New Roman" w:hAnsi="Times New Roman" w:eastAsia="仿宋" w:cs="Times New Roman"/>
                      <w:color w:val="auto"/>
                      <w:sz w:val="21"/>
                      <w:szCs w:val="21"/>
                      <w:highlight w:val="none"/>
                      <w:u w:val="none" w:color="000000"/>
                      <w:lang w:val="en-US" w:eastAsia="zh-CN"/>
                    </w:rPr>
                    <w:t>北</w:t>
                  </w:r>
                  <w:r>
                    <w:rPr>
                      <w:rFonts w:hint="default" w:ascii="Times New Roman" w:hAnsi="Times New Roman" w:eastAsia="仿宋" w:cs="Times New Roman"/>
                      <w:color w:val="auto"/>
                      <w:sz w:val="21"/>
                      <w:szCs w:val="21"/>
                      <w:highlight w:val="none"/>
                      <w:u w:val="none" w:color="000000"/>
                    </w:rPr>
                    <w:t>厂界外1m</w:t>
                  </w:r>
                </w:p>
              </w:tc>
              <w:tc>
                <w:tcPr>
                  <w:tcW w:w="533" w:type="pct"/>
                  <w:tcBorders>
                    <w:tl2br w:val="nil"/>
                    <w:tr2bl w:val="nil"/>
                  </w:tcBorders>
                  <w:noWrap w:val="0"/>
                  <w:vAlign w:val="center"/>
                </w:tcPr>
                <w:p w14:paraId="1BE9FE5B">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eastAsia" w:eastAsia="仿宋" w:cs="Times New Roman"/>
                      <w:color w:val="auto"/>
                      <w:sz w:val="21"/>
                      <w:szCs w:val="21"/>
                      <w:highlight w:val="none"/>
                      <w:u w:val="none" w:color="000000"/>
                      <w:lang w:val="en-US" w:eastAsia="zh-CN"/>
                    </w:rPr>
                    <w:t>57.2</w:t>
                  </w:r>
                </w:p>
              </w:tc>
              <w:tc>
                <w:tcPr>
                  <w:tcW w:w="460" w:type="pct"/>
                  <w:vMerge w:val="continue"/>
                  <w:tcBorders>
                    <w:tl2br w:val="nil"/>
                    <w:tr2bl w:val="nil"/>
                  </w:tcBorders>
                  <w:noWrap w:val="0"/>
                  <w:vAlign w:val="center"/>
                </w:tcPr>
                <w:p w14:paraId="265D02DB">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p>
              </w:tc>
              <w:tc>
                <w:tcPr>
                  <w:tcW w:w="390" w:type="pct"/>
                  <w:tcBorders>
                    <w:tl2br w:val="nil"/>
                    <w:tr2bl w:val="nil"/>
                  </w:tcBorders>
                  <w:noWrap w:val="0"/>
                  <w:vAlign w:val="center"/>
                </w:tcPr>
                <w:p w14:paraId="2CE63628">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default" w:ascii="Times New Roman" w:hAnsi="Times New Roman" w:eastAsia="仿宋" w:cs="Times New Roman"/>
                      <w:color w:val="auto"/>
                      <w:sz w:val="21"/>
                      <w:szCs w:val="21"/>
                      <w:highlight w:val="none"/>
                      <w:u w:val="none" w:color="000000"/>
                      <w:lang w:val="en-US" w:eastAsia="zh-CN"/>
                    </w:rPr>
                    <w:t>达标</w:t>
                  </w:r>
                </w:p>
              </w:tc>
              <w:tc>
                <w:tcPr>
                  <w:tcW w:w="518" w:type="pct"/>
                  <w:tcBorders>
                    <w:tl2br w:val="nil"/>
                    <w:tr2bl w:val="nil"/>
                  </w:tcBorders>
                  <w:noWrap w:val="0"/>
                  <w:vAlign w:val="center"/>
                </w:tcPr>
                <w:p w14:paraId="0E73266A">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lang w:val="en-US" w:eastAsia="zh-CN"/>
                    </w:rPr>
                  </w:pPr>
                  <w:r>
                    <w:rPr>
                      <w:rFonts w:hint="eastAsia" w:eastAsia="仿宋" w:cs="Times New Roman"/>
                      <w:color w:val="auto"/>
                      <w:sz w:val="21"/>
                      <w:szCs w:val="21"/>
                      <w:highlight w:val="none"/>
                      <w:u w:val="none" w:color="000000"/>
                      <w:lang w:val="en-US" w:eastAsia="zh-CN"/>
                    </w:rPr>
                    <w:t>49.8</w:t>
                  </w:r>
                </w:p>
              </w:tc>
              <w:tc>
                <w:tcPr>
                  <w:tcW w:w="480" w:type="pct"/>
                  <w:vMerge w:val="continue"/>
                  <w:tcBorders>
                    <w:tl2br w:val="nil"/>
                    <w:tr2bl w:val="nil"/>
                  </w:tcBorders>
                  <w:noWrap w:val="0"/>
                  <w:vAlign w:val="center"/>
                </w:tcPr>
                <w:p w14:paraId="08C26A46">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p>
              </w:tc>
              <w:tc>
                <w:tcPr>
                  <w:tcW w:w="441" w:type="pct"/>
                  <w:tcBorders>
                    <w:tl2br w:val="nil"/>
                    <w:tr2bl w:val="nil"/>
                  </w:tcBorders>
                  <w:noWrap w:val="0"/>
                  <w:vAlign w:val="center"/>
                </w:tcPr>
                <w:p w14:paraId="6C710604">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textAlignment w:val="auto"/>
                    <w:rPr>
                      <w:rFonts w:hint="default" w:ascii="Times New Roman" w:hAnsi="Times New Roman" w:eastAsia="仿宋" w:cs="Times New Roman"/>
                      <w:color w:val="auto"/>
                      <w:sz w:val="21"/>
                      <w:szCs w:val="21"/>
                      <w:highlight w:val="none"/>
                      <w:u w:val="none" w:color="000000"/>
                    </w:rPr>
                  </w:pPr>
                  <w:r>
                    <w:rPr>
                      <w:rFonts w:hint="default" w:ascii="Times New Roman" w:hAnsi="Times New Roman" w:eastAsia="仿宋" w:cs="Times New Roman"/>
                      <w:color w:val="auto"/>
                      <w:sz w:val="21"/>
                      <w:szCs w:val="21"/>
                      <w:highlight w:val="none"/>
                      <w:u w:val="none" w:color="000000"/>
                    </w:rPr>
                    <w:t>达标</w:t>
                  </w:r>
                </w:p>
              </w:tc>
            </w:tr>
            <w:tr w14:paraId="5FC2B23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9"/>
                  <w:tcBorders>
                    <w:tl2br w:val="nil"/>
                    <w:tr2bl w:val="nil"/>
                  </w:tcBorders>
                  <w:noWrap w:val="0"/>
                  <w:vAlign w:val="center"/>
                </w:tcPr>
                <w:p w14:paraId="6CD80613">
                  <w:pPr>
                    <w:pStyle w:val="45"/>
                    <w:keepNext w:val="0"/>
                    <w:keepLines w:val="0"/>
                    <w:pageBreakBefore w:val="0"/>
                    <w:widowControl w:val="0"/>
                    <w:kinsoku/>
                    <w:wordWrap/>
                    <w:overflowPunct/>
                    <w:topLinePunct w:val="0"/>
                    <w:autoSpaceDE/>
                    <w:autoSpaceDN/>
                    <w:bidi w:val="0"/>
                    <w:adjustRightInd/>
                    <w:spacing w:before="0" w:after="0" w:line="240" w:lineRule="auto"/>
                    <w:ind w:left="0" w:leftChars="0" w:right="0"/>
                    <w:jc w:val="both"/>
                    <w:textAlignment w:val="auto"/>
                    <w:rPr>
                      <w:rFonts w:hint="default" w:ascii="Times New Roman" w:hAnsi="Times New Roman" w:eastAsia="仿宋" w:cs="Times New Roman"/>
                      <w:color w:val="auto"/>
                      <w:sz w:val="21"/>
                      <w:szCs w:val="21"/>
                      <w:highlight w:val="none"/>
                      <w:u w:val="none" w:color="000000"/>
                      <w:lang w:val="en-US" w:eastAsia="zh-CN"/>
                    </w:rPr>
                  </w:pPr>
                  <w:r>
                    <w:rPr>
                      <w:rFonts w:hint="default" w:ascii="Times New Roman" w:hAnsi="Times New Roman" w:eastAsia="仿宋" w:cs="Times New Roman"/>
                      <w:color w:val="auto"/>
                      <w:sz w:val="21"/>
                      <w:szCs w:val="21"/>
                      <w:highlight w:val="none"/>
                      <w:u w:val="none" w:color="000000"/>
                      <w:lang w:val="en-US" w:eastAsia="zh-CN"/>
                    </w:rPr>
                    <w:t>注：</w:t>
                  </w:r>
                  <w:r>
                    <w:rPr>
                      <w:rFonts w:hint="default" w:ascii="Times New Roman" w:hAnsi="Times New Roman" w:eastAsia="仿宋" w:cs="Times New Roman"/>
                      <w:color w:val="auto"/>
                      <w:sz w:val="21"/>
                      <w:szCs w:val="21"/>
                      <w:highlight w:val="none"/>
                      <w:u w:val="none" w:color="000000"/>
                    </w:rPr>
                    <w:t>企业厂界环境噪声</w:t>
                  </w:r>
                  <w:r>
                    <w:rPr>
                      <w:rFonts w:hint="default" w:ascii="Times New Roman" w:hAnsi="Times New Roman" w:eastAsia="仿宋" w:cs="Times New Roman"/>
                      <w:color w:val="auto"/>
                      <w:sz w:val="21"/>
                      <w:szCs w:val="21"/>
                      <w:highlight w:val="none"/>
                      <w:u w:val="none" w:color="000000"/>
                      <w:lang w:val="en-US" w:eastAsia="zh-CN"/>
                    </w:rPr>
                    <w:t>监测值满足</w:t>
                  </w:r>
                  <w:r>
                    <w:rPr>
                      <w:rFonts w:hint="default" w:ascii="Times New Roman" w:hAnsi="Times New Roman" w:eastAsia="仿宋" w:cs="Times New Roman"/>
                      <w:color w:val="auto"/>
                      <w:sz w:val="21"/>
                      <w:szCs w:val="21"/>
                      <w:highlight w:val="none"/>
                      <w:u w:val="none" w:color="000000"/>
                    </w:rPr>
                    <w:t>《工业企业厂界环境噪声排放标准》</w:t>
                  </w:r>
                  <w:r>
                    <w:rPr>
                      <w:rFonts w:hint="default" w:ascii="Times New Roman" w:hAnsi="Times New Roman" w:eastAsia="仿宋" w:cs="Times New Roman"/>
                      <w:color w:val="auto"/>
                      <w:sz w:val="21"/>
                      <w:szCs w:val="21"/>
                      <w:highlight w:val="none"/>
                      <w:u w:val="none" w:color="000000"/>
                      <w:lang w:val="en-US" w:eastAsia="zh-CN"/>
                    </w:rPr>
                    <w:t>表1中3类标准。</w:t>
                  </w:r>
                </w:p>
              </w:tc>
            </w:tr>
          </w:tbl>
          <w:p w14:paraId="7D228E4A">
            <w:pPr>
              <w:keepNext w:val="0"/>
              <w:keepLines w:val="0"/>
              <w:numPr>
                <w:ilvl w:val="0"/>
                <w:numId w:val="0"/>
              </w:numPr>
              <w:suppressLineNumbers w:val="0"/>
              <w:spacing w:before="0" w:beforeAutospacing="0" w:after="0" w:afterAutospacing="0" w:line="360" w:lineRule="auto"/>
              <w:ind w:right="0" w:righ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（4）固废</w:t>
            </w:r>
          </w:p>
          <w:p w14:paraId="18BEAF1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现有项目</w:t>
            </w:r>
            <w:r>
              <w:rPr>
                <w:rFonts w:hint="eastAsia" w:ascii="Times New Roman" w:hAnsi="Times New Roman" w:eastAsia="宋体"/>
                <w:color w:val="auto"/>
                <w:sz w:val="24"/>
                <w:szCs w:val="24"/>
                <w:highlight w:val="none"/>
                <w:lang w:val="en-US" w:eastAsia="zh-Hans"/>
              </w:rPr>
              <w:t>固体废弃物主要为</w:t>
            </w:r>
            <w:r>
              <w:rPr>
                <w:rFonts w:hint="eastAsia"/>
                <w:color w:val="auto"/>
                <w:sz w:val="24"/>
                <w:szCs w:val="24"/>
                <w:highlight w:val="none"/>
                <w:lang w:val="en-US" w:eastAsia="zh-CN"/>
              </w:rPr>
              <w:t>不合格品</w:t>
            </w:r>
            <w:r>
              <w:rPr>
                <w:rFonts w:hint="eastAsia" w:ascii="Times New Roman" w:hAnsi="Times New Roman" w:eastAsia="宋体"/>
                <w:color w:val="auto"/>
                <w:sz w:val="24"/>
                <w:szCs w:val="24"/>
                <w:highlight w:val="none"/>
                <w:lang w:val="en-US" w:eastAsia="zh-Hans"/>
              </w:rPr>
              <w:t>、废包装容器</w:t>
            </w:r>
            <w:r>
              <w:rPr>
                <w:rFonts w:hint="eastAsia" w:eastAsia="宋体"/>
                <w:color w:val="auto"/>
                <w:sz w:val="24"/>
                <w:szCs w:val="24"/>
                <w:highlight w:val="none"/>
                <w:lang w:val="en-US" w:eastAsia="zh-CN"/>
              </w:rPr>
              <w:t>、</w:t>
            </w:r>
            <w:r>
              <w:rPr>
                <w:rFonts w:hint="eastAsia"/>
                <w:color w:val="auto"/>
                <w:sz w:val="24"/>
                <w:szCs w:val="24"/>
                <w:highlight w:val="none"/>
                <w:lang w:val="en-US" w:eastAsia="zh-CN"/>
              </w:rPr>
              <w:t>废渣、废金属屑、废切削液、废包装桶、废过滤网、废液、废陶瓷膜滤芯、废油墨桶、废抹布</w:t>
            </w:r>
            <w:r>
              <w:rPr>
                <w:rFonts w:hint="eastAsia" w:ascii="Times New Roman" w:hAnsi="Times New Roman" w:eastAsia="宋体"/>
                <w:color w:val="auto"/>
                <w:sz w:val="24"/>
                <w:szCs w:val="24"/>
                <w:highlight w:val="none"/>
                <w:lang w:val="en-US" w:eastAsia="zh-Hans"/>
              </w:rPr>
              <w:t>、生活垃圾。具体处置情况如下</w:t>
            </w:r>
            <w:r>
              <w:rPr>
                <w:rFonts w:hint="eastAsia" w:ascii="Times New Roman" w:hAnsi="Times New Roman" w:eastAsia="宋体"/>
                <w:color w:val="auto"/>
                <w:sz w:val="24"/>
                <w:szCs w:val="24"/>
                <w:highlight w:val="none"/>
                <w:lang w:val="en-US" w:eastAsia="zh-CN"/>
              </w:rPr>
              <w:t>：</w:t>
            </w:r>
          </w:p>
          <w:p w14:paraId="1BBB6A09">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
              </w:rPr>
            </w:pPr>
            <w:r>
              <w:rPr>
                <w:rFonts w:hint="eastAsia" w:ascii="Times New Roman" w:hAnsi="Times New Roman" w:eastAsia="宋体" w:cs="Times New Roman"/>
                <w:b/>
                <w:bCs/>
                <w:color w:val="auto"/>
                <w:kern w:val="2"/>
                <w:sz w:val="24"/>
                <w:szCs w:val="24"/>
                <w:highlight w:val="none"/>
                <w:lang w:val="en-US" w:eastAsia="zh-CN" w:bidi="ar"/>
              </w:rPr>
              <w:t>现有项目固废处置情况一览表</w:t>
            </w:r>
          </w:p>
          <w:tbl>
            <w:tblPr>
              <w:tblStyle w:val="23"/>
              <w:tblW w:w="4994" w:type="pct"/>
              <w:tblInd w:w="-4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1502"/>
              <w:gridCol w:w="732"/>
              <w:gridCol w:w="1399"/>
              <w:gridCol w:w="699"/>
              <w:gridCol w:w="849"/>
              <w:gridCol w:w="1366"/>
              <w:gridCol w:w="872"/>
              <w:gridCol w:w="1318"/>
            </w:tblGrid>
            <w:tr w14:paraId="4D02ABB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6B524229">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序号</w:t>
                  </w:r>
                </w:p>
              </w:tc>
              <w:tc>
                <w:tcPr>
                  <w:tcW w:w="812" w:type="pct"/>
                  <w:vAlign w:val="center"/>
                </w:tcPr>
                <w:p w14:paraId="69B6AA02">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固废名称</w:t>
                  </w:r>
                </w:p>
              </w:tc>
              <w:tc>
                <w:tcPr>
                  <w:tcW w:w="396" w:type="pct"/>
                  <w:vAlign w:val="center"/>
                </w:tcPr>
                <w:p w14:paraId="65B5C54C">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b/>
                      <w:bCs/>
                      <w:color w:val="auto"/>
                      <w:sz w:val="21"/>
                      <w:szCs w:val="21"/>
                      <w:highlight w:val="none"/>
                      <w:vertAlign w:val="baseline"/>
                    </w:rPr>
                  </w:pPr>
                  <w:r>
                    <w:rPr>
                      <w:rFonts w:hint="default" w:ascii="Times New Roman" w:hAnsi="Times New Roman" w:eastAsia="仿宋" w:cs="Times New Roman"/>
                      <w:b/>
                      <w:bCs/>
                      <w:color w:val="auto"/>
                      <w:sz w:val="21"/>
                      <w:szCs w:val="21"/>
                      <w:highlight w:val="none"/>
                      <w:vertAlign w:val="baseline"/>
                      <w:lang w:val="en-US" w:eastAsia="zh-CN"/>
                    </w:rPr>
                    <w:t>属性</w:t>
                  </w:r>
                </w:p>
              </w:tc>
              <w:tc>
                <w:tcPr>
                  <w:tcW w:w="756" w:type="pct"/>
                  <w:vAlign w:val="center"/>
                </w:tcPr>
                <w:p w14:paraId="3CBCC8AE">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产生工序</w:t>
                  </w:r>
                </w:p>
              </w:tc>
              <w:tc>
                <w:tcPr>
                  <w:tcW w:w="378" w:type="pct"/>
                  <w:vAlign w:val="center"/>
                </w:tcPr>
                <w:p w14:paraId="79743210">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形态</w:t>
                  </w:r>
                </w:p>
              </w:tc>
              <w:tc>
                <w:tcPr>
                  <w:tcW w:w="459" w:type="pct"/>
                  <w:vAlign w:val="center"/>
                </w:tcPr>
                <w:p w14:paraId="20C72FEF">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废物类别</w:t>
                  </w:r>
                </w:p>
              </w:tc>
              <w:tc>
                <w:tcPr>
                  <w:tcW w:w="738" w:type="pct"/>
                  <w:vAlign w:val="center"/>
                </w:tcPr>
                <w:p w14:paraId="740246D5">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废物代码</w:t>
                  </w:r>
                </w:p>
              </w:tc>
              <w:tc>
                <w:tcPr>
                  <w:tcW w:w="468" w:type="pct"/>
                  <w:vAlign w:val="center"/>
                </w:tcPr>
                <w:p w14:paraId="14BDAEDE">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b/>
                      <w:bCs/>
                      <w:color w:val="auto"/>
                      <w:sz w:val="21"/>
                      <w:szCs w:val="21"/>
                      <w:highlight w:val="none"/>
                      <w:vertAlign w:val="baseline"/>
                      <w:lang w:val="en-US" w:eastAsia="zh-CN"/>
                    </w:rPr>
                    <w:t>产生量（t/a）</w:t>
                  </w:r>
                </w:p>
              </w:tc>
              <w:tc>
                <w:tcPr>
                  <w:tcW w:w="712" w:type="pct"/>
                  <w:vAlign w:val="center"/>
                </w:tcPr>
                <w:p w14:paraId="67E3C223">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去向</w:t>
                  </w:r>
                </w:p>
              </w:tc>
            </w:tr>
            <w:tr w14:paraId="0B6BBA8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1739E886">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1</w:t>
                  </w:r>
                </w:p>
              </w:tc>
              <w:tc>
                <w:tcPr>
                  <w:tcW w:w="812" w:type="pct"/>
                  <w:vAlign w:val="center"/>
                </w:tcPr>
                <w:p w14:paraId="7ED4C55A">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不合格品</w:t>
                  </w:r>
                </w:p>
              </w:tc>
              <w:tc>
                <w:tcPr>
                  <w:tcW w:w="396" w:type="pct"/>
                  <w:vMerge w:val="restart"/>
                  <w:vAlign w:val="center"/>
                </w:tcPr>
                <w:p w14:paraId="7FAF4E64">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一般固废</w:t>
                  </w:r>
                </w:p>
              </w:tc>
              <w:tc>
                <w:tcPr>
                  <w:tcW w:w="756" w:type="pct"/>
                  <w:vAlign w:val="center"/>
                </w:tcPr>
                <w:p w14:paraId="4982AAC8">
                  <w:pPr>
                    <w:pStyle w:val="46"/>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检查等</w:t>
                  </w:r>
                </w:p>
              </w:tc>
              <w:tc>
                <w:tcPr>
                  <w:tcW w:w="378" w:type="pct"/>
                  <w:shd w:val="clear" w:color="auto" w:fill="auto"/>
                  <w:vAlign w:val="center"/>
                </w:tcPr>
                <w:p w14:paraId="32AAA631">
                  <w:pPr>
                    <w:pStyle w:val="6"/>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vertAlign w:val="baseline"/>
                      <w:lang w:val="en-US" w:eastAsia="zh-CN"/>
                    </w:rPr>
                    <w:t>固态</w:t>
                  </w:r>
                </w:p>
              </w:tc>
              <w:tc>
                <w:tcPr>
                  <w:tcW w:w="459" w:type="pct"/>
                  <w:shd w:val="clear" w:color="auto" w:fill="auto"/>
                  <w:vAlign w:val="center"/>
                </w:tcPr>
                <w:p w14:paraId="4A5F9324">
                  <w:pPr>
                    <w:pStyle w:val="6"/>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SW</w:t>
                  </w:r>
                  <w:r>
                    <w:rPr>
                      <w:rFonts w:hint="eastAsia" w:eastAsia="仿宋" w:cs="Times New Roman"/>
                      <w:color w:val="auto"/>
                      <w:sz w:val="21"/>
                      <w:szCs w:val="21"/>
                      <w:highlight w:val="none"/>
                      <w:vertAlign w:val="baseline"/>
                      <w:lang w:val="en-US" w:eastAsia="zh-CN"/>
                    </w:rPr>
                    <w:t>1</w:t>
                  </w:r>
                  <w:r>
                    <w:rPr>
                      <w:rFonts w:hint="default" w:ascii="Times New Roman" w:hAnsi="Times New Roman" w:eastAsia="仿宋" w:cs="Times New Roman"/>
                      <w:color w:val="auto"/>
                      <w:sz w:val="21"/>
                      <w:szCs w:val="21"/>
                      <w:highlight w:val="none"/>
                      <w:vertAlign w:val="baseline"/>
                      <w:lang w:val="en-US" w:eastAsia="zh-CN"/>
                    </w:rPr>
                    <w:t>7</w:t>
                  </w:r>
                </w:p>
              </w:tc>
              <w:tc>
                <w:tcPr>
                  <w:tcW w:w="738" w:type="pct"/>
                  <w:shd w:val="clear" w:color="auto" w:fill="auto"/>
                  <w:vAlign w:val="center"/>
                </w:tcPr>
                <w:p w14:paraId="5F33E1E8">
                  <w:pPr>
                    <w:pStyle w:val="6"/>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900-0</w:t>
                  </w:r>
                  <w:r>
                    <w:rPr>
                      <w:rFonts w:hint="eastAsia" w:eastAsia="仿宋" w:cs="Times New Roman"/>
                      <w:color w:val="auto"/>
                      <w:sz w:val="21"/>
                      <w:szCs w:val="21"/>
                      <w:highlight w:val="none"/>
                      <w:vertAlign w:val="baseline"/>
                      <w:lang w:val="en-US" w:eastAsia="zh-CN"/>
                    </w:rPr>
                    <w:t>02</w:t>
                  </w:r>
                  <w:r>
                    <w:rPr>
                      <w:rFonts w:hint="default" w:ascii="Times New Roman" w:hAnsi="Times New Roman" w:eastAsia="仿宋" w:cs="Times New Roman"/>
                      <w:color w:val="auto"/>
                      <w:sz w:val="21"/>
                      <w:szCs w:val="21"/>
                      <w:highlight w:val="none"/>
                      <w:vertAlign w:val="baseline"/>
                      <w:lang w:val="en-US" w:eastAsia="zh-CN"/>
                    </w:rPr>
                    <w:t>-S</w:t>
                  </w:r>
                  <w:r>
                    <w:rPr>
                      <w:rFonts w:hint="eastAsia" w:eastAsia="仿宋" w:cs="Times New Roman"/>
                      <w:color w:val="auto"/>
                      <w:sz w:val="21"/>
                      <w:szCs w:val="21"/>
                      <w:highlight w:val="none"/>
                      <w:vertAlign w:val="baseline"/>
                      <w:lang w:val="en-US" w:eastAsia="zh-CN"/>
                    </w:rPr>
                    <w:t>1</w:t>
                  </w:r>
                  <w:r>
                    <w:rPr>
                      <w:rFonts w:hint="default" w:ascii="Times New Roman" w:hAnsi="Times New Roman" w:eastAsia="仿宋" w:cs="Times New Roman"/>
                      <w:color w:val="auto"/>
                      <w:sz w:val="21"/>
                      <w:szCs w:val="21"/>
                      <w:highlight w:val="none"/>
                      <w:vertAlign w:val="baseline"/>
                      <w:lang w:val="en-US" w:eastAsia="zh-CN"/>
                    </w:rPr>
                    <w:t>7</w:t>
                  </w:r>
                </w:p>
              </w:tc>
              <w:tc>
                <w:tcPr>
                  <w:tcW w:w="468" w:type="pct"/>
                  <w:shd w:val="clear" w:color="auto" w:fill="auto"/>
                  <w:vAlign w:val="center"/>
                </w:tcPr>
                <w:p w14:paraId="44A6482E">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20</w:t>
                  </w:r>
                </w:p>
              </w:tc>
              <w:tc>
                <w:tcPr>
                  <w:tcW w:w="712" w:type="pct"/>
                  <w:vMerge w:val="restart"/>
                  <w:vAlign w:val="center"/>
                </w:tcPr>
                <w:p w14:paraId="7C8293F0">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rPr>
                    <w:t>分类收集后外售回收利用</w:t>
                  </w:r>
                </w:p>
              </w:tc>
            </w:tr>
            <w:tr w14:paraId="12D47AB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293981FF">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w:t>
                  </w:r>
                </w:p>
              </w:tc>
              <w:tc>
                <w:tcPr>
                  <w:tcW w:w="812" w:type="pct"/>
                  <w:vAlign w:val="center"/>
                </w:tcPr>
                <w:p w14:paraId="5826C98A">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废包装容器</w:t>
                  </w:r>
                </w:p>
              </w:tc>
              <w:tc>
                <w:tcPr>
                  <w:tcW w:w="396" w:type="pct"/>
                  <w:vMerge w:val="continue"/>
                  <w:vAlign w:val="center"/>
                </w:tcPr>
                <w:p w14:paraId="2C72EBE8">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c>
                <w:tcPr>
                  <w:tcW w:w="756" w:type="pct"/>
                  <w:vAlign w:val="center"/>
                </w:tcPr>
                <w:p w14:paraId="05632B6A">
                  <w:pPr>
                    <w:pStyle w:val="46"/>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原料使用</w:t>
                  </w:r>
                </w:p>
              </w:tc>
              <w:tc>
                <w:tcPr>
                  <w:tcW w:w="378" w:type="pct"/>
                  <w:shd w:val="clear" w:color="auto" w:fill="auto"/>
                  <w:vAlign w:val="center"/>
                </w:tcPr>
                <w:p w14:paraId="602C6063">
                  <w:pPr>
                    <w:pStyle w:val="6"/>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vertAlign w:val="baseline"/>
                      <w:lang w:val="en-US" w:eastAsia="zh-CN"/>
                    </w:rPr>
                    <w:t>固态</w:t>
                  </w:r>
                </w:p>
              </w:tc>
              <w:tc>
                <w:tcPr>
                  <w:tcW w:w="459" w:type="pct"/>
                  <w:shd w:val="clear" w:color="auto" w:fill="auto"/>
                  <w:vAlign w:val="center"/>
                </w:tcPr>
                <w:p w14:paraId="33F41ED7">
                  <w:pPr>
                    <w:pStyle w:val="6"/>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SW17</w:t>
                  </w:r>
                </w:p>
              </w:tc>
              <w:tc>
                <w:tcPr>
                  <w:tcW w:w="738" w:type="pct"/>
                  <w:shd w:val="clear" w:color="auto" w:fill="auto"/>
                  <w:vAlign w:val="center"/>
                </w:tcPr>
                <w:p w14:paraId="12F904CB">
                  <w:pPr>
                    <w:pStyle w:val="6"/>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900-0</w:t>
                  </w:r>
                  <w:r>
                    <w:rPr>
                      <w:rFonts w:hint="eastAsia" w:eastAsia="仿宋" w:cs="Times New Roman"/>
                      <w:color w:val="auto"/>
                      <w:sz w:val="21"/>
                      <w:szCs w:val="21"/>
                      <w:highlight w:val="none"/>
                      <w:vertAlign w:val="baseline"/>
                      <w:lang w:val="en-US" w:eastAsia="zh-CN"/>
                    </w:rPr>
                    <w:t>03</w:t>
                  </w:r>
                  <w:r>
                    <w:rPr>
                      <w:rFonts w:hint="default" w:ascii="Times New Roman" w:hAnsi="Times New Roman" w:eastAsia="仿宋" w:cs="Times New Roman"/>
                      <w:color w:val="auto"/>
                      <w:sz w:val="21"/>
                      <w:szCs w:val="21"/>
                      <w:highlight w:val="none"/>
                      <w:vertAlign w:val="baseline"/>
                      <w:lang w:val="en-US" w:eastAsia="zh-CN"/>
                    </w:rPr>
                    <w:t>-S17</w:t>
                  </w:r>
                </w:p>
              </w:tc>
              <w:tc>
                <w:tcPr>
                  <w:tcW w:w="468" w:type="pct"/>
                  <w:shd w:val="clear" w:color="auto" w:fill="auto"/>
                  <w:vAlign w:val="center"/>
                </w:tcPr>
                <w:p w14:paraId="0220932E">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0.5</w:t>
                  </w:r>
                </w:p>
              </w:tc>
              <w:tc>
                <w:tcPr>
                  <w:tcW w:w="712" w:type="pct"/>
                  <w:vMerge w:val="continue"/>
                  <w:vAlign w:val="center"/>
                </w:tcPr>
                <w:p w14:paraId="5F831977">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r>
            <w:tr w14:paraId="5661E9E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579C394C">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w:t>
                  </w:r>
                </w:p>
              </w:tc>
              <w:tc>
                <w:tcPr>
                  <w:tcW w:w="812" w:type="pct"/>
                  <w:vAlign w:val="center"/>
                </w:tcPr>
                <w:p w14:paraId="71AFFA1B">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废渣</w:t>
                  </w:r>
                </w:p>
              </w:tc>
              <w:tc>
                <w:tcPr>
                  <w:tcW w:w="396" w:type="pct"/>
                  <w:vMerge w:val="continue"/>
                  <w:vAlign w:val="center"/>
                </w:tcPr>
                <w:p w14:paraId="0DD8EBB7">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c>
                <w:tcPr>
                  <w:tcW w:w="756" w:type="pct"/>
                  <w:vAlign w:val="center"/>
                </w:tcPr>
                <w:p w14:paraId="02A982CE">
                  <w:pPr>
                    <w:pStyle w:val="46"/>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去毛刺</w:t>
                  </w:r>
                </w:p>
              </w:tc>
              <w:tc>
                <w:tcPr>
                  <w:tcW w:w="378" w:type="pct"/>
                  <w:shd w:val="clear" w:color="auto" w:fill="auto"/>
                  <w:vAlign w:val="center"/>
                </w:tcPr>
                <w:p w14:paraId="5E6C4B0D">
                  <w:pPr>
                    <w:pStyle w:val="6"/>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vertAlign w:val="baseline"/>
                      <w:lang w:val="en-US" w:eastAsia="zh-CN"/>
                    </w:rPr>
                    <w:t>固态</w:t>
                  </w:r>
                </w:p>
              </w:tc>
              <w:tc>
                <w:tcPr>
                  <w:tcW w:w="459" w:type="pct"/>
                  <w:shd w:val="clear" w:color="auto" w:fill="auto"/>
                  <w:vAlign w:val="center"/>
                </w:tcPr>
                <w:p w14:paraId="036D3F2B">
                  <w:pPr>
                    <w:pStyle w:val="6"/>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SW17</w:t>
                  </w:r>
                </w:p>
              </w:tc>
              <w:tc>
                <w:tcPr>
                  <w:tcW w:w="738" w:type="pct"/>
                  <w:shd w:val="clear" w:color="auto" w:fill="auto"/>
                  <w:vAlign w:val="center"/>
                </w:tcPr>
                <w:p w14:paraId="63F3F845">
                  <w:pPr>
                    <w:pStyle w:val="6"/>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900-0</w:t>
                  </w:r>
                  <w:r>
                    <w:rPr>
                      <w:rFonts w:hint="eastAsia" w:eastAsia="仿宋" w:cs="Times New Roman"/>
                      <w:color w:val="auto"/>
                      <w:sz w:val="21"/>
                      <w:szCs w:val="21"/>
                      <w:highlight w:val="none"/>
                      <w:vertAlign w:val="baseline"/>
                      <w:lang w:val="en-US" w:eastAsia="zh-CN"/>
                    </w:rPr>
                    <w:t>02</w:t>
                  </w:r>
                  <w:r>
                    <w:rPr>
                      <w:rFonts w:hint="default" w:ascii="Times New Roman" w:hAnsi="Times New Roman" w:eastAsia="仿宋" w:cs="Times New Roman"/>
                      <w:color w:val="auto"/>
                      <w:sz w:val="21"/>
                      <w:szCs w:val="21"/>
                      <w:highlight w:val="none"/>
                      <w:vertAlign w:val="baseline"/>
                      <w:lang w:val="en-US" w:eastAsia="zh-CN"/>
                    </w:rPr>
                    <w:t>-S17</w:t>
                  </w:r>
                </w:p>
              </w:tc>
              <w:tc>
                <w:tcPr>
                  <w:tcW w:w="468" w:type="pct"/>
                  <w:shd w:val="clear" w:color="auto" w:fill="auto"/>
                  <w:vAlign w:val="center"/>
                </w:tcPr>
                <w:p w14:paraId="54CFA0FC">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0.1</w:t>
                  </w:r>
                </w:p>
              </w:tc>
              <w:tc>
                <w:tcPr>
                  <w:tcW w:w="712" w:type="pct"/>
                  <w:vMerge w:val="continue"/>
                  <w:vAlign w:val="center"/>
                </w:tcPr>
                <w:p w14:paraId="309FA87F">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r>
            <w:tr w14:paraId="028E5F7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4B534845">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4</w:t>
                  </w:r>
                </w:p>
              </w:tc>
              <w:tc>
                <w:tcPr>
                  <w:tcW w:w="812" w:type="pct"/>
                  <w:vAlign w:val="center"/>
                </w:tcPr>
                <w:p w14:paraId="4B2BC04B">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废</w:t>
                  </w:r>
                  <w:r>
                    <w:rPr>
                      <w:rFonts w:hint="eastAsia" w:eastAsia="仿宋" w:cs="Times New Roman"/>
                      <w:color w:val="auto"/>
                      <w:sz w:val="21"/>
                      <w:szCs w:val="21"/>
                      <w:highlight w:val="none"/>
                      <w:vertAlign w:val="baseline"/>
                      <w:lang w:val="en-US" w:eastAsia="zh-CN"/>
                    </w:rPr>
                    <w:t>金属屑</w:t>
                  </w:r>
                </w:p>
              </w:tc>
              <w:tc>
                <w:tcPr>
                  <w:tcW w:w="396" w:type="pct"/>
                  <w:vMerge w:val="restart"/>
                  <w:vAlign w:val="center"/>
                </w:tcPr>
                <w:p w14:paraId="0D2B0900">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危险废物</w:t>
                  </w:r>
                </w:p>
              </w:tc>
              <w:tc>
                <w:tcPr>
                  <w:tcW w:w="756" w:type="pct"/>
                  <w:shd w:val="clear" w:color="auto" w:fill="auto"/>
                  <w:vAlign w:val="center"/>
                </w:tcPr>
                <w:p w14:paraId="6FFA7C41">
                  <w:pPr>
                    <w:pStyle w:val="46"/>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机加工</w:t>
                  </w:r>
                </w:p>
              </w:tc>
              <w:tc>
                <w:tcPr>
                  <w:tcW w:w="378" w:type="pct"/>
                  <w:shd w:val="clear" w:color="auto" w:fill="auto"/>
                  <w:vAlign w:val="center"/>
                </w:tcPr>
                <w:p w14:paraId="77499AE8">
                  <w:pPr>
                    <w:jc w:val="center"/>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固态</w:t>
                  </w:r>
                </w:p>
              </w:tc>
              <w:tc>
                <w:tcPr>
                  <w:tcW w:w="459" w:type="pct"/>
                  <w:shd w:val="clear" w:color="auto" w:fill="auto"/>
                  <w:vAlign w:val="center"/>
                </w:tcPr>
                <w:p w14:paraId="5967A47A">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HW</w:t>
                  </w:r>
                  <w:r>
                    <w:rPr>
                      <w:rFonts w:hint="eastAsia" w:eastAsia="仿宋" w:cs="Times New Roman"/>
                      <w:color w:val="auto"/>
                      <w:kern w:val="0"/>
                      <w:sz w:val="21"/>
                      <w:szCs w:val="21"/>
                      <w:highlight w:val="none"/>
                      <w:lang w:val="en-US" w:eastAsia="zh-CN"/>
                    </w:rPr>
                    <w:t>0</w:t>
                  </w:r>
                  <w:r>
                    <w:rPr>
                      <w:rFonts w:hint="default" w:ascii="Times New Roman" w:hAnsi="Times New Roman" w:eastAsia="仿宋" w:cs="Times New Roman"/>
                      <w:color w:val="auto"/>
                      <w:kern w:val="0"/>
                      <w:sz w:val="21"/>
                      <w:szCs w:val="21"/>
                      <w:highlight w:val="none"/>
                    </w:rPr>
                    <w:t>9</w:t>
                  </w:r>
                </w:p>
              </w:tc>
              <w:tc>
                <w:tcPr>
                  <w:tcW w:w="738" w:type="pct"/>
                  <w:shd w:val="clear" w:color="auto" w:fill="auto"/>
                  <w:vAlign w:val="center"/>
                </w:tcPr>
                <w:p w14:paraId="568B6234">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900-0</w:t>
                  </w:r>
                  <w:r>
                    <w:rPr>
                      <w:rFonts w:hint="eastAsia" w:eastAsia="仿宋" w:cs="Times New Roman"/>
                      <w:color w:val="auto"/>
                      <w:kern w:val="0"/>
                      <w:sz w:val="21"/>
                      <w:szCs w:val="21"/>
                      <w:highlight w:val="none"/>
                      <w:lang w:val="en-US" w:eastAsia="zh-CN"/>
                    </w:rPr>
                    <w:t>06</w:t>
                  </w:r>
                  <w:r>
                    <w:rPr>
                      <w:rFonts w:hint="default" w:ascii="Times New Roman" w:hAnsi="Times New Roman" w:eastAsia="仿宋" w:cs="Times New Roman"/>
                      <w:color w:val="auto"/>
                      <w:kern w:val="0"/>
                      <w:sz w:val="21"/>
                      <w:szCs w:val="21"/>
                      <w:highlight w:val="none"/>
                    </w:rPr>
                    <w:t>-</w:t>
                  </w:r>
                  <w:r>
                    <w:rPr>
                      <w:rFonts w:hint="eastAsia" w:eastAsia="仿宋" w:cs="Times New Roman"/>
                      <w:color w:val="auto"/>
                      <w:kern w:val="0"/>
                      <w:sz w:val="21"/>
                      <w:szCs w:val="21"/>
                      <w:highlight w:val="none"/>
                      <w:lang w:val="en-US" w:eastAsia="zh-CN"/>
                    </w:rPr>
                    <w:t>0</w:t>
                  </w:r>
                  <w:r>
                    <w:rPr>
                      <w:rFonts w:hint="default" w:ascii="Times New Roman" w:hAnsi="Times New Roman" w:eastAsia="仿宋" w:cs="Times New Roman"/>
                      <w:color w:val="auto"/>
                      <w:kern w:val="0"/>
                      <w:sz w:val="21"/>
                      <w:szCs w:val="21"/>
                      <w:highlight w:val="none"/>
                    </w:rPr>
                    <w:t>9</w:t>
                  </w:r>
                </w:p>
              </w:tc>
              <w:tc>
                <w:tcPr>
                  <w:tcW w:w="468" w:type="pct"/>
                  <w:vAlign w:val="center"/>
                </w:tcPr>
                <w:p w14:paraId="2AB04488">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5</w:t>
                  </w:r>
                </w:p>
              </w:tc>
              <w:tc>
                <w:tcPr>
                  <w:tcW w:w="712" w:type="pct"/>
                  <w:vMerge w:val="restart"/>
                  <w:vAlign w:val="center"/>
                </w:tcPr>
                <w:p w14:paraId="6E474E26">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rPr>
                    <w:t>委托</w:t>
                  </w:r>
                  <w:r>
                    <w:rPr>
                      <w:rFonts w:hint="default" w:ascii="Times New Roman" w:hAnsi="Times New Roman" w:eastAsia="仿宋" w:cs="Times New Roman"/>
                      <w:color w:val="auto"/>
                      <w:sz w:val="21"/>
                      <w:szCs w:val="21"/>
                      <w:highlight w:val="none"/>
                      <w:vertAlign w:val="baseline"/>
                      <w:lang w:val="en-US" w:eastAsia="zh-CN"/>
                    </w:rPr>
                    <w:t>有资质单位处置（苏州己任环保科技服务有限公司</w:t>
                  </w:r>
                  <w:r>
                    <w:rPr>
                      <w:rFonts w:hint="eastAsia" w:eastAsia="仿宋" w:cs="Times New Roman"/>
                      <w:color w:val="auto"/>
                      <w:sz w:val="21"/>
                      <w:szCs w:val="21"/>
                      <w:highlight w:val="none"/>
                      <w:vertAlign w:val="baseline"/>
                      <w:lang w:val="en-US" w:eastAsia="zh-CN"/>
                    </w:rPr>
                    <w:t>、常州永葆绿能环境有限公司等</w:t>
                  </w:r>
                  <w:r>
                    <w:rPr>
                      <w:rFonts w:hint="default" w:ascii="Times New Roman" w:hAnsi="Times New Roman" w:eastAsia="仿宋" w:cs="Times New Roman"/>
                      <w:color w:val="auto"/>
                      <w:sz w:val="21"/>
                      <w:szCs w:val="21"/>
                      <w:highlight w:val="none"/>
                      <w:vertAlign w:val="baseline"/>
                      <w:lang w:val="en-US" w:eastAsia="zh-CN"/>
                    </w:rPr>
                    <w:t>）</w:t>
                  </w:r>
                </w:p>
              </w:tc>
            </w:tr>
            <w:tr w14:paraId="64E90AE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1033165A">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5</w:t>
                  </w:r>
                </w:p>
              </w:tc>
              <w:tc>
                <w:tcPr>
                  <w:tcW w:w="812" w:type="pct"/>
                  <w:vAlign w:val="center"/>
                </w:tcPr>
                <w:p w14:paraId="5E22F944">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废切削液</w:t>
                  </w:r>
                </w:p>
              </w:tc>
              <w:tc>
                <w:tcPr>
                  <w:tcW w:w="396" w:type="pct"/>
                  <w:vMerge w:val="continue"/>
                  <w:vAlign w:val="center"/>
                </w:tcPr>
                <w:p w14:paraId="436649BA">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c>
                <w:tcPr>
                  <w:tcW w:w="756" w:type="pct"/>
                  <w:shd w:val="clear" w:color="auto" w:fill="auto"/>
                  <w:vAlign w:val="center"/>
                </w:tcPr>
                <w:p w14:paraId="5F63FE90">
                  <w:pPr>
                    <w:pStyle w:val="46"/>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机加工</w:t>
                  </w:r>
                </w:p>
              </w:tc>
              <w:tc>
                <w:tcPr>
                  <w:tcW w:w="378" w:type="pct"/>
                  <w:shd w:val="clear" w:color="auto" w:fill="auto"/>
                  <w:vAlign w:val="center"/>
                </w:tcPr>
                <w:p w14:paraId="6377C903">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液态</w:t>
                  </w:r>
                </w:p>
              </w:tc>
              <w:tc>
                <w:tcPr>
                  <w:tcW w:w="850" w:type="dxa"/>
                  <w:shd w:val="clear" w:color="auto" w:fill="auto"/>
                  <w:vAlign w:val="center"/>
                </w:tcPr>
                <w:p w14:paraId="35070E30">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HW09</w:t>
                  </w:r>
                </w:p>
              </w:tc>
              <w:tc>
                <w:tcPr>
                  <w:tcW w:w="1366" w:type="dxa"/>
                  <w:shd w:val="clear" w:color="auto" w:fill="auto"/>
                  <w:vAlign w:val="center"/>
                </w:tcPr>
                <w:p w14:paraId="0B082D27">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900-006-09</w:t>
                  </w:r>
                </w:p>
              </w:tc>
              <w:tc>
                <w:tcPr>
                  <w:tcW w:w="468" w:type="pct"/>
                  <w:vAlign w:val="center"/>
                </w:tcPr>
                <w:p w14:paraId="1355F149">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20</w:t>
                  </w:r>
                </w:p>
              </w:tc>
              <w:tc>
                <w:tcPr>
                  <w:tcW w:w="712" w:type="pct"/>
                  <w:vMerge w:val="continue"/>
                  <w:vAlign w:val="center"/>
                </w:tcPr>
                <w:p w14:paraId="2F2F7BE2">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r>
            <w:tr w14:paraId="43AB220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769F5890">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6</w:t>
                  </w:r>
                </w:p>
              </w:tc>
              <w:tc>
                <w:tcPr>
                  <w:tcW w:w="812" w:type="pct"/>
                  <w:vAlign w:val="center"/>
                </w:tcPr>
                <w:p w14:paraId="1B9269F7">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废包装桶</w:t>
                  </w:r>
                </w:p>
              </w:tc>
              <w:tc>
                <w:tcPr>
                  <w:tcW w:w="396" w:type="pct"/>
                  <w:vMerge w:val="continue"/>
                  <w:vAlign w:val="center"/>
                </w:tcPr>
                <w:p w14:paraId="235159B9">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c>
                <w:tcPr>
                  <w:tcW w:w="756" w:type="pct"/>
                  <w:shd w:val="clear" w:color="auto" w:fill="auto"/>
                  <w:vAlign w:val="center"/>
                </w:tcPr>
                <w:p w14:paraId="28AC0D96">
                  <w:pPr>
                    <w:pStyle w:val="46"/>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原料使用</w:t>
                  </w:r>
                </w:p>
              </w:tc>
              <w:tc>
                <w:tcPr>
                  <w:tcW w:w="378" w:type="pct"/>
                  <w:shd w:val="clear" w:color="auto" w:fill="auto"/>
                  <w:vAlign w:val="center"/>
                </w:tcPr>
                <w:p w14:paraId="347282C7">
                  <w:pPr>
                    <w:widowControl/>
                    <w:adjustRightInd w:val="0"/>
                    <w:snapToGrid w:val="0"/>
                    <w:jc w:val="center"/>
                    <w:textAlignment w:val="baseline"/>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pacing w:val="4"/>
                      <w:kern w:val="0"/>
                      <w:sz w:val="21"/>
                      <w:szCs w:val="21"/>
                      <w:highlight w:val="none"/>
                    </w:rPr>
                    <w:t>固态</w:t>
                  </w:r>
                </w:p>
              </w:tc>
              <w:tc>
                <w:tcPr>
                  <w:tcW w:w="459" w:type="pct"/>
                  <w:shd w:val="clear" w:color="auto" w:fill="auto"/>
                  <w:vAlign w:val="center"/>
                </w:tcPr>
                <w:p w14:paraId="7B91DF2D">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HW</w:t>
                  </w:r>
                  <w:r>
                    <w:rPr>
                      <w:rFonts w:hint="eastAsia" w:eastAsia="仿宋" w:cs="Times New Roman"/>
                      <w:color w:val="auto"/>
                      <w:kern w:val="0"/>
                      <w:sz w:val="21"/>
                      <w:szCs w:val="21"/>
                      <w:highlight w:val="none"/>
                      <w:lang w:val="en-US" w:eastAsia="zh-CN"/>
                    </w:rPr>
                    <w:t>49</w:t>
                  </w:r>
                </w:p>
              </w:tc>
              <w:tc>
                <w:tcPr>
                  <w:tcW w:w="738" w:type="pct"/>
                  <w:shd w:val="clear" w:color="auto" w:fill="auto"/>
                  <w:vAlign w:val="center"/>
                </w:tcPr>
                <w:p w14:paraId="4833772E">
                  <w:pPr>
                    <w:pStyle w:val="46"/>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rPr>
                    <w:t>900-041</w:t>
                  </w:r>
                  <w:r>
                    <w:rPr>
                      <w:rFonts w:hint="default" w:ascii="Times New Roman" w:hAnsi="Times New Roman" w:eastAsia="仿宋" w:cs="Times New Roman"/>
                      <w:color w:val="auto"/>
                      <w:kern w:val="0"/>
                      <w:sz w:val="21"/>
                      <w:szCs w:val="21"/>
                      <w:highlight w:val="none"/>
                    </w:rPr>
                    <w:t>-</w:t>
                  </w:r>
                  <w:r>
                    <w:rPr>
                      <w:rFonts w:hint="eastAsia" w:eastAsia="仿宋" w:cs="Times New Roman"/>
                      <w:color w:val="auto"/>
                      <w:kern w:val="0"/>
                      <w:sz w:val="21"/>
                      <w:szCs w:val="21"/>
                      <w:highlight w:val="none"/>
                      <w:lang w:val="en-US" w:eastAsia="zh-CN"/>
                    </w:rPr>
                    <w:t>49</w:t>
                  </w:r>
                </w:p>
              </w:tc>
              <w:tc>
                <w:tcPr>
                  <w:tcW w:w="468" w:type="pct"/>
                  <w:vAlign w:val="center"/>
                </w:tcPr>
                <w:p w14:paraId="1E88BBE4">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0.5</w:t>
                  </w:r>
                </w:p>
              </w:tc>
              <w:tc>
                <w:tcPr>
                  <w:tcW w:w="712" w:type="pct"/>
                  <w:vMerge w:val="continue"/>
                  <w:vAlign w:val="center"/>
                </w:tcPr>
                <w:p w14:paraId="50884217">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r>
            <w:tr w14:paraId="364A1AE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15BD6375">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7</w:t>
                  </w:r>
                </w:p>
              </w:tc>
              <w:tc>
                <w:tcPr>
                  <w:tcW w:w="812" w:type="pct"/>
                  <w:vAlign w:val="center"/>
                </w:tcPr>
                <w:p w14:paraId="24538466">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废过滤网</w:t>
                  </w:r>
                </w:p>
              </w:tc>
              <w:tc>
                <w:tcPr>
                  <w:tcW w:w="396" w:type="pct"/>
                  <w:vMerge w:val="continue"/>
                  <w:vAlign w:val="center"/>
                </w:tcPr>
                <w:p w14:paraId="1A0063F4">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c>
                <w:tcPr>
                  <w:tcW w:w="756" w:type="pct"/>
                  <w:shd w:val="clear" w:color="auto" w:fill="auto"/>
                  <w:vAlign w:val="center"/>
                </w:tcPr>
                <w:p w14:paraId="7CEA1EFA">
                  <w:pPr>
                    <w:pStyle w:val="46"/>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机加工</w:t>
                  </w:r>
                </w:p>
              </w:tc>
              <w:tc>
                <w:tcPr>
                  <w:tcW w:w="378" w:type="pct"/>
                  <w:shd w:val="clear" w:color="auto" w:fill="auto"/>
                  <w:vAlign w:val="center"/>
                </w:tcPr>
                <w:p w14:paraId="1C3B862B">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液态</w:t>
                  </w:r>
                </w:p>
              </w:tc>
              <w:tc>
                <w:tcPr>
                  <w:tcW w:w="459" w:type="pct"/>
                  <w:shd w:val="clear" w:color="auto" w:fill="auto"/>
                  <w:vAlign w:val="center"/>
                </w:tcPr>
                <w:p w14:paraId="093DF755">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HW09</w:t>
                  </w:r>
                </w:p>
              </w:tc>
              <w:tc>
                <w:tcPr>
                  <w:tcW w:w="738" w:type="pct"/>
                  <w:shd w:val="clear" w:color="auto" w:fill="auto"/>
                  <w:vAlign w:val="center"/>
                </w:tcPr>
                <w:p w14:paraId="4AE474AE">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900-006-09</w:t>
                  </w:r>
                </w:p>
              </w:tc>
              <w:tc>
                <w:tcPr>
                  <w:tcW w:w="468" w:type="pct"/>
                  <w:vAlign w:val="center"/>
                </w:tcPr>
                <w:p w14:paraId="32F92EBA">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1.5</w:t>
                  </w:r>
                </w:p>
              </w:tc>
              <w:tc>
                <w:tcPr>
                  <w:tcW w:w="712" w:type="pct"/>
                  <w:vMerge w:val="continue"/>
                  <w:vAlign w:val="center"/>
                </w:tcPr>
                <w:p w14:paraId="370EF050">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r>
            <w:tr w14:paraId="6E00A9A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7CAC759F">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8</w:t>
                  </w:r>
                </w:p>
              </w:tc>
              <w:tc>
                <w:tcPr>
                  <w:tcW w:w="812" w:type="pct"/>
                  <w:vAlign w:val="center"/>
                </w:tcPr>
                <w:p w14:paraId="3FB0DA51">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eastAsia"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废液</w:t>
                  </w:r>
                </w:p>
              </w:tc>
              <w:tc>
                <w:tcPr>
                  <w:tcW w:w="396" w:type="pct"/>
                  <w:vMerge w:val="continue"/>
                  <w:vAlign w:val="center"/>
                </w:tcPr>
                <w:p w14:paraId="62090612">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c>
                <w:tcPr>
                  <w:tcW w:w="756" w:type="pct"/>
                  <w:shd w:val="clear" w:color="auto" w:fill="auto"/>
                  <w:vAlign w:val="center"/>
                </w:tcPr>
                <w:p w14:paraId="033EFED1">
                  <w:pPr>
                    <w:pStyle w:val="46"/>
                    <w:rPr>
                      <w:rFonts w:hint="eastAsia"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清洗</w:t>
                  </w:r>
                </w:p>
              </w:tc>
              <w:tc>
                <w:tcPr>
                  <w:tcW w:w="378" w:type="pct"/>
                  <w:shd w:val="clear" w:color="auto" w:fill="auto"/>
                  <w:vAlign w:val="center"/>
                </w:tcPr>
                <w:p w14:paraId="5047CEAB">
                  <w:pPr>
                    <w:pStyle w:val="46"/>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液态</w:t>
                  </w:r>
                </w:p>
              </w:tc>
              <w:tc>
                <w:tcPr>
                  <w:tcW w:w="459" w:type="pct"/>
                  <w:shd w:val="clear" w:color="auto" w:fill="auto"/>
                  <w:vAlign w:val="center"/>
                </w:tcPr>
                <w:p w14:paraId="4C272244">
                  <w:pPr>
                    <w:pStyle w:val="46"/>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HW12</w:t>
                  </w:r>
                </w:p>
              </w:tc>
              <w:tc>
                <w:tcPr>
                  <w:tcW w:w="738" w:type="pct"/>
                  <w:shd w:val="clear" w:color="auto" w:fill="auto"/>
                  <w:vAlign w:val="center"/>
                </w:tcPr>
                <w:p w14:paraId="0D5919C5">
                  <w:pPr>
                    <w:pStyle w:val="46"/>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264-013-12</w:t>
                  </w:r>
                </w:p>
              </w:tc>
              <w:tc>
                <w:tcPr>
                  <w:tcW w:w="468" w:type="pct"/>
                  <w:vAlign w:val="center"/>
                </w:tcPr>
                <w:p w14:paraId="3AF5BE07">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2.1</w:t>
                  </w:r>
                </w:p>
              </w:tc>
              <w:tc>
                <w:tcPr>
                  <w:tcW w:w="712" w:type="pct"/>
                  <w:vMerge w:val="continue"/>
                  <w:vAlign w:val="center"/>
                </w:tcPr>
                <w:p w14:paraId="3AFC62DD">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r>
            <w:tr w14:paraId="2E152B2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6B31DD0F">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9</w:t>
                  </w:r>
                </w:p>
              </w:tc>
              <w:tc>
                <w:tcPr>
                  <w:tcW w:w="812" w:type="pct"/>
                  <w:vAlign w:val="center"/>
                </w:tcPr>
                <w:p w14:paraId="12BEA143">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废陶瓷膜滤芯</w:t>
                  </w:r>
                </w:p>
              </w:tc>
              <w:tc>
                <w:tcPr>
                  <w:tcW w:w="396" w:type="pct"/>
                  <w:vMerge w:val="continue"/>
                  <w:vAlign w:val="center"/>
                </w:tcPr>
                <w:p w14:paraId="1E20E80E">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c>
                <w:tcPr>
                  <w:tcW w:w="756" w:type="pct"/>
                  <w:shd w:val="clear" w:color="auto" w:fill="auto"/>
                  <w:vAlign w:val="center"/>
                </w:tcPr>
                <w:p w14:paraId="06C39600">
                  <w:pPr>
                    <w:pStyle w:val="46"/>
                    <w:rPr>
                      <w:rFonts w:hint="eastAsia"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废水处理</w:t>
                  </w:r>
                </w:p>
              </w:tc>
              <w:tc>
                <w:tcPr>
                  <w:tcW w:w="378" w:type="pct"/>
                  <w:shd w:val="clear" w:color="auto" w:fill="auto"/>
                  <w:vAlign w:val="center"/>
                </w:tcPr>
                <w:p w14:paraId="3FEA6702">
                  <w:pP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spacing w:val="4"/>
                      <w:kern w:val="0"/>
                      <w:sz w:val="21"/>
                      <w:szCs w:val="21"/>
                      <w:highlight w:val="none"/>
                    </w:rPr>
                    <w:t>固态</w:t>
                  </w:r>
                </w:p>
              </w:tc>
              <w:tc>
                <w:tcPr>
                  <w:tcW w:w="850" w:type="dxa"/>
                  <w:shd w:val="clear" w:color="auto" w:fill="auto"/>
                  <w:vAlign w:val="center"/>
                </w:tcPr>
                <w:p w14:paraId="49567B88">
                  <w:pPr>
                    <w:pStyle w:val="46"/>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HW</w:t>
                  </w:r>
                  <w:r>
                    <w:rPr>
                      <w:rFonts w:hint="eastAsia" w:eastAsia="仿宋" w:cs="Times New Roman"/>
                      <w:color w:val="auto"/>
                      <w:kern w:val="0"/>
                      <w:sz w:val="21"/>
                      <w:szCs w:val="21"/>
                      <w:highlight w:val="none"/>
                      <w:lang w:val="en-US" w:eastAsia="zh-CN"/>
                    </w:rPr>
                    <w:t>49</w:t>
                  </w:r>
                </w:p>
              </w:tc>
              <w:tc>
                <w:tcPr>
                  <w:tcW w:w="1366" w:type="dxa"/>
                  <w:shd w:val="clear" w:color="auto" w:fill="auto"/>
                  <w:vAlign w:val="center"/>
                </w:tcPr>
                <w:p w14:paraId="3E7DA6BB">
                  <w:pPr>
                    <w:pStyle w:val="46"/>
                    <w:rPr>
                      <w:rFonts w:hint="default" w:ascii="Times New Roman" w:hAnsi="Times New Roman" w:eastAsia="仿宋" w:cs="Times New Roman"/>
                      <w:color w:val="auto"/>
                      <w:kern w:val="0"/>
                      <w:sz w:val="21"/>
                      <w:szCs w:val="21"/>
                      <w:highlight w:val="none"/>
                    </w:rPr>
                  </w:pPr>
                  <w:r>
                    <w:rPr>
                      <w:rFonts w:hint="eastAsia" w:eastAsia="仿宋" w:cs="Times New Roman"/>
                      <w:color w:val="auto"/>
                      <w:kern w:val="0"/>
                      <w:sz w:val="21"/>
                      <w:szCs w:val="21"/>
                      <w:highlight w:val="none"/>
                      <w:lang w:val="en-US" w:eastAsia="zh-CN"/>
                    </w:rPr>
                    <w:t>900-041</w:t>
                  </w:r>
                  <w:r>
                    <w:rPr>
                      <w:rFonts w:hint="default" w:ascii="Times New Roman" w:hAnsi="Times New Roman" w:eastAsia="仿宋" w:cs="Times New Roman"/>
                      <w:color w:val="auto"/>
                      <w:kern w:val="0"/>
                      <w:sz w:val="21"/>
                      <w:szCs w:val="21"/>
                      <w:highlight w:val="none"/>
                    </w:rPr>
                    <w:t>-</w:t>
                  </w:r>
                  <w:r>
                    <w:rPr>
                      <w:rFonts w:hint="eastAsia" w:eastAsia="仿宋" w:cs="Times New Roman"/>
                      <w:color w:val="auto"/>
                      <w:kern w:val="0"/>
                      <w:sz w:val="21"/>
                      <w:szCs w:val="21"/>
                      <w:highlight w:val="none"/>
                      <w:lang w:val="en-US" w:eastAsia="zh-CN"/>
                    </w:rPr>
                    <w:t>49</w:t>
                  </w:r>
                </w:p>
              </w:tc>
              <w:tc>
                <w:tcPr>
                  <w:tcW w:w="468" w:type="pct"/>
                  <w:vAlign w:val="center"/>
                </w:tcPr>
                <w:p w14:paraId="57985DD2">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0.1</w:t>
                  </w:r>
                </w:p>
              </w:tc>
              <w:tc>
                <w:tcPr>
                  <w:tcW w:w="712" w:type="pct"/>
                  <w:vMerge w:val="continue"/>
                  <w:vAlign w:val="center"/>
                </w:tcPr>
                <w:p w14:paraId="7F1E9864">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r>
            <w:tr w14:paraId="4DD1546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55CEF876">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10</w:t>
                  </w:r>
                </w:p>
              </w:tc>
              <w:tc>
                <w:tcPr>
                  <w:tcW w:w="812" w:type="pct"/>
                  <w:vAlign w:val="center"/>
                </w:tcPr>
                <w:p w14:paraId="4179F66E">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废油墨桶</w:t>
                  </w:r>
                </w:p>
              </w:tc>
              <w:tc>
                <w:tcPr>
                  <w:tcW w:w="396" w:type="pct"/>
                  <w:vMerge w:val="continue"/>
                  <w:vAlign w:val="center"/>
                </w:tcPr>
                <w:p w14:paraId="60F1C42D">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c>
                <w:tcPr>
                  <w:tcW w:w="756" w:type="pct"/>
                  <w:shd w:val="clear" w:color="auto" w:fill="auto"/>
                  <w:vAlign w:val="center"/>
                </w:tcPr>
                <w:p w14:paraId="7CC8804D">
                  <w:pPr>
                    <w:pStyle w:val="46"/>
                    <w:rPr>
                      <w:rFonts w:hint="eastAsia"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印刷</w:t>
                  </w:r>
                </w:p>
              </w:tc>
              <w:tc>
                <w:tcPr>
                  <w:tcW w:w="378" w:type="pct"/>
                  <w:shd w:val="clear" w:color="auto" w:fill="auto"/>
                  <w:vAlign w:val="center"/>
                </w:tcPr>
                <w:p w14:paraId="2850EDB1">
                  <w:pPr>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spacing w:val="4"/>
                      <w:kern w:val="0"/>
                      <w:sz w:val="21"/>
                      <w:szCs w:val="21"/>
                      <w:highlight w:val="none"/>
                    </w:rPr>
                    <w:t>固态</w:t>
                  </w:r>
                </w:p>
              </w:tc>
              <w:tc>
                <w:tcPr>
                  <w:tcW w:w="850" w:type="dxa"/>
                  <w:shd w:val="clear" w:color="auto" w:fill="auto"/>
                  <w:vAlign w:val="center"/>
                </w:tcPr>
                <w:p w14:paraId="15B3731C">
                  <w:pPr>
                    <w:pStyle w:val="46"/>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HW</w:t>
                  </w:r>
                  <w:r>
                    <w:rPr>
                      <w:rFonts w:hint="eastAsia" w:eastAsia="仿宋" w:cs="Times New Roman"/>
                      <w:color w:val="auto"/>
                      <w:kern w:val="0"/>
                      <w:sz w:val="21"/>
                      <w:szCs w:val="21"/>
                      <w:highlight w:val="none"/>
                      <w:lang w:val="en-US" w:eastAsia="zh-CN"/>
                    </w:rPr>
                    <w:t>49</w:t>
                  </w:r>
                </w:p>
              </w:tc>
              <w:tc>
                <w:tcPr>
                  <w:tcW w:w="1366" w:type="dxa"/>
                  <w:shd w:val="clear" w:color="auto" w:fill="auto"/>
                  <w:vAlign w:val="center"/>
                </w:tcPr>
                <w:p w14:paraId="5DB66FED">
                  <w:pPr>
                    <w:pStyle w:val="46"/>
                    <w:rPr>
                      <w:rFonts w:hint="default" w:ascii="Times New Roman" w:hAnsi="Times New Roman" w:eastAsia="仿宋" w:cs="Times New Roman"/>
                      <w:color w:val="auto"/>
                      <w:kern w:val="0"/>
                      <w:sz w:val="21"/>
                      <w:szCs w:val="21"/>
                      <w:highlight w:val="none"/>
                    </w:rPr>
                  </w:pPr>
                  <w:r>
                    <w:rPr>
                      <w:rFonts w:hint="eastAsia" w:eastAsia="仿宋" w:cs="Times New Roman"/>
                      <w:color w:val="auto"/>
                      <w:kern w:val="0"/>
                      <w:sz w:val="21"/>
                      <w:szCs w:val="21"/>
                      <w:highlight w:val="none"/>
                      <w:lang w:val="en-US" w:eastAsia="zh-CN"/>
                    </w:rPr>
                    <w:t>900-041</w:t>
                  </w:r>
                  <w:r>
                    <w:rPr>
                      <w:rFonts w:hint="default" w:ascii="Times New Roman" w:hAnsi="Times New Roman" w:eastAsia="仿宋" w:cs="Times New Roman"/>
                      <w:color w:val="auto"/>
                      <w:kern w:val="0"/>
                      <w:sz w:val="21"/>
                      <w:szCs w:val="21"/>
                      <w:highlight w:val="none"/>
                    </w:rPr>
                    <w:t>-</w:t>
                  </w:r>
                  <w:r>
                    <w:rPr>
                      <w:rFonts w:hint="eastAsia" w:eastAsia="仿宋" w:cs="Times New Roman"/>
                      <w:color w:val="auto"/>
                      <w:kern w:val="0"/>
                      <w:sz w:val="21"/>
                      <w:szCs w:val="21"/>
                      <w:highlight w:val="none"/>
                      <w:lang w:val="en-US" w:eastAsia="zh-CN"/>
                    </w:rPr>
                    <w:t>49</w:t>
                  </w:r>
                </w:p>
              </w:tc>
              <w:tc>
                <w:tcPr>
                  <w:tcW w:w="468" w:type="pct"/>
                  <w:vAlign w:val="center"/>
                </w:tcPr>
                <w:p w14:paraId="1FE3D104">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0.01</w:t>
                  </w:r>
                </w:p>
              </w:tc>
              <w:tc>
                <w:tcPr>
                  <w:tcW w:w="712" w:type="pct"/>
                  <w:vMerge w:val="continue"/>
                  <w:vAlign w:val="center"/>
                </w:tcPr>
                <w:p w14:paraId="3A2DF4E0">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r>
            <w:tr w14:paraId="186B658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4C87F9CE">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11</w:t>
                  </w:r>
                </w:p>
              </w:tc>
              <w:tc>
                <w:tcPr>
                  <w:tcW w:w="812" w:type="pct"/>
                  <w:vAlign w:val="center"/>
                </w:tcPr>
                <w:p w14:paraId="5CCD6189">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废抹布</w:t>
                  </w:r>
                </w:p>
              </w:tc>
              <w:tc>
                <w:tcPr>
                  <w:tcW w:w="396" w:type="pct"/>
                  <w:vMerge w:val="continue"/>
                  <w:vAlign w:val="center"/>
                </w:tcPr>
                <w:p w14:paraId="003DF53B">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c>
                <w:tcPr>
                  <w:tcW w:w="756" w:type="pct"/>
                  <w:shd w:val="clear" w:color="auto" w:fill="auto"/>
                  <w:vAlign w:val="center"/>
                </w:tcPr>
                <w:p w14:paraId="266FA6DD">
                  <w:pPr>
                    <w:pStyle w:val="46"/>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bidi="ar-SA"/>
                    </w:rPr>
                    <w:t>印刷</w:t>
                  </w:r>
                </w:p>
              </w:tc>
              <w:tc>
                <w:tcPr>
                  <w:tcW w:w="378" w:type="pct"/>
                  <w:shd w:val="clear" w:color="auto" w:fill="auto"/>
                  <w:vAlign w:val="center"/>
                </w:tcPr>
                <w:p w14:paraId="25A7860F">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spacing w:val="4"/>
                      <w:kern w:val="0"/>
                      <w:sz w:val="21"/>
                      <w:szCs w:val="21"/>
                      <w:highlight w:val="none"/>
                    </w:rPr>
                    <w:t>固态</w:t>
                  </w:r>
                </w:p>
              </w:tc>
              <w:tc>
                <w:tcPr>
                  <w:tcW w:w="850" w:type="dxa"/>
                  <w:shd w:val="clear" w:color="auto" w:fill="auto"/>
                  <w:vAlign w:val="center"/>
                </w:tcPr>
                <w:p w14:paraId="43899815">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HW</w:t>
                  </w:r>
                  <w:r>
                    <w:rPr>
                      <w:rFonts w:hint="eastAsia" w:eastAsia="仿宋" w:cs="Times New Roman"/>
                      <w:color w:val="auto"/>
                      <w:kern w:val="0"/>
                      <w:sz w:val="21"/>
                      <w:szCs w:val="21"/>
                      <w:highlight w:val="none"/>
                      <w:lang w:val="en-US" w:eastAsia="zh-CN"/>
                    </w:rPr>
                    <w:t>49</w:t>
                  </w:r>
                </w:p>
              </w:tc>
              <w:tc>
                <w:tcPr>
                  <w:tcW w:w="1366" w:type="dxa"/>
                  <w:shd w:val="clear" w:color="auto" w:fill="auto"/>
                  <w:vAlign w:val="center"/>
                </w:tcPr>
                <w:p w14:paraId="772DF614">
                  <w:pPr>
                    <w:pStyle w:val="46"/>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kern w:val="0"/>
                      <w:sz w:val="21"/>
                      <w:szCs w:val="21"/>
                      <w:highlight w:val="none"/>
                      <w:lang w:val="en-US" w:eastAsia="zh-CN"/>
                    </w:rPr>
                    <w:t>900-041</w:t>
                  </w:r>
                  <w:r>
                    <w:rPr>
                      <w:rFonts w:hint="default" w:ascii="Times New Roman" w:hAnsi="Times New Roman" w:eastAsia="仿宋" w:cs="Times New Roman"/>
                      <w:color w:val="auto"/>
                      <w:kern w:val="0"/>
                      <w:sz w:val="21"/>
                      <w:szCs w:val="21"/>
                      <w:highlight w:val="none"/>
                    </w:rPr>
                    <w:t>-</w:t>
                  </w:r>
                  <w:r>
                    <w:rPr>
                      <w:rFonts w:hint="eastAsia" w:eastAsia="仿宋" w:cs="Times New Roman"/>
                      <w:color w:val="auto"/>
                      <w:kern w:val="0"/>
                      <w:sz w:val="21"/>
                      <w:szCs w:val="21"/>
                      <w:highlight w:val="none"/>
                      <w:lang w:val="en-US" w:eastAsia="zh-CN"/>
                    </w:rPr>
                    <w:t>49</w:t>
                  </w:r>
                </w:p>
              </w:tc>
              <w:tc>
                <w:tcPr>
                  <w:tcW w:w="468" w:type="pct"/>
                  <w:vAlign w:val="center"/>
                </w:tcPr>
                <w:p w14:paraId="33E4DA8D">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0.01</w:t>
                  </w:r>
                </w:p>
              </w:tc>
              <w:tc>
                <w:tcPr>
                  <w:tcW w:w="712" w:type="pct"/>
                  <w:vMerge w:val="continue"/>
                  <w:vAlign w:val="center"/>
                </w:tcPr>
                <w:p w14:paraId="00012E81">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rPr>
                  </w:pPr>
                </w:p>
              </w:tc>
            </w:tr>
            <w:tr w14:paraId="341E368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Align w:val="center"/>
                </w:tcPr>
                <w:p w14:paraId="70239F61">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12</w:t>
                  </w:r>
                </w:p>
              </w:tc>
              <w:tc>
                <w:tcPr>
                  <w:tcW w:w="812" w:type="pct"/>
                  <w:vAlign w:val="center"/>
                </w:tcPr>
                <w:p w14:paraId="2F4CBAD3">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生活垃圾</w:t>
                  </w:r>
                </w:p>
              </w:tc>
              <w:tc>
                <w:tcPr>
                  <w:tcW w:w="396" w:type="pct"/>
                  <w:vAlign w:val="center"/>
                </w:tcPr>
                <w:p w14:paraId="673E1EC1">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员工生活</w:t>
                  </w:r>
                </w:p>
              </w:tc>
              <w:tc>
                <w:tcPr>
                  <w:tcW w:w="756" w:type="pct"/>
                  <w:shd w:val="clear" w:color="auto" w:fill="auto"/>
                  <w:vAlign w:val="center"/>
                </w:tcPr>
                <w:p w14:paraId="42E71EB5">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员工生活</w:t>
                  </w:r>
                </w:p>
              </w:tc>
              <w:tc>
                <w:tcPr>
                  <w:tcW w:w="378" w:type="pct"/>
                  <w:shd w:val="clear" w:color="auto" w:fill="auto"/>
                  <w:vAlign w:val="center"/>
                </w:tcPr>
                <w:p w14:paraId="17259617">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固态</w:t>
                  </w:r>
                </w:p>
              </w:tc>
              <w:tc>
                <w:tcPr>
                  <w:tcW w:w="459" w:type="pct"/>
                  <w:shd w:val="clear" w:color="auto" w:fill="auto"/>
                  <w:vAlign w:val="center"/>
                </w:tcPr>
                <w:p w14:paraId="19C34824">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SW64</w:t>
                  </w:r>
                </w:p>
              </w:tc>
              <w:tc>
                <w:tcPr>
                  <w:tcW w:w="738" w:type="pct"/>
                  <w:shd w:val="clear" w:color="auto" w:fill="auto"/>
                  <w:vAlign w:val="center"/>
                </w:tcPr>
                <w:p w14:paraId="25F50FA4">
                  <w:pPr>
                    <w:pStyle w:val="46"/>
                    <w:rPr>
                      <w:rFonts w:hint="default" w:ascii="Times New Roman" w:hAnsi="Times New Roman" w:eastAsia="仿宋" w:cs="Times New Roman"/>
                      <w:color w:val="auto"/>
                      <w:kern w:val="0"/>
                      <w:sz w:val="21"/>
                      <w:szCs w:val="21"/>
                      <w:highlight w:val="none"/>
                      <w:lang w:val="en-US" w:eastAsia="zh-CN" w:bidi="ar-SA"/>
                    </w:rPr>
                  </w:pPr>
                  <w:r>
                    <w:rPr>
                      <w:rFonts w:hint="default" w:ascii="Times New Roman" w:hAnsi="Times New Roman" w:eastAsia="仿宋" w:cs="Times New Roman"/>
                      <w:color w:val="auto"/>
                      <w:kern w:val="0"/>
                      <w:sz w:val="21"/>
                      <w:szCs w:val="21"/>
                      <w:highlight w:val="none"/>
                    </w:rPr>
                    <w:t>900-099-S64</w:t>
                  </w:r>
                </w:p>
              </w:tc>
              <w:tc>
                <w:tcPr>
                  <w:tcW w:w="468" w:type="pct"/>
                  <w:vAlign w:val="center"/>
                </w:tcPr>
                <w:p w14:paraId="70F35E71">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75</w:t>
                  </w:r>
                </w:p>
              </w:tc>
              <w:tc>
                <w:tcPr>
                  <w:tcW w:w="712" w:type="pct"/>
                  <w:vAlign w:val="center"/>
                </w:tcPr>
                <w:p w14:paraId="6B339B8E">
                  <w:pPr>
                    <w:pStyle w:val="6"/>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环卫部门清运</w:t>
                  </w:r>
                </w:p>
              </w:tc>
            </w:tr>
          </w:tbl>
          <w:p w14:paraId="7ABB23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auto"/>
                <w:sz w:val="24"/>
                <w:szCs w:val="24"/>
                <w:highlight w:val="none"/>
                <w:lang w:eastAsia="zh-CN"/>
              </w:rPr>
            </w:pPr>
            <w:r>
              <w:rPr>
                <w:rFonts w:hint="default" w:ascii="Times New Roman" w:hAnsi="Times New Roman" w:cs="Times New Roman"/>
                <w:b w:val="0"/>
                <w:bCs w:val="0"/>
                <w:color w:val="auto"/>
                <w:sz w:val="24"/>
                <w:szCs w:val="24"/>
                <w:highlight w:val="none"/>
                <w:lang w:eastAsia="zh-CN"/>
              </w:rPr>
              <w:t>现有项目一般固体废弃物和危险废物分开贮存，并分别设有一般固体废弃物标志牌、危险固体废弃物标志牌。一般固体废弃物贮存场所设置符合《一般工业固体废物贮存和填埋污染控制标准》（GB 18599-2020）。危废暂存区面积</w:t>
            </w:r>
            <w:r>
              <w:rPr>
                <w:rFonts w:hint="eastAsia" w:cs="Times New Roman"/>
                <w:b w:val="0"/>
                <w:bCs w:val="0"/>
                <w:color w:val="auto"/>
                <w:sz w:val="24"/>
                <w:szCs w:val="24"/>
                <w:highlight w:val="none"/>
                <w:lang w:val="en-US" w:eastAsia="zh-CN"/>
              </w:rPr>
              <w:t>20</w:t>
            </w:r>
            <w:r>
              <w:rPr>
                <w:rFonts w:hint="default" w:ascii="Times New Roman" w:hAnsi="Times New Roman" w:cs="Times New Roman"/>
                <w:b w:val="0"/>
                <w:bCs w:val="0"/>
                <w:color w:val="auto"/>
                <w:sz w:val="24"/>
                <w:szCs w:val="24"/>
                <w:highlight w:val="none"/>
                <w:lang w:eastAsia="zh-CN"/>
              </w:rPr>
              <w:t>平方米，地面为硬化地面+环氧地坪漆，具备防风、防雨、防渗、防漏措施；危险废物分类存放，并张贴环保标识牌；厂内危险废物的收集和贮存符合《危险废物贮存污染控制标准》（GB 18597-2023）和《江苏省固体废物污染环境防治条例》的有关要求。各种固废均能得到合理处置，对外实</w:t>
            </w:r>
            <w:r>
              <w:rPr>
                <w:rFonts w:hint="eastAsia" w:ascii="宋体" w:hAnsi="宋体" w:eastAsia="宋体" w:cs="宋体"/>
                <w:b w:val="0"/>
                <w:bCs w:val="0"/>
                <w:color w:val="auto"/>
                <w:sz w:val="24"/>
                <w:szCs w:val="24"/>
                <w:highlight w:val="none"/>
                <w:lang w:eastAsia="zh-CN"/>
              </w:rPr>
              <w:t>现</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零排放</w:t>
            </w:r>
            <w:r>
              <w:rPr>
                <w:rFonts w:hint="eastAsia" w:ascii="宋体" w:hAnsi="宋体" w:cs="宋体"/>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eastAsia="zh-CN"/>
              </w:rPr>
              <w:t>，对周围环境不会带来二次污染及其他影响。</w:t>
            </w:r>
          </w:p>
          <w:p w14:paraId="4DEE10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5</w:t>
            </w:r>
            <w:r>
              <w:rPr>
                <w:rFonts w:hint="default" w:ascii="Times New Roman" w:hAnsi="Times New Roman" w:cs="Times New Roman"/>
                <w:b w:val="0"/>
                <w:bCs w:val="0"/>
                <w:color w:val="auto"/>
                <w:sz w:val="24"/>
                <w:szCs w:val="24"/>
                <w:highlight w:val="none"/>
                <w:lang w:eastAsia="zh-CN"/>
              </w:rPr>
              <w:t>）</w:t>
            </w:r>
            <w:r>
              <w:rPr>
                <w:b w:val="0"/>
                <w:bCs w:val="0"/>
                <w:color w:val="auto"/>
                <w:sz w:val="24"/>
                <w:szCs w:val="24"/>
                <w:highlight w:val="none"/>
              </w:rPr>
              <w:t>现有项目污染物排放情况汇总</w:t>
            </w:r>
          </w:p>
          <w:p w14:paraId="2516E4E1">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210" w:leftChars="0" w:firstLine="0" w:firstLineChars="0"/>
              <w:jc w:val="center"/>
              <w:textAlignment w:val="auto"/>
              <w:rPr>
                <w:rFonts w:hint="eastAsia" w:ascii="Times New Roman" w:hAnsi="Times New Roman" w:eastAsia="宋体" w:cs="Times New Roman"/>
                <w:b/>
                <w:bCs/>
                <w:color w:val="auto"/>
                <w:kern w:val="2"/>
                <w:sz w:val="24"/>
                <w:szCs w:val="24"/>
                <w:highlight w:val="none"/>
                <w:lang w:val="en-US" w:eastAsia="zh-CN" w:bidi="ar"/>
              </w:rPr>
            </w:pPr>
            <w:r>
              <w:rPr>
                <w:rFonts w:hint="eastAsia" w:ascii="Times New Roman" w:hAnsi="Times New Roman" w:eastAsia="宋体" w:cs="Times New Roman"/>
                <w:b/>
                <w:bCs/>
                <w:color w:val="auto"/>
                <w:kern w:val="2"/>
                <w:sz w:val="24"/>
                <w:szCs w:val="24"/>
                <w:highlight w:val="none"/>
                <w:lang w:val="en-US" w:eastAsia="zh-CN" w:bidi="ar"/>
              </w:rPr>
              <w:t>现有项目污染物产排情况一览表（单位：t/a）</w:t>
            </w:r>
          </w:p>
          <w:tbl>
            <w:tblPr>
              <w:tblStyle w:val="22"/>
              <w:tblW w:w="4935" w:type="pct"/>
              <w:jc w:val="center"/>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Layout w:type="autofit"/>
              <w:tblCellMar>
                <w:top w:w="0" w:type="dxa"/>
                <w:left w:w="108" w:type="dxa"/>
                <w:bottom w:w="0" w:type="dxa"/>
                <w:right w:w="108" w:type="dxa"/>
              </w:tblCellMar>
            </w:tblPr>
            <w:tblGrid>
              <w:gridCol w:w="650"/>
              <w:gridCol w:w="892"/>
              <w:gridCol w:w="2429"/>
              <w:gridCol w:w="2184"/>
              <w:gridCol w:w="2985"/>
            </w:tblGrid>
            <w:tr w14:paraId="733A220B">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844" w:type="pct"/>
                  <w:gridSpan w:val="2"/>
                  <w:tcBorders>
                    <w:tl2br w:val="nil"/>
                    <w:tr2bl w:val="nil"/>
                  </w:tcBorders>
                  <w:noWrap w:val="0"/>
                  <w:vAlign w:val="center"/>
                </w:tcPr>
                <w:p w14:paraId="261997D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种类</w:t>
                  </w:r>
                </w:p>
              </w:tc>
              <w:tc>
                <w:tcPr>
                  <w:tcW w:w="1328" w:type="pct"/>
                  <w:tcBorders>
                    <w:tl2br w:val="nil"/>
                    <w:tr2bl w:val="nil"/>
                  </w:tcBorders>
                  <w:noWrap w:val="0"/>
                  <w:vAlign w:val="center"/>
                </w:tcPr>
                <w:p w14:paraId="27107C4A">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污染物名称</w:t>
                  </w:r>
                </w:p>
              </w:tc>
              <w:tc>
                <w:tcPr>
                  <w:tcW w:w="1194" w:type="pct"/>
                  <w:tcBorders>
                    <w:tl2br w:val="nil"/>
                    <w:tr2bl w:val="nil"/>
                  </w:tcBorders>
                  <w:noWrap w:val="0"/>
                  <w:vAlign w:val="center"/>
                </w:tcPr>
                <w:p w14:paraId="34E3C582">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实际排放量</w:t>
                  </w:r>
                </w:p>
              </w:tc>
              <w:tc>
                <w:tcPr>
                  <w:tcW w:w="1632" w:type="pct"/>
                  <w:tcBorders>
                    <w:tl2br w:val="nil"/>
                    <w:tr2bl w:val="nil"/>
                  </w:tcBorders>
                  <w:noWrap w:val="0"/>
                  <w:vAlign w:val="center"/>
                </w:tcPr>
                <w:p w14:paraId="1EEFCC9B">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批复总量</w:t>
                  </w:r>
                </w:p>
              </w:tc>
            </w:tr>
            <w:tr w14:paraId="5101E014">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844" w:type="pct"/>
                  <w:gridSpan w:val="2"/>
                  <w:vMerge w:val="restart"/>
                  <w:tcBorders>
                    <w:tl2br w:val="nil"/>
                    <w:tr2bl w:val="nil"/>
                  </w:tcBorders>
                  <w:noWrap w:val="0"/>
                  <w:vAlign w:val="center"/>
                </w:tcPr>
                <w:p w14:paraId="5E14C6F0">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废水</w:t>
                  </w:r>
                </w:p>
              </w:tc>
              <w:tc>
                <w:tcPr>
                  <w:tcW w:w="1328" w:type="pct"/>
                  <w:tcBorders>
                    <w:tl2br w:val="nil"/>
                    <w:tr2bl w:val="nil"/>
                  </w:tcBorders>
                  <w:noWrap w:val="0"/>
                  <w:vAlign w:val="center"/>
                </w:tcPr>
                <w:p w14:paraId="1BE92CB7">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eastAsia="zh-CN"/>
                    </w:rPr>
                    <w:t>废水量</w:t>
                  </w:r>
                </w:p>
              </w:tc>
              <w:tc>
                <w:tcPr>
                  <w:tcW w:w="1194" w:type="pct"/>
                  <w:tcBorders>
                    <w:tl2br w:val="nil"/>
                    <w:tr2bl w:val="nil"/>
                  </w:tcBorders>
                  <w:shd w:val="clear" w:color="auto" w:fill="auto"/>
                  <w:noWrap w:val="0"/>
                  <w:vAlign w:val="center"/>
                </w:tcPr>
                <w:p w14:paraId="4E7C8151">
                  <w:pPr>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sz w:val="21"/>
                      <w:szCs w:val="21"/>
                      <w:highlight w:val="none"/>
                      <w:vertAlign w:val="baseline"/>
                      <w:lang w:val="en-US" w:eastAsia="zh-CN"/>
                    </w:rPr>
                    <w:t>0.219</w:t>
                  </w:r>
                </w:p>
              </w:tc>
              <w:tc>
                <w:tcPr>
                  <w:tcW w:w="1632" w:type="pct"/>
                  <w:tcBorders>
                    <w:tl2br w:val="nil"/>
                    <w:tr2bl w:val="nil"/>
                  </w:tcBorders>
                  <w:noWrap w:val="0"/>
                  <w:vAlign w:val="center"/>
                </w:tcPr>
                <w:p w14:paraId="55EED4AD">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vertAlign w:val="baseline"/>
                      <w:lang w:val="en-US" w:eastAsia="zh-CN"/>
                    </w:rPr>
                    <w:t>1.2</w:t>
                  </w:r>
                </w:p>
              </w:tc>
            </w:tr>
            <w:tr w14:paraId="2683A7F1">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844" w:type="pct"/>
                  <w:gridSpan w:val="2"/>
                  <w:vMerge w:val="continue"/>
                  <w:tcBorders>
                    <w:tl2br w:val="nil"/>
                    <w:tr2bl w:val="nil"/>
                  </w:tcBorders>
                  <w:noWrap w:val="0"/>
                  <w:vAlign w:val="center"/>
                </w:tcPr>
                <w:p w14:paraId="0A6587F8">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rPr>
                  </w:pPr>
                </w:p>
              </w:tc>
              <w:tc>
                <w:tcPr>
                  <w:tcW w:w="1328" w:type="pct"/>
                  <w:tcBorders>
                    <w:tl2br w:val="nil"/>
                    <w:tr2bl w:val="nil"/>
                  </w:tcBorders>
                  <w:noWrap w:val="0"/>
                  <w:vAlign w:val="center"/>
                </w:tcPr>
                <w:p w14:paraId="590E05B4">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COD</w:t>
                  </w:r>
                </w:p>
              </w:tc>
              <w:tc>
                <w:tcPr>
                  <w:tcW w:w="1194" w:type="pct"/>
                  <w:tcBorders>
                    <w:tl2br w:val="nil"/>
                    <w:tr2bl w:val="nil"/>
                  </w:tcBorders>
                  <w:shd w:val="clear" w:color="auto" w:fill="auto"/>
                  <w:noWrap w:val="0"/>
                  <w:vAlign w:val="center"/>
                </w:tcPr>
                <w:p w14:paraId="7827C154">
                  <w:pPr>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vertAlign w:val="baseline"/>
                      <w:lang w:val="en-US" w:eastAsia="zh-CN"/>
                    </w:rPr>
                    <w:t>0.7</w:t>
                  </w:r>
                </w:p>
              </w:tc>
              <w:tc>
                <w:tcPr>
                  <w:tcW w:w="1632" w:type="pct"/>
                  <w:tcBorders>
                    <w:tl2br w:val="nil"/>
                    <w:tr2bl w:val="nil"/>
                  </w:tcBorders>
                  <w:noWrap w:val="0"/>
                  <w:vAlign w:val="center"/>
                </w:tcPr>
                <w:p w14:paraId="0CD3A3DA">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vertAlign w:val="baseline"/>
                      <w:lang w:val="en-US" w:eastAsia="zh-CN"/>
                    </w:rPr>
                    <w:t>2.1</w:t>
                  </w:r>
                </w:p>
              </w:tc>
            </w:tr>
            <w:tr w14:paraId="5EEB0D9E">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844" w:type="pct"/>
                  <w:gridSpan w:val="2"/>
                  <w:vMerge w:val="continue"/>
                  <w:tcBorders>
                    <w:tl2br w:val="nil"/>
                    <w:tr2bl w:val="nil"/>
                  </w:tcBorders>
                  <w:noWrap w:val="0"/>
                  <w:vAlign w:val="center"/>
                </w:tcPr>
                <w:p w14:paraId="063A95E3">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rPr>
                  </w:pPr>
                </w:p>
              </w:tc>
              <w:tc>
                <w:tcPr>
                  <w:tcW w:w="1328" w:type="pct"/>
                  <w:tcBorders>
                    <w:tl2br w:val="nil"/>
                    <w:tr2bl w:val="nil"/>
                  </w:tcBorders>
                  <w:noWrap w:val="0"/>
                  <w:vAlign w:val="center"/>
                </w:tcPr>
                <w:p w14:paraId="0A109479">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SS</w:t>
                  </w:r>
                </w:p>
              </w:tc>
              <w:tc>
                <w:tcPr>
                  <w:tcW w:w="1194" w:type="pct"/>
                  <w:tcBorders>
                    <w:tl2br w:val="nil"/>
                    <w:tr2bl w:val="nil"/>
                  </w:tcBorders>
                  <w:shd w:val="clear" w:color="auto" w:fill="auto"/>
                  <w:noWrap w:val="0"/>
                  <w:vAlign w:val="center"/>
                </w:tcPr>
                <w:p w14:paraId="202809E1">
                  <w:pPr>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vertAlign w:val="baseline"/>
                      <w:lang w:val="en-US" w:eastAsia="zh-CN"/>
                    </w:rPr>
                    <w:t>0.09</w:t>
                  </w:r>
                </w:p>
              </w:tc>
              <w:tc>
                <w:tcPr>
                  <w:tcW w:w="1632" w:type="pct"/>
                  <w:tcBorders>
                    <w:tl2br w:val="nil"/>
                    <w:tr2bl w:val="nil"/>
                  </w:tcBorders>
                  <w:noWrap w:val="0"/>
                  <w:vAlign w:val="center"/>
                </w:tcPr>
                <w:p w14:paraId="6092E2C3">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vertAlign w:val="baseline"/>
                      <w:lang w:val="en-US" w:eastAsia="zh-CN"/>
                    </w:rPr>
                    <w:t>0.15</w:t>
                  </w:r>
                </w:p>
              </w:tc>
            </w:tr>
            <w:tr w14:paraId="686B560F">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844" w:type="pct"/>
                  <w:gridSpan w:val="2"/>
                  <w:vMerge w:val="continue"/>
                  <w:tcBorders>
                    <w:tl2br w:val="nil"/>
                    <w:tr2bl w:val="nil"/>
                  </w:tcBorders>
                  <w:noWrap w:val="0"/>
                  <w:vAlign w:val="center"/>
                </w:tcPr>
                <w:p w14:paraId="4C166231">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rPr>
                  </w:pPr>
                </w:p>
              </w:tc>
              <w:tc>
                <w:tcPr>
                  <w:tcW w:w="1328" w:type="pct"/>
                  <w:tcBorders>
                    <w:tl2br w:val="nil"/>
                    <w:tr2bl w:val="nil"/>
                  </w:tcBorders>
                  <w:noWrap w:val="0"/>
                  <w:vAlign w:val="center"/>
                </w:tcPr>
                <w:p w14:paraId="4C857991">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NH</w:t>
                  </w:r>
                  <w:r>
                    <w:rPr>
                      <w:rFonts w:hint="default" w:ascii="Times New Roman" w:hAnsi="Times New Roman" w:eastAsia="仿宋" w:cs="Times New Roman"/>
                      <w:color w:val="auto"/>
                      <w:sz w:val="21"/>
                      <w:szCs w:val="21"/>
                      <w:highlight w:val="none"/>
                      <w:vertAlign w:val="subscript"/>
                    </w:rPr>
                    <w:t>3</w:t>
                  </w:r>
                  <w:r>
                    <w:rPr>
                      <w:rFonts w:hint="default" w:ascii="Times New Roman" w:hAnsi="Times New Roman" w:eastAsia="仿宋" w:cs="Times New Roman"/>
                      <w:color w:val="auto"/>
                      <w:sz w:val="21"/>
                      <w:szCs w:val="21"/>
                      <w:highlight w:val="none"/>
                    </w:rPr>
                    <w:t>-N</w:t>
                  </w:r>
                </w:p>
              </w:tc>
              <w:tc>
                <w:tcPr>
                  <w:tcW w:w="1194" w:type="pct"/>
                  <w:tcBorders>
                    <w:tl2br w:val="nil"/>
                    <w:tr2bl w:val="nil"/>
                  </w:tcBorders>
                  <w:shd w:val="clear" w:color="auto" w:fill="auto"/>
                  <w:noWrap w:val="0"/>
                  <w:vAlign w:val="center"/>
                </w:tcPr>
                <w:p w14:paraId="1159B287">
                  <w:pPr>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vertAlign w:val="baseline"/>
                      <w:lang w:val="en-US" w:eastAsia="zh-CN"/>
                    </w:rPr>
                    <w:t>0.0158</w:t>
                  </w:r>
                </w:p>
              </w:tc>
              <w:tc>
                <w:tcPr>
                  <w:tcW w:w="1632" w:type="pct"/>
                  <w:tcBorders>
                    <w:tl2br w:val="nil"/>
                    <w:tr2bl w:val="nil"/>
                  </w:tcBorders>
                  <w:noWrap w:val="0"/>
                  <w:vAlign w:val="center"/>
                </w:tcPr>
                <w:p w14:paraId="554EF9BA">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vertAlign w:val="baseline"/>
                      <w:lang w:val="en-US" w:eastAsia="zh-CN"/>
                    </w:rPr>
                    <w:t>0.018</w:t>
                  </w:r>
                </w:p>
              </w:tc>
            </w:tr>
            <w:tr w14:paraId="0B2063DF">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844" w:type="pct"/>
                  <w:gridSpan w:val="2"/>
                  <w:vMerge w:val="continue"/>
                  <w:tcBorders>
                    <w:tl2br w:val="nil"/>
                    <w:tr2bl w:val="nil"/>
                  </w:tcBorders>
                  <w:noWrap w:val="0"/>
                  <w:vAlign w:val="center"/>
                </w:tcPr>
                <w:p w14:paraId="6317DBC2">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rPr>
                  </w:pPr>
                </w:p>
              </w:tc>
              <w:tc>
                <w:tcPr>
                  <w:tcW w:w="1328" w:type="pct"/>
                  <w:tcBorders>
                    <w:tl2br w:val="nil"/>
                    <w:tr2bl w:val="nil"/>
                  </w:tcBorders>
                  <w:noWrap w:val="0"/>
                  <w:vAlign w:val="center"/>
                </w:tcPr>
                <w:p w14:paraId="38987A43">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T</w:t>
                  </w:r>
                  <w:r>
                    <w:rPr>
                      <w:rFonts w:hint="default" w:ascii="Times New Roman" w:hAnsi="Times New Roman" w:eastAsia="仿宋" w:cs="Times New Roman"/>
                      <w:color w:val="auto"/>
                      <w:sz w:val="21"/>
                      <w:szCs w:val="21"/>
                      <w:highlight w:val="none"/>
                      <w:lang w:val="en-US" w:eastAsia="zh-CN"/>
                    </w:rPr>
                    <w:t>N</w:t>
                  </w:r>
                </w:p>
              </w:tc>
              <w:tc>
                <w:tcPr>
                  <w:tcW w:w="1194" w:type="pct"/>
                  <w:tcBorders>
                    <w:tl2br w:val="nil"/>
                    <w:tr2bl w:val="nil"/>
                  </w:tcBorders>
                  <w:shd w:val="clear" w:color="auto" w:fill="auto"/>
                  <w:noWrap w:val="0"/>
                  <w:vAlign w:val="center"/>
                </w:tcPr>
                <w:p w14:paraId="44198676">
                  <w:pPr>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vertAlign w:val="baseline"/>
                      <w:lang w:val="en-US" w:eastAsia="zh-CN"/>
                    </w:rPr>
                    <w:t>0.127</w:t>
                  </w:r>
                </w:p>
              </w:tc>
              <w:tc>
                <w:tcPr>
                  <w:tcW w:w="1632" w:type="pct"/>
                  <w:tcBorders>
                    <w:tl2br w:val="nil"/>
                    <w:tr2bl w:val="nil"/>
                  </w:tcBorders>
                  <w:noWrap w:val="0"/>
                  <w:vAlign w:val="center"/>
                </w:tcPr>
                <w:p w14:paraId="53CFC9EF">
                  <w:pPr>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vertAlign w:val="baseline"/>
                      <w:lang w:val="en-US" w:eastAsia="zh-CN"/>
                    </w:rPr>
                    <w:t>0.24</w:t>
                  </w:r>
                </w:p>
              </w:tc>
            </w:tr>
            <w:tr w14:paraId="043A054B">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844" w:type="pct"/>
                  <w:gridSpan w:val="2"/>
                  <w:vMerge w:val="continue"/>
                  <w:tcBorders>
                    <w:tl2br w:val="nil"/>
                    <w:tr2bl w:val="nil"/>
                  </w:tcBorders>
                  <w:noWrap w:val="0"/>
                  <w:vAlign w:val="center"/>
                </w:tcPr>
                <w:p w14:paraId="5015A986">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rPr>
                  </w:pPr>
                </w:p>
              </w:tc>
              <w:tc>
                <w:tcPr>
                  <w:tcW w:w="1328" w:type="pct"/>
                  <w:tcBorders>
                    <w:tl2br w:val="nil"/>
                    <w:tr2bl w:val="nil"/>
                  </w:tcBorders>
                  <w:noWrap w:val="0"/>
                  <w:vAlign w:val="center"/>
                </w:tcPr>
                <w:p w14:paraId="5EFB4764">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TP</w:t>
                  </w:r>
                </w:p>
              </w:tc>
              <w:tc>
                <w:tcPr>
                  <w:tcW w:w="1194" w:type="pct"/>
                  <w:tcBorders>
                    <w:tl2br w:val="nil"/>
                    <w:tr2bl w:val="nil"/>
                  </w:tcBorders>
                  <w:shd w:val="clear" w:color="auto" w:fill="auto"/>
                  <w:noWrap w:val="0"/>
                  <w:vAlign w:val="center"/>
                </w:tcPr>
                <w:p w14:paraId="5E28358E">
                  <w:pPr>
                    <w:jc w:val="center"/>
                    <w:rPr>
                      <w:rFonts w:hint="default" w:ascii="Times New Roman" w:hAnsi="Times New Roman" w:eastAsia="仿宋" w:cs="Times New Roman"/>
                      <w:color w:val="auto"/>
                      <w:kern w:val="0"/>
                      <w:sz w:val="21"/>
                      <w:szCs w:val="21"/>
                      <w:highlight w:val="none"/>
                      <w:lang w:val="en-US" w:eastAsia="zh-CN" w:bidi="ar-SA"/>
                    </w:rPr>
                  </w:pPr>
                  <w:r>
                    <w:rPr>
                      <w:rFonts w:hint="eastAsia" w:eastAsia="仿宋" w:cs="Times New Roman"/>
                      <w:color w:val="auto"/>
                      <w:sz w:val="21"/>
                      <w:szCs w:val="21"/>
                      <w:highlight w:val="none"/>
                      <w:vertAlign w:val="baseline"/>
                      <w:lang w:val="en-US" w:eastAsia="zh-CN"/>
                    </w:rPr>
                    <w:t>0.219</w:t>
                  </w:r>
                </w:p>
              </w:tc>
              <w:tc>
                <w:tcPr>
                  <w:tcW w:w="1632" w:type="pct"/>
                  <w:tcBorders>
                    <w:tl2br w:val="nil"/>
                    <w:tr2bl w:val="nil"/>
                  </w:tcBorders>
                  <w:noWrap w:val="0"/>
                  <w:vAlign w:val="center"/>
                </w:tcPr>
                <w:p w14:paraId="1B0CD3CA">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vertAlign w:val="baseline"/>
                      <w:lang w:val="en-US" w:eastAsia="zh-CN"/>
                    </w:rPr>
                    <w:t>1.2</w:t>
                  </w:r>
                </w:p>
              </w:tc>
            </w:tr>
            <w:tr w14:paraId="5F73F99A">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PrEx>
              <w:trPr>
                <w:cantSplit/>
                <w:trHeight w:val="340" w:hRule="atLeast"/>
                <w:jc w:val="center"/>
              </w:trPr>
              <w:tc>
                <w:tcPr>
                  <w:tcW w:w="356" w:type="pct"/>
                  <w:tcBorders>
                    <w:tl2br w:val="nil"/>
                    <w:tr2bl w:val="nil"/>
                  </w:tcBorders>
                  <w:noWrap w:val="0"/>
                  <w:vAlign w:val="center"/>
                </w:tcPr>
                <w:p w14:paraId="71792CBE">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废气</w:t>
                  </w:r>
                </w:p>
              </w:tc>
              <w:tc>
                <w:tcPr>
                  <w:tcW w:w="487" w:type="pct"/>
                  <w:tcBorders>
                    <w:tl2br w:val="nil"/>
                    <w:tr2bl w:val="nil"/>
                  </w:tcBorders>
                  <w:noWrap w:val="0"/>
                  <w:vAlign w:val="center"/>
                </w:tcPr>
                <w:p w14:paraId="4E0F0561">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无</w:t>
                  </w:r>
                  <w:r>
                    <w:rPr>
                      <w:rFonts w:hint="default" w:ascii="Times New Roman" w:hAnsi="Times New Roman" w:eastAsia="仿宋" w:cs="Times New Roman"/>
                      <w:color w:val="auto"/>
                      <w:sz w:val="21"/>
                      <w:szCs w:val="21"/>
                      <w:highlight w:val="none"/>
                      <w:lang w:val="en-US" w:eastAsia="zh-CN"/>
                    </w:rPr>
                    <w:t>组织</w:t>
                  </w:r>
                </w:p>
              </w:tc>
              <w:tc>
                <w:tcPr>
                  <w:tcW w:w="1328" w:type="pct"/>
                  <w:tcBorders>
                    <w:tl2br w:val="nil"/>
                    <w:tr2bl w:val="nil"/>
                  </w:tcBorders>
                  <w:noWrap w:val="0"/>
                  <w:vAlign w:val="center"/>
                </w:tcPr>
                <w:p w14:paraId="2DA5DC0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非甲烷总烃</w:t>
                  </w:r>
                </w:p>
              </w:tc>
              <w:tc>
                <w:tcPr>
                  <w:tcW w:w="1194" w:type="pct"/>
                  <w:tcBorders>
                    <w:tl2br w:val="nil"/>
                    <w:tr2bl w:val="nil"/>
                  </w:tcBorders>
                  <w:shd w:val="clear" w:color="auto" w:fill="auto"/>
                  <w:noWrap w:val="0"/>
                  <w:vAlign w:val="center"/>
                </w:tcPr>
                <w:p w14:paraId="34473A2A">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w:t>
                  </w:r>
                </w:p>
              </w:tc>
              <w:tc>
                <w:tcPr>
                  <w:tcW w:w="1632" w:type="pct"/>
                  <w:tcBorders>
                    <w:tl2br w:val="nil"/>
                    <w:tr2bl w:val="nil"/>
                  </w:tcBorders>
                  <w:noWrap w:val="0"/>
                  <w:vAlign w:val="center"/>
                </w:tcPr>
                <w:p w14:paraId="5F92D089">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0.004</w:t>
                  </w:r>
                </w:p>
              </w:tc>
            </w:tr>
            <w:tr w14:paraId="00CF8B00">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PrEx>
              <w:trPr>
                <w:cantSplit/>
                <w:trHeight w:val="340" w:hRule="atLeast"/>
                <w:jc w:val="center"/>
              </w:trPr>
              <w:tc>
                <w:tcPr>
                  <w:tcW w:w="844" w:type="pct"/>
                  <w:gridSpan w:val="2"/>
                  <w:vMerge w:val="restart"/>
                  <w:tcBorders>
                    <w:tl2br w:val="nil"/>
                    <w:tr2bl w:val="nil"/>
                  </w:tcBorders>
                  <w:noWrap w:val="0"/>
                  <w:vAlign w:val="center"/>
                </w:tcPr>
                <w:p w14:paraId="6A04B17F">
                  <w:pPr>
                    <w:keepNext w:val="0"/>
                    <w:keepLines w:val="0"/>
                    <w:pageBreakBefore w:val="0"/>
                    <w:kinsoku/>
                    <w:wordWrap/>
                    <w:overflowPunct/>
                    <w:topLinePunct w:val="0"/>
                    <w:autoSpaceDE/>
                    <w:autoSpaceDN/>
                    <w:bidi w:val="0"/>
                    <w:snapToGrid w:val="0"/>
                    <w:spacing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固废</w:t>
                  </w:r>
                </w:p>
              </w:tc>
              <w:tc>
                <w:tcPr>
                  <w:tcW w:w="1328" w:type="pct"/>
                  <w:tcBorders>
                    <w:tl2br w:val="nil"/>
                    <w:tr2bl w:val="nil"/>
                  </w:tcBorders>
                  <w:noWrap w:val="0"/>
                  <w:vAlign w:val="center"/>
                </w:tcPr>
                <w:p w14:paraId="632D633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一般固废</w:t>
                  </w:r>
                </w:p>
              </w:tc>
              <w:tc>
                <w:tcPr>
                  <w:tcW w:w="1194" w:type="pct"/>
                  <w:tcBorders>
                    <w:tl2br w:val="nil"/>
                    <w:tr2bl w:val="nil"/>
                  </w:tcBorders>
                  <w:noWrap w:val="0"/>
                  <w:vAlign w:val="center"/>
                </w:tcPr>
                <w:p w14:paraId="5E2606E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w:t>
                  </w:r>
                </w:p>
              </w:tc>
              <w:tc>
                <w:tcPr>
                  <w:tcW w:w="1632" w:type="pct"/>
                  <w:tcBorders>
                    <w:tl2br w:val="nil"/>
                    <w:tr2bl w:val="nil"/>
                  </w:tcBorders>
                  <w:noWrap w:val="0"/>
                  <w:vAlign w:val="center"/>
                </w:tcPr>
                <w:p w14:paraId="66B1430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w:t>
                  </w:r>
                </w:p>
              </w:tc>
            </w:tr>
            <w:tr w14:paraId="49137994">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844" w:type="pct"/>
                  <w:gridSpan w:val="2"/>
                  <w:vMerge w:val="continue"/>
                  <w:tcBorders>
                    <w:tl2br w:val="nil"/>
                    <w:tr2bl w:val="nil"/>
                  </w:tcBorders>
                  <w:noWrap w:val="0"/>
                  <w:vAlign w:val="center"/>
                </w:tcPr>
                <w:p w14:paraId="5B13DC2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rPr>
                  </w:pPr>
                </w:p>
              </w:tc>
              <w:tc>
                <w:tcPr>
                  <w:tcW w:w="1328" w:type="pct"/>
                  <w:tcBorders>
                    <w:tl2br w:val="nil"/>
                    <w:tr2bl w:val="nil"/>
                  </w:tcBorders>
                  <w:noWrap w:val="0"/>
                  <w:vAlign w:val="center"/>
                </w:tcPr>
                <w:p w14:paraId="129AAF7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危险废物</w:t>
                  </w:r>
                </w:p>
              </w:tc>
              <w:tc>
                <w:tcPr>
                  <w:tcW w:w="1194" w:type="pct"/>
                  <w:tcBorders>
                    <w:tl2br w:val="nil"/>
                    <w:tr2bl w:val="nil"/>
                  </w:tcBorders>
                  <w:noWrap w:val="0"/>
                  <w:vAlign w:val="center"/>
                </w:tcPr>
                <w:p w14:paraId="1B5D5B3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w:t>
                  </w:r>
                </w:p>
              </w:tc>
              <w:tc>
                <w:tcPr>
                  <w:tcW w:w="1632" w:type="pct"/>
                  <w:tcBorders>
                    <w:tl2br w:val="nil"/>
                    <w:tr2bl w:val="nil"/>
                  </w:tcBorders>
                  <w:noWrap w:val="0"/>
                  <w:vAlign w:val="center"/>
                </w:tcPr>
                <w:p w14:paraId="2042AEE8">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w:t>
                  </w:r>
                </w:p>
              </w:tc>
            </w:tr>
            <w:tr w14:paraId="00A84E38">
              <w:tblPrEx>
                <w:tblBorders>
                  <w:top w:val="single" w:color="000000" w:sz="12" w:space="0"/>
                  <w:left w:val="single" w:color="000000" w:sz="12" w:space="0"/>
                  <w:bottom w:val="single" w:color="000000" w:sz="12" w:space="0"/>
                  <w:right w:val="single" w:color="000000" w:sz="12" w:space="0"/>
                  <w:insideH w:val="single" w:color="auto" w:sz="8" w:space="0"/>
                  <w:insideV w:val="single" w:color="auto" w:sz="8" w:space="0"/>
                </w:tblBorders>
                <w:tblCellMar>
                  <w:top w:w="0" w:type="dxa"/>
                  <w:left w:w="108" w:type="dxa"/>
                  <w:bottom w:w="0" w:type="dxa"/>
                  <w:right w:w="108" w:type="dxa"/>
                </w:tblCellMar>
              </w:tblPrEx>
              <w:trPr>
                <w:cantSplit/>
                <w:trHeight w:val="340" w:hRule="atLeast"/>
                <w:jc w:val="center"/>
              </w:trPr>
              <w:tc>
                <w:tcPr>
                  <w:tcW w:w="844" w:type="pct"/>
                  <w:gridSpan w:val="2"/>
                  <w:vMerge w:val="continue"/>
                  <w:tcBorders>
                    <w:tl2br w:val="nil"/>
                    <w:tr2bl w:val="nil"/>
                  </w:tcBorders>
                  <w:noWrap w:val="0"/>
                  <w:vAlign w:val="center"/>
                </w:tcPr>
                <w:p w14:paraId="0616F08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rPr>
                  </w:pPr>
                </w:p>
              </w:tc>
              <w:tc>
                <w:tcPr>
                  <w:tcW w:w="1328" w:type="pct"/>
                  <w:tcBorders>
                    <w:tl2br w:val="nil"/>
                    <w:tr2bl w:val="nil"/>
                  </w:tcBorders>
                  <w:noWrap w:val="0"/>
                  <w:vAlign w:val="center"/>
                </w:tcPr>
                <w:p w14:paraId="492D5044">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生活垃圾</w:t>
                  </w:r>
                </w:p>
              </w:tc>
              <w:tc>
                <w:tcPr>
                  <w:tcW w:w="1194" w:type="pct"/>
                  <w:tcBorders>
                    <w:tl2br w:val="nil"/>
                    <w:tr2bl w:val="nil"/>
                  </w:tcBorders>
                  <w:noWrap w:val="0"/>
                  <w:vAlign w:val="center"/>
                </w:tcPr>
                <w:p w14:paraId="3F1C812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w:t>
                  </w:r>
                </w:p>
              </w:tc>
              <w:tc>
                <w:tcPr>
                  <w:tcW w:w="1632" w:type="pct"/>
                  <w:tcBorders>
                    <w:tl2br w:val="nil"/>
                    <w:tr2bl w:val="nil"/>
                  </w:tcBorders>
                  <w:noWrap w:val="0"/>
                  <w:vAlign w:val="center"/>
                </w:tcPr>
                <w:p w14:paraId="106C812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w:t>
                  </w:r>
                </w:p>
              </w:tc>
            </w:tr>
          </w:tbl>
          <w:p w14:paraId="1DFED3DA">
            <w:pPr>
              <w:keepNext w:val="0"/>
              <w:keepLines w:val="0"/>
              <w:suppressLineNumbers w:val="0"/>
              <w:autoSpaceDE w:val="0"/>
              <w:autoSpaceDN w:val="0"/>
              <w:adjustRightInd w:val="0"/>
              <w:spacing w:before="0" w:beforeAutospacing="0" w:after="0" w:afterAutospacing="0" w:line="360" w:lineRule="auto"/>
              <w:ind w:left="0" w:right="0" w:firstLine="482" w:firstLineChars="200"/>
              <w:rPr>
                <w:rFonts w:hint="default" w:ascii="Times New Roman" w:hAnsi="Times New Roman"/>
                <w:b/>
                <w:color w:val="auto"/>
                <w:sz w:val="24"/>
                <w:szCs w:val="24"/>
                <w:highlight w:val="none"/>
              </w:rPr>
            </w:pPr>
            <w:r>
              <w:rPr>
                <w:rFonts w:hint="eastAsia"/>
                <w:b/>
                <w:color w:val="auto"/>
                <w:sz w:val="24"/>
                <w:szCs w:val="24"/>
                <w:highlight w:val="none"/>
                <w:lang w:val="en-US" w:eastAsia="zh-CN"/>
              </w:rPr>
              <w:t>5、</w:t>
            </w:r>
            <w:r>
              <w:rPr>
                <w:rFonts w:hint="default" w:ascii="Times New Roman" w:hAnsi="Times New Roman"/>
                <w:b/>
                <w:color w:val="auto"/>
                <w:sz w:val="24"/>
                <w:szCs w:val="24"/>
                <w:highlight w:val="none"/>
              </w:rPr>
              <w:t>原有</w:t>
            </w:r>
            <w:r>
              <w:rPr>
                <w:rFonts w:hint="default" w:ascii="Times New Roman" w:hAnsi="Times New Roman"/>
                <w:b/>
                <w:color w:val="auto"/>
                <w:kern w:val="0"/>
                <w:sz w:val="24"/>
                <w:szCs w:val="24"/>
                <w:highlight w:val="none"/>
              </w:rPr>
              <w:t>卫生防护距离设置情况</w:t>
            </w:r>
          </w:p>
          <w:p w14:paraId="28B0D5F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olor w:val="auto"/>
                <w:sz w:val="24"/>
                <w:szCs w:val="24"/>
                <w:highlight w:val="none"/>
              </w:rPr>
            </w:pPr>
            <w:r>
              <w:rPr>
                <w:rFonts w:hint="default" w:ascii="Times New Roman" w:hAnsi="Times New Roman"/>
                <w:color w:val="auto"/>
                <w:sz w:val="24"/>
                <w:szCs w:val="24"/>
                <w:highlight w:val="none"/>
              </w:rPr>
              <w:t>根据原环评及批复，</w:t>
            </w:r>
            <w:r>
              <w:rPr>
                <w:rFonts w:hint="eastAsia" w:ascii="Times New Roman" w:hAnsi="Times New Roman"/>
                <w:color w:val="auto"/>
                <w:sz w:val="24"/>
                <w:szCs w:val="24"/>
                <w:highlight w:val="none"/>
              </w:rPr>
              <w:t>现有项目以厂房</w:t>
            </w:r>
            <w:r>
              <w:rPr>
                <w:rFonts w:hint="eastAsia" w:ascii="Times New Roman" w:hAnsi="Times New Roman"/>
                <w:color w:val="auto"/>
                <w:sz w:val="24"/>
                <w:szCs w:val="24"/>
                <w:highlight w:val="none"/>
                <w:lang w:val="en-US" w:eastAsia="zh-CN"/>
              </w:rPr>
              <w:t>边</w:t>
            </w:r>
            <w:r>
              <w:rPr>
                <w:rFonts w:hint="eastAsia" w:ascii="Times New Roman" w:hAnsi="Times New Roman"/>
                <w:color w:val="auto"/>
                <w:sz w:val="24"/>
                <w:szCs w:val="24"/>
                <w:highlight w:val="none"/>
              </w:rPr>
              <w:t>界</w:t>
            </w:r>
            <w:r>
              <w:rPr>
                <w:rFonts w:hint="eastAsia" w:ascii="Times New Roman" w:hAnsi="Times New Roman"/>
                <w:color w:val="auto"/>
                <w:sz w:val="24"/>
                <w:szCs w:val="24"/>
                <w:highlight w:val="none"/>
                <w:lang w:val="en-US" w:eastAsia="zh-CN"/>
              </w:rPr>
              <w:t>为起点</w:t>
            </w:r>
            <w:r>
              <w:rPr>
                <w:rFonts w:hint="eastAsia" w:ascii="Times New Roman" w:hAnsi="Times New Roman"/>
                <w:color w:val="auto"/>
                <w:sz w:val="24"/>
                <w:szCs w:val="24"/>
                <w:highlight w:val="none"/>
              </w:rPr>
              <w:t>设置100米</w:t>
            </w:r>
            <w:r>
              <w:rPr>
                <w:rFonts w:hint="eastAsia" w:ascii="Times New Roman" w:hAnsi="Times New Roman"/>
                <w:color w:val="auto"/>
                <w:sz w:val="24"/>
                <w:szCs w:val="24"/>
                <w:highlight w:val="none"/>
                <w:lang w:val="en-US" w:eastAsia="zh-CN"/>
              </w:rPr>
              <w:t>的</w:t>
            </w:r>
            <w:r>
              <w:rPr>
                <w:rFonts w:hint="eastAsia" w:ascii="Times New Roman" w:hAnsi="Times New Roman"/>
                <w:color w:val="auto"/>
                <w:sz w:val="24"/>
                <w:szCs w:val="24"/>
                <w:highlight w:val="none"/>
              </w:rPr>
              <w:t>卫生防护距离，</w:t>
            </w:r>
            <w:r>
              <w:rPr>
                <w:rFonts w:hint="default" w:ascii="Times New Roman" w:hAnsi="Times New Roman"/>
                <w:color w:val="auto"/>
                <w:sz w:val="24"/>
                <w:szCs w:val="24"/>
                <w:highlight w:val="none"/>
              </w:rPr>
              <w:t>卫生防护距离</w:t>
            </w:r>
            <w:r>
              <w:rPr>
                <w:rFonts w:hint="eastAsia" w:ascii="Times New Roman" w:hAnsi="Times New Roman"/>
                <w:color w:val="auto"/>
                <w:sz w:val="24"/>
                <w:szCs w:val="24"/>
                <w:highlight w:val="none"/>
              </w:rPr>
              <w:t>内无敏感点</w:t>
            </w:r>
            <w:r>
              <w:rPr>
                <w:rFonts w:hint="default" w:ascii="Times New Roman" w:hAnsi="Times New Roman"/>
                <w:color w:val="auto"/>
                <w:sz w:val="24"/>
                <w:szCs w:val="24"/>
                <w:highlight w:val="none"/>
              </w:rPr>
              <w:t>。</w:t>
            </w:r>
          </w:p>
          <w:p w14:paraId="2230D959">
            <w:pPr>
              <w:keepNext w:val="0"/>
              <w:keepLines w:val="0"/>
              <w:suppressLineNumbers w:val="0"/>
              <w:spacing w:before="0" w:beforeAutospacing="0" w:after="0" w:afterAutospacing="0" w:line="360" w:lineRule="auto"/>
              <w:ind w:left="0" w:right="0" w:firstLine="482" w:firstLineChars="200"/>
              <w:rPr>
                <w:rFonts w:hint="default" w:ascii="Times New Roman" w:hAnsi="Times New Roman"/>
                <w:b/>
                <w:bCs/>
                <w:color w:val="auto"/>
                <w:sz w:val="24"/>
                <w:szCs w:val="24"/>
                <w:highlight w:val="none"/>
              </w:rPr>
            </w:pPr>
            <w:r>
              <w:rPr>
                <w:rFonts w:hint="eastAsia"/>
                <w:b/>
                <w:bCs/>
                <w:color w:val="auto"/>
                <w:sz w:val="24"/>
                <w:szCs w:val="24"/>
                <w:highlight w:val="none"/>
                <w:lang w:val="en-US" w:eastAsia="zh-CN"/>
              </w:rPr>
              <w:t>6、</w:t>
            </w:r>
            <w:r>
              <w:rPr>
                <w:rFonts w:hint="default" w:ascii="Times New Roman" w:hAnsi="Times New Roman"/>
                <w:b/>
                <w:bCs/>
                <w:color w:val="auto"/>
                <w:sz w:val="24"/>
                <w:szCs w:val="24"/>
                <w:highlight w:val="none"/>
              </w:rPr>
              <w:t>周边居民投诉情况</w:t>
            </w:r>
          </w:p>
          <w:p w14:paraId="26B523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未收到周边居民的相关投诉。</w:t>
            </w:r>
          </w:p>
          <w:p w14:paraId="3FEDC38D">
            <w:pPr>
              <w:pStyle w:val="17"/>
              <w:keepNext w:val="0"/>
              <w:keepLines w:val="0"/>
              <w:suppressLineNumbers w:val="0"/>
              <w:tabs>
                <w:tab w:val="left" w:pos="732"/>
              </w:tabs>
              <w:adjustRightInd w:val="0"/>
              <w:spacing w:before="0" w:beforeAutospacing="0" w:after="0" w:afterAutospacing="0" w:line="360" w:lineRule="auto"/>
              <w:ind w:left="0" w:leftChars="0" w:right="0" w:firstLine="482" w:firstLineChars="200"/>
              <w:rPr>
                <w:rFonts w:hint="default" w:ascii="Times New Roman" w:hAnsi="Times New Roman"/>
                <w:b/>
                <w:bCs/>
                <w:color w:val="auto"/>
                <w:sz w:val="24"/>
                <w:szCs w:val="24"/>
                <w:highlight w:val="none"/>
              </w:rPr>
            </w:pPr>
            <w:r>
              <w:rPr>
                <w:rFonts w:hint="eastAsia"/>
                <w:b/>
                <w:color w:val="auto"/>
                <w:sz w:val="24"/>
                <w:szCs w:val="24"/>
                <w:highlight w:val="none"/>
                <w:lang w:val="en-US" w:eastAsia="zh-CN"/>
              </w:rPr>
              <w:t>7、</w:t>
            </w:r>
            <w:r>
              <w:rPr>
                <w:rFonts w:hint="eastAsia" w:ascii="Times New Roman" w:hAnsi="Times New Roman"/>
                <w:b/>
                <w:bCs/>
                <w:color w:val="auto"/>
                <w:sz w:val="24"/>
                <w:szCs w:val="24"/>
                <w:highlight w:val="none"/>
              </w:rPr>
              <w:t>现</w:t>
            </w:r>
            <w:r>
              <w:rPr>
                <w:rFonts w:hint="default" w:ascii="Times New Roman" w:hAnsi="Times New Roman"/>
                <w:b/>
                <w:bCs/>
                <w:color w:val="auto"/>
                <w:sz w:val="24"/>
                <w:szCs w:val="24"/>
                <w:highlight w:val="none"/>
              </w:rPr>
              <w:t>有项目排污许可证申领</w:t>
            </w:r>
          </w:p>
          <w:p w14:paraId="65F820A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olor w:val="auto"/>
                <w:sz w:val="24"/>
                <w:szCs w:val="24"/>
                <w:highlight w:val="none"/>
              </w:rPr>
            </w:pPr>
            <w:r>
              <w:rPr>
                <w:rFonts w:hint="default" w:ascii="Times New Roman" w:hAnsi="Times New Roman" w:eastAsia="宋体" w:cs="Times New Roman"/>
                <w:color w:val="auto"/>
                <w:sz w:val="24"/>
                <w:szCs w:val="24"/>
                <w:highlight w:val="none"/>
              </w:rPr>
              <w:t>联佳科技（苏州）股份有限公司</w:t>
            </w:r>
            <w:r>
              <w:rPr>
                <w:rFonts w:hint="eastAsia" w:ascii="Times New Roman" w:hAnsi="Times New Roman"/>
                <w:color w:val="auto"/>
                <w:sz w:val="24"/>
                <w:szCs w:val="24"/>
                <w:highlight w:val="none"/>
              </w:rPr>
              <w:t>已于</w:t>
            </w:r>
            <w:r>
              <w:rPr>
                <w:rFonts w:hint="eastAsia"/>
                <w:color w:val="auto"/>
                <w:sz w:val="24"/>
                <w:szCs w:val="24"/>
                <w:highlight w:val="none"/>
                <w:lang w:eastAsia="zh-CN"/>
              </w:rPr>
              <w:t>202</w:t>
            </w:r>
            <w:r>
              <w:rPr>
                <w:rFonts w:hint="eastAsia"/>
                <w:color w:val="auto"/>
                <w:sz w:val="24"/>
                <w:szCs w:val="24"/>
                <w:highlight w:val="none"/>
                <w:lang w:val="en-US" w:eastAsia="zh-CN"/>
              </w:rPr>
              <w:t>6</w:t>
            </w:r>
            <w:r>
              <w:rPr>
                <w:rFonts w:hint="eastAsia"/>
                <w:color w:val="auto"/>
                <w:sz w:val="24"/>
                <w:szCs w:val="24"/>
                <w:highlight w:val="none"/>
                <w:lang w:eastAsia="zh-CN"/>
              </w:rPr>
              <w:t>年6月</w:t>
            </w:r>
            <w:r>
              <w:rPr>
                <w:rFonts w:hint="eastAsia"/>
                <w:color w:val="auto"/>
                <w:sz w:val="24"/>
                <w:szCs w:val="24"/>
                <w:highlight w:val="none"/>
                <w:lang w:val="en-US" w:eastAsia="zh-CN"/>
              </w:rPr>
              <w:t>1</w:t>
            </w:r>
            <w:r>
              <w:rPr>
                <w:rFonts w:hint="eastAsia"/>
                <w:color w:val="auto"/>
                <w:sz w:val="24"/>
                <w:szCs w:val="24"/>
                <w:highlight w:val="none"/>
                <w:lang w:eastAsia="zh-CN"/>
              </w:rPr>
              <w:t>日</w:t>
            </w:r>
            <w:r>
              <w:rPr>
                <w:rFonts w:hint="eastAsia" w:ascii="Times New Roman" w:hAnsi="Times New Roman"/>
                <w:color w:val="auto"/>
                <w:sz w:val="24"/>
                <w:szCs w:val="24"/>
                <w:highlight w:val="none"/>
              </w:rPr>
              <w:t>取得固定污染源排污登记回执（登记编号：91320594765851800R002X）。</w:t>
            </w:r>
          </w:p>
          <w:p w14:paraId="79763368">
            <w:pPr>
              <w:keepNext w:val="0"/>
              <w:keepLines w:val="0"/>
              <w:suppressLineNumbers w:val="0"/>
              <w:spacing w:before="0" w:beforeAutospacing="0" w:after="0" w:afterAutospacing="0" w:line="360" w:lineRule="auto"/>
              <w:ind w:left="0" w:right="0" w:firstLine="482" w:firstLineChars="200"/>
              <w:rPr>
                <w:rFonts w:hint="eastAsia" w:ascii="Times New Roman" w:hAnsi="Times New Roman"/>
                <w:b/>
                <w:bCs/>
                <w:color w:val="auto"/>
                <w:sz w:val="24"/>
                <w:szCs w:val="24"/>
                <w:highlight w:val="none"/>
              </w:rPr>
            </w:pPr>
            <w:r>
              <w:rPr>
                <w:rFonts w:hint="eastAsia"/>
                <w:b/>
                <w:bCs/>
                <w:color w:val="auto"/>
                <w:sz w:val="24"/>
                <w:szCs w:val="24"/>
                <w:highlight w:val="none"/>
                <w:lang w:val="en-US" w:eastAsia="zh-CN"/>
              </w:rPr>
              <w:t>8、</w:t>
            </w:r>
            <w:r>
              <w:rPr>
                <w:rFonts w:hint="eastAsia" w:ascii="Times New Roman" w:hAnsi="Times New Roman"/>
                <w:b/>
                <w:bCs/>
                <w:color w:val="auto"/>
                <w:sz w:val="24"/>
                <w:szCs w:val="24"/>
                <w:highlight w:val="none"/>
              </w:rPr>
              <w:t>现</w:t>
            </w:r>
            <w:r>
              <w:rPr>
                <w:rFonts w:hint="default" w:ascii="Times New Roman" w:hAnsi="Times New Roman"/>
                <w:b/>
                <w:bCs/>
                <w:color w:val="auto"/>
                <w:sz w:val="24"/>
                <w:szCs w:val="24"/>
                <w:highlight w:val="none"/>
              </w:rPr>
              <w:t>有项目突发环境事件应急预案备案情况</w:t>
            </w:r>
          </w:p>
          <w:p w14:paraId="161027A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企业于202</w:t>
            </w:r>
            <w:r>
              <w:rPr>
                <w:rFonts w:hint="eastAsia" w:cs="Times New Roman"/>
                <w:bCs/>
                <w:color w:val="auto"/>
                <w:sz w:val="24"/>
                <w:szCs w:val="24"/>
                <w:highlight w:val="none"/>
                <w:lang w:val="en-US" w:eastAsia="zh-CN"/>
              </w:rPr>
              <w:t>5</w:t>
            </w:r>
            <w:r>
              <w:rPr>
                <w:rFonts w:hint="default" w:ascii="Times New Roman" w:hAnsi="Times New Roman" w:cs="Times New Roman"/>
                <w:bCs/>
                <w:color w:val="auto"/>
                <w:sz w:val="24"/>
                <w:szCs w:val="24"/>
                <w:highlight w:val="none"/>
              </w:rPr>
              <w:t>年</w:t>
            </w:r>
            <w:r>
              <w:rPr>
                <w:rFonts w:hint="eastAsia" w:cs="Times New Roman"/>
                <w:bCs/>
                <w:color w:val="auto"/>
                <w:sz w:val="24"/>
                <w:szCs w:val="24"/>
                <w:highlight w:val="none"/>
                <w:lang w:val="en-US" w:eastAsia="zh-CN"/>
              </w:rPr>
              <w:t>1</w:t>
            </w:r>
            <w:r>
              <w:rPr>
                <w:rFonts w:hint="default" w:ascii="Times New Roman" w:hAnsi="Times New Roman" w:cs="Times New Roman"/>
                <w:bCs/>
                <w:color w:val="auto"/>
                <w:sz w:val="24"/>
                <w:szCs w:val="24"/>
                <w:highlight w:val="none"/>
              </w:rPr>
              <w:t>月</w:t>
            </w:r>
            <w:r>
              <w:rPr>
                <w:rFonts w:hint="eastAsia" w:cs="Times New Roman"/>
                <w:bCs/>
                <w:color w:val="auto"/>
                <w:sz w:val="24"/>
                <w:szCs w:val="24"/>
                <w:highlight w:val="none"/>
                <w:lang w:val="en-US" w:eastAsia="zh-CN"/>
              </w:rPr>
              <w:t>17</w:t>
            </w:r>
            <w:r>
              <w:rPr>
                <w:rFonts w:hint="default" w:ascii="Times New Roman" w:hAnsi="Times New Roman" w:cs="Times New Roman"/>
                <w:bCs/>
                <w:color w:val="auto"/>
                <w:sz w:val="24"/>
                <w:szCs w:val="24"/>
                <w:highlight w:val="none"/>
              </w:rPr>
              <w:t>日进行了突发环境事件应急预案的备案，备案证编号</w:t>
            </w:r>
            <w:r>
              <w:rPr>
                <w:rFonts w:hint="eastAsia" w:ascii="Times New Roman" w:hAnsi="Times New Roman" w:cs="Times New Roman"/>
                <w:bCs/>
                <w:color w:val="auto"/>
                <w:sz w:val="24"/>
                <w:szCs w:val="24"/>
                <w:highlight w:val="none"/>
              </w:rPr>
              <w:t>：320507-202</w:t>
            </w:r>
            <w:r>
              <w:rPr>
                <w:rFonts w:hint="eastAsia" w:cs="Times New Roman"/>
                <w:bCs/>
                <w:color w:val="auto"/>
                <w:sz w:val="24"/>
                <w:szCs w:val="24"/>
                <w:highlight w:val="none"/>
                <w:lang w:val="en-US" w:eastAsia="zh-CN"/>
              </w:rPr>
              <w:t>5</w:t>
            </w:r>
            <w:r>
              <w:rPr>
                <w:rFonts w:hint="eastAsia" w:ascii="Times New Roman" w:hAnsi="Times New Roman" w:cs="Times New Roman"/>
                <w:bCs/>
                <w:color w:val="auto"/>
                <w:sz w:val="24"/>
                <w:szCs w:val="24"/>
                <w:highlight w:val="none"/>
              </w:rPr>
              <w:t>-</w:t>
            </w:r>
            <w:r>
              <w:rPr>
                <w:rFonts w:hint="eastAsia" w:cs="Times New Roman"/>
                <w:bCs/>
                <w:color w:val="auto"/>
                <w:sz w:val="24"/>
                <w:szCs w:val="24"/>
                <w:highlight w:val="none"/>
                <w:lang w:val="en-US" w:eastAsia="zh-CN"/>
              </w:rPr>
              <w:t>028</w:t>
            </w:r>
            <w:r>
              <w:rPr>
                <w:rFonts w:hint="default" w:ascii="Times New Roman" w:hAnsi="Times New Roman" w:cs="Times New Roman"/>
                <w:bCs/>
                <w:color w:val="auto"/>
                <w:sz w:val="24"/>
                <w:szCs w:val="24"/>
                <w:highlight w:val="none"/>
              </w:rPr>
              <w:t>-L，企业风险级别为：一般[一般-大气</w:t>
            </w:r>
            <w:r>
              <w:rPr>
                <w:rFonts w:hint="eastAsia" w:ascii="Times New Roman" w:hAnsi="Times New Roman" w:cs="Times New Roman"/>
                <w:bCs/>
                <w:color w:val="auto"/>
                <w:sz w:val="24"/>
                <w:szCs w:val="24"/>
                <w:highlight w:val="none"/>
              </w:rPr>
              <w:t>（</w:t>
            </w:r>
            <w:r>
              <w:rPr>
                <w:rFonts w:hint="default" w:ascii="Times New Roman" w:hAnsi="Times New Roman" w:cs="Times New Roman"/>
                <w:bCs/>
                <w:color w:val="auto"/>
                <w:sz w:val="24"/>
                <w:szCs w:val="24"/>
                <w:highlight w:val="none"/>
              </w:rPr>
              <w:t>Q0</w:t>
            </w:r>
            <w:r>
              <w:rPr>
                <w:rFonts w:hint="eastAsia" w:ascii="Times New Roman" w:hAnsi="Times New Roman" w:cs="Times New Roman"/>
                <w:bCs/>
                <w:color w:val="auto"/>
                <w:sz w:val="24"/>
                <w:szCs w:val="24"/>
                <w:highlight w:val="none"/>
              </w:rPr>
              <w:t>）</w:t>
            </w:r>
            <w:r>
              <w:rPr>
                <w:rFonts w:hint="default" w:ascii="Times New Roman" w:hAnsi="Times New Roman" w:cs="Times New Roman"/>
                <w:bCs/>
                <w:color w:val="auto"/>
                <w:sz w:val="24"/>
                <w:szCs w:val="24"/>
                <w:highlight w:val="none"/>
              </w:rPr>
              <w:t>+一般-水（Q0）]。</w:t>
            </w:r>
          </w:p>
          <w:p w14:paraId="1FD8C19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现有项目</w:t>
            </w:r>
            <w:r>
              <w:rPr>
                <w:rFonts w:hint="eastAsia" w:ascii="Times New Roman" w:hAnsi="Times New Roman" w:cs="Times New Roman"/>
                <w:bCs/>
                <w:color w:val="auto"/>
                <w:sz w:val="24"/>
                <w:szCs w:val="24"/>
                <w:highlight w:val="none"/>
              </w:rPr>
              <w:t>厂区设置消防安全措施</w:t>
            </w:r>
            <w:r>
              <w:rPr>
                <w:rFonts w:hint="eastAsia" w:cs="Times New Roman"/>
                <w:bCs/>
                <w:color w:val="auto"/>
                <w:sz w:val="24"/>
                <w:szCs w:val="24"/>
                <w:highlight w:val="none"/>
                <w:lang w:eastAsia="zh-CN"/>
              </w:rPr>
              <w:t>；</w:t>
            </w:r>
            <w:r>
              <w:rPr>
                <w:rFonts w:hint="eastAsia" w:ascii="Times New Roman" w:hAnsi="Times New Roman" w:cs="Times New Roman"/>
                <w:bCs/>
                <w:color w:val="auto"/>
                <w:sz w:val="24"/>
                <w:szCs w:val="24"/>
                <w:highlight w:val="none"/>
              </w:rPr>
              <w:t>配备必要的个人防护装备、防毒器材、消防器材；配有足够的应急物资；危废仓库地面与裙脚采用坚固、防渗材料建造，并设有</w:t>
            </w:r>
            <w:r>
              <w:rPr>
                <w:rFonts w:hint="eastAsia" w:ascii="Times New Roman" w:hAnsi="Times New Roman" w:cs="Times New Roman"/>
                <w:bCs/>
                <w:color w:val="auto"/>
                <w:sz w:val="24"/>
                <w:szCs w:val="24"/>
                <w:highlight w:val="none"/>
                <w:lang w:val="en-US" w:eastAsia="zh-CN"/>
              </w:rPr>
              <w:t>防泄漏托盘</w:t>
            </w:r>
            <w:r>
              <w:rPr>
                <w:rFonts w:hint="eastAsia" w:ascii="Times New Roman" w:hAnsi="Times New Roman" w:cs="Times New Roman"/>
                <w:bCs/>
                <w:color w:val="auto"/>
                <w:sz w:val="24"/>
                <w:szCs w:val="24"/>
                <w:highlight w:val="none"/>
              </w:rPr>
              <w:t>；雨水排口设置雨水截止阀等。</w:t>
            </w:r>
          </w:p>
          <w:p w14:paraId="188D0E41">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b/>
                <w:bCs/>
                <w:color w:val="auto"/>
                <w:sz w:val="24"/>
                <w:szCs w:val="24"/>
                <w:highlight w:val="none"/>
                <w:lang w:val="en-US" w:eastAsia="zh-CN"/>
              </w:rPr>
              <w:t>9、现有项目存在环境问题及整改措施</w:t>
            </w:r>
          </w:p>
          <w:p w14:paraId="2C0D00A4">
            <w:pPr>
              <w:pStyle w:val="28"/>
              <w:spacing w:line="360" w:lineRule="auto"/>
              <w:ind w:firstLine="480" w:firstLineChars="200"/>
              <w:jc w:val="both"/>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①</w:t>
            </w:r>
            <w:r>
              <w:rPr>
                <w:rFonts w:hint="default" w:ascii="Times New Roman" w:hAnsi="Times New Roman" w:eastAsia="宋体" w:cs="Times New Roman"/>
                <w:color w:val="auto"/>
                <w:highlight w:val="none"/>
              </w:rPr>
              <w:t>现有项目位于</w:t>
            </w:r>
            <w:r>
              <w:rPr>
                <w:rFonts w:hint="default" w:ascii="Times New Roman" w:hAnsi="Times New Roman" w:eastAsia="宋体" w:cs="Times New Roman"/>
                <w:bCs/>
                <w:color w:val="auto"/>
                <w:sz w:val="24"/>
                <w:szCs w:val="24"/>
                <w:highlight w:val="none"/>
                <w:lang w:val="en-US" w:eastAsia="zh-CN"/>
              </w:rPr>
              <w:t>苏州市漕湖街道由巷路3号</w:t>
            </w:r>
            <w:r>
              <w:rPr>
                <w:rFonts w:hint="default" w:ascii="Times New Roman" w:hAnsi="Times New Roman" w:eastAsia="宋体" w:cs="Times New Roman"/>
                <w:color w:val="auto"/>
                <w:highlight w:val="none"/>
              </w:rPr>
              <w:t>，环保手续完善，已设置一般固废仓库及危废</w:t>
            </w:r>
            <w:r>
              <w:rPr>
                <w:rFonts w:hint="default" w:ascii="Times New Roman" w:hAnsi="Times New Roman" w:eastAsia="宋体" w:cs="Times New Roman"/>
                <w:color w:val="auto"/>
                <w:highlight w:val="none"/>
                <w:lang w:val="en-US" w:eastAsia="zh-CN"/>
              </w:rPr>
              <w:t>仓库</w:t>
            </w:r>
            <w:r>
              <w:rPr>
                <w:rFonts w:hint="default" w:ascii="Times New Roman" w:hAnsi="Times New Roman" w:eastAsia="宋体" w:cs="Times New Roman"/>
                <w:color w:val="auto"/>
                <w:highlight w:val="none"/>
              </w:rPr>
              <w:t>，项目运行过程中所产生的危险废物均由有资质单位按照规定转移处置，无泄漏事故发生；现有项目四周均为研发、生产型企业；经了解，现有项目无环境纠纷问题</w:t>
            </w:r>
            <w:r>
              <w:rPr>
                <w:rFonts w:hint="eastAsia" w:ascii="Times New Roman" w:cs="Times New Roman"/>
                <w:color w:val="auto"/>
                <w:highlight w:val="none"/>
                <w:lang w:eastAsia="zh-CN"/>
              </w:rPr>
              <w:t>，</w:t>
            </w:r>
            <w:r>
              <w:rPr>
                <w:rFonts w:hint="eastAsia" w:ascii="Times New Roman" w:cs="Times New Roman"/>
                <w:color w:val="auto"/>
                <w:highlight w:val="none"/>
                <w:lang w:val="en-US" w:eastAsia="zh-CN"/>
              </w:rPr>
              <w:t>未收到环保投诉</w:t>
            </w:r>
            <w:r>
              <w:rPr>
                <w:rFonts w:hint="default" w:ascii="Times New Roman" w:hAnsi="Times New Roman" w:cs="Times New Roman"/>
                <w:color w:val="auto"/>
                <w:highlight w:val="none"/>
                <w:lang w:eastAsia="zh-CN"/>
              </w:rPr>
              <w:t>。</w:t>
            </w:r>
          </w:p>
          <w:p w14:paraId="0219601E">
            <w:pPr>
              <w:pStyle w:val="28"/>
              <w:spacing w:line="360" w:lineRule="auto"/>
              <w:ind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②</w:t>
            </w:r>
            <w:r>
              <w:rPr>
                <w:rFonts w:hint="eastAsia"/>
                <w:highlight w:val="none"/>
              </w:rPr>
              <w:t>现有项目未按照《排污单位自行监测技术指南 总则》（HJ 819-2017）要求定期开展例行监测</w:t>
            </w:r>
            <w:r>
              <w:rPr>
                <w:rFonts w:hint="eastAsia"/>
                <w:highlight w:val="none"/>
                <w:lang w:eastAsia="zh-CN"/>
              </w:rPr>
              <w:t>，</w:t>
            </w:r>
            <w:r>
              <w:rPr>
                <w:rFonts w:hint="eastAsia"/>
                <w:highlight w:val="none"/>
                <w:lang w:val="en-US" w:eastAsia="zh-CN"/>
              </w:rPr>
              <w:t>本项目建成后，将</w:t>
            </w:r>
            <w:r>
              <w:rPr>
                <w:rFonts w:hint="default" w:ascii="Times New Roman" w:hAnsi="Times New Roman" w:eastAsia="宋体" w:cs="Times New Roman"/>
                <w:color w:val="auto"/>
                <w:highlight w:val="none"/>
                <w:lang w:val="en-US" w:eastAsia="zh-CN"/>
              </w:rPr>
              <w:t>按照《排污单位自行监测技术指南 总则》（HJ 819-2017）要求定期开展例行监测，完善监测因子。</w:t>
            </w:r>
          </w:p>
          <w:p w14:paraId="5BB81B85">
            <w:pPr>
              <w:pStyle w:val="28"/>
              <w:spacing w:line="360" w:lineRule="auto"/>
              <w:ind w:firstLine="482" w:firstLineChars="200"/>
              <w:jc w:val="both"/>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kern w:val="2"/>
                <w:sz w:val="24"/>
                <w:szCs w:val="24"/>
                <w:highlight w:val="none"/>
                <w:lang w:val="en-US" w:eastAsia="zh-CN" w:bidi="ar-SA"/>
              </w:rPr>
              <w:t>10、本项目租赁厂房情况</w:t>
            </w:r>
          </w:p>
          <w:p w14:paraId="1DC85628">
            <w:pPr>
              <w:pStyle w:val="28"/>
              <w:spacing w:line="360" w:lineRule="auto"/>
              <w:ind w:firstLine="480" w:firstLineChars="200"/>
              <w:jc w:val="both"/>
              <w:rPr>
                <w:rFonts w:hint="default" w:ascii="Times New Roman" w:hAnsi="Times New Roman" w:cs="Times New Roman"/>
                <w:b w:val="0"/>
                <w:bCs w:val="0"/>
                <w:color w:val="auto"/>
                <w:sz w:val="24"/>
                <w:szCs w:val="24"/>
                <w:highlight w:val="none"/>
              </w:rPr>
            </w:pPr>
            <w:r>
              <w:rPr>
                <w:rFonts w:hint="default" w:ascii="Times New Roman" w:hAnsi="Times New Roman" w:eastAsia="宋体" w:cs="Times New Roman"/>
                <w:color w:val="auto"/>
                <w:highlight w:val="none"/>
              </w:rPr>
              <w:t>本次拟建项目</w:t>
            </w:r>
            <w:r>
              <w:rPr>
                <w:rFonts w:hint="default" w:ascii="Times New Roman" w:hAnsi="Times New Roman" w:cs="Times New Roman"/>
                <w:bCs/>
                <w:color w:val="auto"/>
                <w:sz w:val="24"/>
                <w:highlight w:val="none"/>
                <w:lang w:val="en-US" w:eastAsia="zh-CN"/>
              </w:rPr>
              <w:t>苏州易相精密机械有限公司所属位于苏州市漕湖街道永昌路28号A栋11单元</w:t>
            </w:r>
            <w:r>
              <w:rPr>
                <w:rFonts w:hint="default" w:ascii="Times New Roman" w:hAnsi="Times New Roman" w:eastAsia="宋体" w:cs="Times New Roman"/>
                <w:color w:val="auto"/>
                <w:highlight w:val="none"/>
              </w:rPr>
              <w:t>进行生产，厂房为空置状态</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rPr>
              <w:t>无遗留环境问题，周围总体环境良好，无与本项目有关的原有污染情况及主要环境问题。</w:t>
            </w:r>
            <w:r>
              <w:rPr>
                <w:rFonts w:hint="default" w:ascii="Times New Roman" w:hAnsi="Times New Roman" w:eastAsia="宋体" w:cs="Times New Roman"/>
                <w:color w:val="auto"/>
                <w:highlight w:val="none"/>
              </w:rPr>
              <w:t>本项目依托</w:t>
            </w:r>
            <w:r>
              <w:rPr>
                <w:rFonts w:hint="default" w:ascii="Times New Roman" w:hAnsi="Times New Roman" w:cs="Times New Roman"/>
                <w:bCs/>
                <w:color w:val="auto"/>
                <w:sz w:val="24"/>
                <w:highlight w:val="none"/>
                <w:lang w:val="en-US" w:eastAsia="zh-CN"/>
              </w:rPr>
              <w:t>苏州易相精密机械有限公司</w:t>
            </w:r>
            <w:r>
              <w:rPr>
                <w:rFonts w:hint="default" w:ascii="Times New Roman" w:hAnsi="Times New Roman" w:eastAsia="宋体" w:cs="Times New Roman"/>
                <w:color w:val="auto"/>
                <w:highlight w:val="none"/>
              </w:rPr>
              <w:t>现有雨水排口</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并在雨水排口上</w:t>
            </w:r>
            <w:r>
              <w:rPr>
                <w:rFonts w:hint="default" w:ascii="Times New Roman" w:hAnsi="Times New Roman" w:eastAsia="宋体" w:cs="Times New Roman"/>
                <w:color w:val="auto"/>
                <w:highlight w:val="none"/>
              </w:rPr>
              <w:t>加装截止阀，事故状态下关闭截止阀阀门，可防止受污染的雨水、消防水和泄漏物外排</w:t>
            </w:r>
            <w:r>
              <w:rPr>
                <w:rFonts w:hint="default" w:ascii="Times New Roman" w:hAnsi="Times New Roman" w:cs="Times New Roman"/>
                <w:color w:val="auto"/>
                <w:highlight w:val="none"/>
                <w:lang w:eastAsia="zh-CN"/>
              </w:rPr>
              <w:t>。</w:t>
            </w:r>
          </w:p>
        </w:tc>
      </w:tr>
    </w:tbl>
    <w:p w14:paraId="71968E72">
      <w:pPr>
        <w:pStyle w:val="19"/>
        <w:jc w:val="center"/>
        <w:rPr>
          <w:rFonts w:ascii="Times New Roman" w:hAnsi="Times New Roman"/>
          <w:snapToGrid w:val="0"/>
          <w:color w:val="auto"/>
          <w:sz w:val="36"/>
          <w:szCs w:val="36"/>
          <w:highlight w:val="none"/>
        </w:rPr>
        <w:sectPr>
          <w:pgSz w:w="11906" w:h="16838"/>
          <w:pgMar w:top="1440" w:right="1080" w:bottom="1440" w:left="1080" w:header="851" w:footer="851" w:gutter="0"/>
          <w:pgBorders>
            <w:top w:val="none" w:sz="0" w:space="0"/>
            <w:left w:val="none" w:sz="0" w:space="0"/>
            <w:bottom w:val="none" w:sz="0" w:space="0"/>
            <w:right w:val="none" w:sz="0" w:space="0"/>
          </w:pgBorders>
          <w:cols w:space="720" w:num="1"/>
          <w:docGrid w:linePitch="312" w:charSpace="0"/>
        </w:sectPr>
      </w:pPr>
    </w:p>
    <w:p w14:paraId="236A8881">
      <w:pPr>
        <w:pStyle w:val="19"/>
        <w:spacing w:before="0" w:beforeAutospacing="0" w:after="0" w:afterAutospacing="0"/>
        <w:jc w:val="center"/>
        <w:outlineLvl w:val="0"/>
        <w:rPr>
          <w:rFonts w:ascii="Times New Roman" w:hAnsi="Times New Roman"/>
          <w:b/>
          <w:snapToGrid w:val="0"/>
          <w:color w:val="auto"/>
          <w:sz w:val="30"/>
          <w:szCs w:val="30"/>
          <w:highlight w:val="none"/>
        </w:rPr>
      </w:pPr>
      <w:bookmarkStart w:id="8" w:name="_Toc6055"/>
      <w:bookmarkStart w:id="9" w:name="_Toc2040"/>
      <w:r>
        <w:rPr>
          <w:rFonts w:ascii="Times New Roman" w:hAnsi="Times New Roman"/>
          <w:b/>
          <w:snapToGrid w:val="0"/>
          <w:color w:val="auto"/>
          <w:sz w:val="30"/>
          <w:szCs w:val="30"/>
          <w:highlight w:val="none"/>
        </w:rPr>
        <w:t>三、区域环境质量现状、环境保护目标及评价标准</w:t>
      </w:r>
      <w:bookmarkEnd w:id="8"/>
      <w:bookmarkEnd w:id="9"/>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9510"/>
      </w:tblGrid>
      <w:tr w14:paraId="38557C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7" w:type="pct"/>
            <w:vAlign w:val="center"/>
          </w:tcPr>
          <w:p w14:paraId="21E94ABF">
            <w:pPr>
              <w:adjustRightInd w:val="0"/>
              <w:snapToGrid w:val="0"/>
              <w:jc w:val="center"/>
              <w:rPr>
                <w:color w:val="auto"/>
                <w:kern w:val="0"/>
                <w:szCs w:val="21"/>
                <w:highlight w:val="none"/>
              </w:rPr>
            </w:pPr>
            <w:r>
              <w:rPr>
                <w:color w:val="auto"/>
                <w:kern w:val="0"/>
                <w:szCs w:val="21"/>
                <w:highlight w:val="none"/>
              </w:rPr>
              <w:t>区域环境质量现状</w:t>
            </w:r>
          </w:p>
        </w:tc>
        <w:tc>
          <w:tcPr>
            <w:tcW w:w="4772" w:type="pct"/>
          </w:tcPr>
          <w:p w14:paraId="555F3691">
            <w:pPr>
              <w:spacing w:line="360" w:lineRule="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1、</w:t>
            </w:r>
            <w:r>
              <w:rPr>
                <w:rFonts w:hint="default" w:ascii="Times New Roman" w:hAnsi="Times New Roman" w:cs="Times New Roman"/>
                <w:b/>
                <w:color w:val="auto"/>
                <w:sz w:val="24"/>
                <w:szCs w:val="24"/>
                <w:highlight w:val="none"/>
              </w:rPr>
              <w:t>大气环境现状</w:t>
            </w:r>
          </w:p>
          <w:p w14:paraId="37528EC6">
            <w:pPr>
              <w:keepNext w:val="0"/>
              <w:keepLines w:val="0"/>
              <w:pageBreakBefore w:val="0"/>
              <w:suppressLineNumbers w:val="0"/>
              <w:kinsoku/>
              <w:wordWrap/>
              <w:overflowPunct/>
              <w:topLinePunct w:val="0"/>
              <w:autoSpaceDE/>
              <w:autoSpaceDN/>
              <w:bidi w:val="0"/>
              <w:spacing w:before="0" w:beforeAutospacing="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（1）基本污染物环境质量现状数据</w:t>
            </w:r>
          </w:p>
          <w:p w14:paraId="4155491D">
            <w:pPr>
              <w:keepNext w:val="0"/>
              <w:keepLines w:val="0"/>
              <w:pageBreakBefore w:val="0"/>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本项目位于苏州市漕湖街道永昌路28号A栋11单元</w:t>
            </w:r>
            <w:r>
              <w:rPr>
                <w:rFonts w:hint="default" w:cs="Times New Roman"/>
                <w:color w:val="auto"/>
                <w:sz w:val="24"/>
                <w:szCs w:val="24"/>
                <w:highlight w:val="none"/>
                <w:lang w:val="en-US" w:eastAsia="zh-CN"/>
              </w:rPr>
              <w:t>。根据环境空气质量功能区划，项目所在地为二类功能区，环境空气质量执行《环境空气质量标准》（GB3095-2026）</w:t>
            </w:r>
            <w:r>
              <w:rPr>
                <w:rFonts w:hint="eastAsia"/>
                <w:color w:val="auto"/>
                <w:sz w:val="24"/>
                <w:szCs w:val="24"/>
                <w:highlight w:val="none"/>
              </w:rPr>
              <w:t>中过渡阶段二级标准浓度限</w:t>
            </w:r>
            <w:r>
              <w:rPr>
                <w:rFonts w:hint="eastAsia"/>
                <w:color w:val="auto"/>
                <w:sz w:val="24"/>
                <w:szCs w:val="24"/>
                <w:highlight w:val="none"/>
                <w:lang w:val="en-US" w:eastAsia="zh-CN"/>
              </w:rPr>
              <w:t>值</w:t>
            </w:r>
            <w:r>
              <w:rPr>
                <w:rFonts w:hint="default" w:cs="Times New Roman"/>
                <w:color w:val="auto"/>
                <w:sz w:val="24"/>
                <w:szCs w:val="24"/>
                <w:highlight w:val="none"/>
                <w:lang w:val="en-US" w:eastAsia="zh-CN"/>
              </w:rPr>
              <w:t>。</w:t>
            </w:r>
          </w:p>
          <w:p w14:paraId="3714805F">
            <w:pPr>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根据《建设项目环境影响报告表编制技术指南》（污染影响类）文件</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常规污染物引用与建设项目距离近的有效数据，包括近3年的规划环境影响评价的监测数据，国家、地方环境空气质量监测网数据或生态环境主管部门公开发布的质量数据等</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本项目采用</w:t>
            </w:r>
            <w:r>
              <w:rPr>
                <w:rFonts w:hint="default" w:ascii="Times New Roman" w:hAnsi="Times New Roman" w:eastAsia="宋体" w:cs="Times New Roman"/>
                <w:color w:val="auto"/>
                <w:sz w:val="24"/>
                <w:szCs w:val="24"/>
                <w:highlight w:val="none"/>
              </w:rPr>
              <w:t>《2025年度苏州市生态环境状况》</w:t>
            </w:r>
            <w:r>
              <w:rPr>
                <w:rFonts w:hint="default" w:ascii="Times New Roman" w:hAnsi="Times New Roman" w:eastAsia="宋体" w:cs="Times New Roman"/>
                <w:color w:val="auto"/>
                <w:sz w:val="24"/>
                <w:szCs w:val="24"/>
                <w:highlight w:val="none"/>
              </w:rPr>
              <w:t>，引用数据有</w:t>
            </w:r>
            <w:r>
              <w:rPr>
                <w:rFonts w:hint="default" w:ascii="Times New Roman" w:hAnsi="Times New Roman" w:cs="Times New Roman"/>
                <w:color w:val="auto"/>
                <w:sz w:val="24"/>
                <w:szCs w:val="24"/>
                <w:highlight w:val="none"/>
                <w:lang w:val="en-US" w:eastAsia="zh-CN"/>
              </w:rPr>
              <w:t>效</w:t>
            </w:r>
            <w:r>
              <w:rPr>
                <w:rFonts w:hint="default" w:ascii="Times New Roman" w:hAnsi="Times New Roman" w:eastAsia="宋体" w:cs="Times New Roman"/>
                <w:color w:val="auto"/>
                <w:sz w:val="24"/>
                <w:szCs w:val="24"/>
                <w:highlight w:val="none"/>
              </w:rPr>
              <w:t>，基本污染物数据见下表</w:t>
            </w:r>
            <w:r>
              <w:rPr>
                <w:rFonts w:hint="default" w:ascii="Times New Roman" w:hAnsi="Times New Roman" w:eastAsia="宋体" w:cs="Times New Roman"/>
                <w:color w:val="auto"/>
                <w:sz w:val="24"/>
                <w:szCs w:val="24"/>
                <w:highlight w:val="none"/>
              </w:rPr>
              <w:t>。</w:t>
            </w:r>
          </w:p>
          <w:p w14:paraId="5408FC35">
            <w:pPr>
              <w:numPr>
                <w:ilvl w:val="0"/>
                <w:numId w:val="5"/>
              </w:numPr>
              <w:adjustRightInd w:val="0"/>
              <w:snapToGrid w:val="0"/>
              <w:ind w:left="0" w:leftChars="0" w:firstLine="0" w:firstLineChars="0"/>
              <w:jc w:val="center"/>
              <w:rPr>
                <w:rFonts w:hint="eastAsia"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rPr>
              <w:t>2025年苏州市基本污染物环境质量现状评价</w:t>
            </w:r>
          </w:p>
          <w:p w14:paraId="3FAF872B">
            <w:pPr>
              <w:numPr>
                <w:ilvl w:val="0"/>
                <w:numId w:val="0"/>
              </w:numPr>
              <w:tabs>
                <w:tab w:val="left" w:pos="0"/>
              </w:tabs>
              <w:adjustRightInd w:val="0"/>
              <w:snapToGrid w:val="0"/>
              <w:ind w:leftChars="0"/>
              <w:jc w:val="center"/>
              <w:rPr>
                <w:rFonts w:hint="eastAsia"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lang w:val="en-US" w:eastAsia="zh-CN"/>
              </w:rPr>
              <w:t>单位CO为mg/m</w:t>
            </w:r>
            <w:r>
              <w:rPr>
                <w:rFonts w:hint="default" w:ascii="Times New Roman" w:hAnsi="Times New Roman" w:eastAsia="宋体" w:cs="Times New Roman"/>
                <w:b/>
                <w:color w:val="auto"/>
                <w:sz w:val="24"/>
                <w:szCs w:val="24"/>
                <w:highlight w:val="none"/>
                <w:vertAlign w:val="superscript"/>
                <w:lang w:val="en-US" w:eastAsia="zh-CN"/>
              </w:rPr>
              <w:t>3</w:t>
            </w:r>
            <w:r>
              <w:rPr>
                <w:rFonts w:hint="default" w:ascii="Times New Roman" w:hAnsi="Times New Roman" w:eastAsia="宋体" w:cs="Times New Roman"/>
                <w:b/>
                <w:color w:val="auto"/>
                <w:sz w:val="24"/>
                <w:szCs w:val="24"/>
                <w:highlight w:val="none"/>
                <w:lang w:val="en-US" w:eastAsia="zh-CN"/>
              </w:rPr>
              <w:t>,其余均为</w:t>
            </w:r>
            <w:r>
              <w:rPr>
                <w:rFonts w:hint="default" w:ascii="Times New Roman" w:hAnsi="Times New Roman" w:eastAsia="宋体" w:cs="Times New Roman"/>
                <w:b/>
                <w:color w:val="auto"/>
                <w:sz w:val="24"/>
                <w:szCs w:val="24"/>
                <w:highlight w:val="none"/>
              </w:rPr>
              <w:t>μg/m</w:t>
            </w:r>
            <w:r>
              <w:rPr>
                <w:rFonts w:hint="default" w:ascii="Times New Roman" w:hAnsi="Times New Roman" w:eastAsia="宋体" w:cs="Times New Roman"/>
                <w:b/>
                <w:color w:val="auto"/>
                <w:sz w:val="24"/>
                <w:szCs w:val="24"/>
                <w:highlight w:val="none"/>
                <w:vertAlign w:val="superscript"/>
              </w:rPr>
              <w:t>3</w:t>
            </w:r>
            <w:r>
              <w:rPr>
                <w:rFonts w:hint="default" w:ascii="Times New Roman" w:hAnsi="Times New Roman" w:eastAsia="宋体" w:cs="Times New Roman"/>
                <w:b/>
                <w:color w:val="auto"/>
                <w:sz w:val="24"/>
                <w:szCs w:val="24"/>
                <w:highlight w:val="none"/>
                <w:lang w:eastAsia="zh-CN"/>
              </w:rPr>
              <w:t>）</w:t>
            </w:r>
          </w:p>
          <w:tbl>
            <w:tblPr>
              <w:tblStyle w:val="23"/>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2"/>
              <w:gridCol w:w="3135"/>
              <w:gridCol w:w="1335"/>
              <w:gridCol w:w="981"/>
              <w:gridCol w:w="1575"/>
              <w:gridCol w:w="1348"/>
            </w:tblGrid>
            <w:tr w14:paraId="46F7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2" w:type="dxa"/>
                  <w:vAlign w:val="center"/>
                </w:tcPr>
                <w:p w14:paraId="752C514A">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污染物</w:t>
                  </w:r>
                </w:p>
              </w:tc>
              <w:tc>
                <w:tcPr>
                  <w:tcW w:w="3135" w:type="dxa"/>
                  <w:vAlign w:val="center"/>
                </w:tcPr>
                <w:p w14:paraId="20707AAC">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年评价指标</w:t>
                  </w:r>
                </w:p>
              </w:tc>
              <w:tc>
                <w:tcPr>
                  <w:tcW w:w="1335" w:type="dxa"/>
                  <w:vAlign w:val="center"/>
                </w:tcPr>
                <w:p w14:paraId="70DC13AF">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现状浓度</w:t>
                  </w:r>
                </w:p>
              </w:tc>
              <w:tc>
                <w:tcPr>
                  <w:tcW w:w="981" w:type="dxa"/>
                  <w:vAlign w:val="center"/>
                </w:tcPr>
                <w:p w14:paraId="2024017F">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标准值</w:t>
                  </w:r>
                </w:p>
              </w:tc>
              <w:tc>
                <w:tcPr>
                  <w:tcW w:w="1575" w:type="dxa"/>
                  <w:vAlign w:val="center"/>
                </w:tcPr>
                <w:p w14:paraId="1E2D2F51">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占标率（%）</w:t>
                  </w:r>
                </w:p>
              </w:tc>
              <w:tc>
                <w:tcPr>
                  <w:tcW w:w="1348" w:type="dxa"/>
                  <w:vAlign w:val="center"/>
                </w:tcPr>
                <w:p w14:paraId="56C17260">
                  <w:pPr>
                    <w:jc w:val="center"/>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达标情况</w:t>
                  </w:r>
                </w:p>
              </w:tc>
            </w:tr>
            <w:tr w14:paraId="11B1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2" w:type="dxa"/>
                  <w:vAlign w:val="center"/>
                </w:tcPr>
                <w:p w14:paraId="3E404FF3">
                  <w:pPr>
                    <w:adjustRightInd w:val="0"/>
                    <w:snapToGrid w:val="0"/>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rPr>
                    <w:t>SO</w:t>
                  </w:r>
                  <w:r>
                    <w:rPr>
                      <w:rFonts w:hint="default" w:ascii="Times New Roman" w:hAnsi="Times New Roman" w:eastAsia="仿宋" w:cs="Times New Roman"/>
                      <w:color w:val="auto"/>
                      <w:sz w:val="21"/>
                      <w:szCs w:val="21"/>
                      <w:highlight w:val="none"/>
                      <w:vertAlign w:val="subscript"/>
                    </w:rPr>
                    <w:t>2</w:t>
                  </w:r>
                </w:p>
              </w:tc>
              <w:tc>
                <w:tcPr>
                  <w:tcW w:w="3135" w:type="dxa"/>
                  <w:vAlign w:val="center"/>
                </w:tcPr>
                <w:p w14:paraId="20B817E2">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年平均浓度</w:t>
                  </w:r>
                </w:p>
              </w:tc>
              <w:tc>
                <w:tcPr>
                  <w:tcW w:w="1335" w:type="dxa"/>
                  <w:vAlign w:val="center"/>
                </w:tcPr>
                <w:p w14:paraId="632BEEF4">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6</w:t>
                  </w:r>
                </w:p>
              </w:tc>
              <w:tc>
                <w:tcPr>
                  <w:tcW w:w="981" w:type="dxa"/>
                  <w:vAlign w:val="center"/>
                </w:tcPr>
                <w:p w14:paraId="0DB3B1EB">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60</w:t>
                  </w:r>
                </w:p>
              </w:tc>
              <w:tc>
                <w:tcPr>
                  <w:tcW w:w="1575" w:type="dxa"/>
                  <w:vAlign w:val="center"/>
                </w:tcPr>
                <w:p w14:paraId="77FC6A27">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10</w:t>
                  </w:r>
                </w:p>
              </w:tc>
              <w:tc>
                <w:tcPr>
                  <w:tcW w:w="1348" w:type="dxa"/>
                  <w:vAlign w:val="center"/>
                </w:tcPr>
                <w:p w14:paraId="16F9A0B9">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达标</w:t>
                  </w:r>
                </w:p>
              </w:tc>
            </w:tr>
            <w:tr w14:paraId="783E8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2" w:type="dxa"/>
                  <w:vAlign w:val="center"/>
                </w:tcPr>
                <w:p w14:paraId="490F806C">
                  <w:pPr>
                    <w:adjustRightInd w:val="0"/>
                    <w:snapToGrid w:val="0"/>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rPr>
                    <w:t>NO</w:t>
                  </w:r>
                  <w:r>
                    <w:rPr>
                      <w:rFonts w:hint="default" w:ascii="Times New Roman" w:hAnsi="Times New Roman" w:eastAsia="仿宋" w:cs="Times New Roman"/>
                      <w:color w:val="auto"/>
                      <w:sz w:val="21"/>
                      <w:szCs w:val="21"/>
                      <w:highlight w:val="none"/>
                      <w:vertAlign w:val="subscript"/>
                    </w:rPr>
                    <w:t>2</w:t>
                  </w:r>
                </w:p>
              </w:tc>
              <w:tc>
                <w:tcPr>
                  <w:tcW w:w="3135" w:type="dxa"/>
                  <w:vAlign w:val="center"/>
                </w:tcPr>
                <w:p w14:paraId="279A81F4">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lang w:val="en-US" w:eastAsia="zh-CN"/>
                    </w:rPr>
                    <w:t>年平均浓度</w:t>
                  </w:r>
                </w:p>
              </w:tc>
              <w:tc>
                <w:tcPr>
                  <w:tcW w:w="1335" w:type="dxa"/>
                  <w:vAlign w:val="center"/>
                </w:tcPr>
                <w:p w14:paraId="1BBB7C4E">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28</w:t>
                  </w:r>
                </w:p>
              </w:tc>
              <w:tc>
                <w:tcPr>
                  <w:tcW w:w="981" w:type="dxa"/>
                  <w:vAlign w:val="center"/>
                </w:tcPr>
                <w:p w14:paraId="384C569A">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40</w:t>
                  </w:r>
                </w:p>
              </w:tc>
              <w:tc>
                <w:tcPr>
                  <w:tcW w:w="1575" w:type="dxa"/>
                  <w:vAlign w:val="center"/>
                </w:tcPr>
                <w:p w14:paraId="26D60F72">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70</w:t>
                  </w:r>
                </w:p>
              </w:tc>
              <w:tc>
                <w:tcPr>
                  <w:tcW w:w="1348" w:type="dxa"/>
                  <w:vAlign w:val="center"/>
                </w:tcPr>
                <w:p w14:paraId="30E4F6D1">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lang w:val="en-US" w:eastAsia="zh-CN"/>
                    </w:rPr>
                    <w:t>达标</w:t>
                  </w:r>
                </w:p>
              </w:tc>
            </w:tr>
            <w:tr w14:paraId="58D7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2" w:type="dxa"/>
                  <w:vAlign w:val="center"/>
                </w:tcPr>
                <w:p w14:paraId="57048BBB">
                  <w:pPr>
                    <w:adjustRightInd w:val="0"/>
                    <w:snapToGrid w:val="0"/>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rPr>
                    <w:t>PM</w:t>
                  </w:r>
                  <w:r>
                    <w:rPr>
                      <w:rFonts w:hint="default" w:ascii="Times New Roman" w:hAnsi="Times New Roman" w:eastAsia="仿宋" w:cs="Times New Roman"/>
                      <w:color w:val="auto"/>
                      <w:sz w:val="21"/>
                      <w:szCs w:val="21"/>
                      <w:highlight w:val="none"/>
                      <w:vertAlign w:val="subscript"/>
                    </w:rPr>
                    <w:t>10</w:t>
                  </w:r>
                </w:p>
              </w:tc>
              <w:tc>
                <w:tcPr>
                  <w:tcW w:w="3135" w:type="dxa"/>
                  <w:vAlign w:val="center"/>
                </w:tcPr>
                <w:p w14:paraId="444D7345">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lang w:val="en-US" w:eastAsia="zh-CN"/>
                    </w:rPr>
                    <w:t>年平均浓度</w:t>
                  </w:r>
                </w:p>
              </w:tc>
              <w:tc>
                <w:tcPr>
                  <w:tcW w:w="1335" w:type="dxa"/>
                  <w:vAlign w:val="center"/>
                </w:tcPr>
                <w:p w14:paraId="5AA925EC">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48</w:t>
                  </w:r>
                </w:p>
              </w:tc>
              <w:tc>
                <w:tcPr>
                  <w:tcW w:w="981" w:type="dxa"/>
                  <w:vAlign w:val="center"/>
                </w:tcPr>
                <w:p w14:paraId="3BF2034B">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60</w:t>
                  </w:r>
                </w:p>
              </w:tc>
              <w:tc>
                <w:tcPr>
                  <w:tcW w:w="1575" w:type="dxa"/>
                  <w:vAlign w:val="center"/>
                </w:tcPr>
                <w:p w14:paraId="0B76386E">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80</w:t>
                  </w:r>
                </w:p>
              </w:tc>
              <w:tc>
                <w:tcPr>
                  <w:tcW w:w="1348" w:type="dxa"/>
                  <w:vAlign w:val="center"/>
                </w:tcPr>
                <w:p w14:paraId="748DE8A2">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lang w:val="en-US" w:eastAsia="zh-CN"/>
                    </w:rPr>
                    <w:t>达标</w:t>
                  </w:r>
                </w:p>
              </w:tc>
            </w:tr>
            <w:tr w14:paraId="2613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2" w:type="dxa"/>
                  <w:vAlign w:val="center"/>
                </w:tcPr>
                <w:p w14:paraId="7066E445">
                  <w:pPr>
                    <w:adjustRightInd w:val="0"/>
                    <w:snapToGrid w:val="0"/>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rPr>
                    <w:t>PM</w:t>
                  </w:r>
                  <w:r>
                    <w:rPr>
                      <w:rFonts w:hint="default" w:ascii="Times New Roman" w:hAnsi="Times New Roman" w:eastAsia="仿宋" w:cs="Times New Roman"/>
                      <w:color w:val="auto"/>
                      <w:sz w:val="21"/>
                      <w:szCs w:val="21"/>
                      <w:highlight w:val="none"/>
                      <w:vertAlign w:val="subscript"/>
                    </w:rPr>
                    <w:t>2.5</w:t>
                  </w:r>
                </w:p>
              </w:tc>
              <w:tc>
                <w:tcPr>
                  <w:tcW w:w="3135" w:type="dxa"/>
                  <w:vAlign w:val="center"/>
                </w:tcPr>
                <w:p w14:paraId="3BFEB9C5">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lang w:val="en-US" w:eastAsia="zh-CN"/>
                    </w:rPr>
                    <w:t>年平均浓度</w:t>
                  </w:r>
                </w:p>
              </w:tc>
              <w:tc>
                <w:tcPr>
                  <w:tcW w:w="1335" w:type="dxa"/>
                  <w:vAlign w:val="center"/>
                </w:tcPr>
                <w:p w14:paraId="2E9D8E73">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28</w:t>
                  </w:r>
                </w:p>
              </w:tc>
              <w:tc>
                <w:tcPr>
                  <w:tcW w:w="981" w:type="dxa"/>
                  <w:vAlign w:val="center"/>
                </w:tcPr>
                <w:p w14:paraId="4947384D">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30</w:t>
                  </w:r>
                </w:p>
              </w:tc>
              <w:tc>
                <w:tcPr>
                  <w:tcW w:w="1575" w:type="dxa"/>
                  <w:vAlign w:val="center"/>
                </w:tcPr>
                <w:p w14:paraId="4CB91E48">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93.3</w:t>
                  </w:r>
                </w:p>
              </w:tc>
              <w:tc>
                <w:tcPr>
                  <w:tcW w:w="1348" w:type="dxa"/>
                  <w:vAlign w:val="center"/>
                </w:tcPr>
                <w:p w14:paraId="0E6E07DF">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lang w:val="en-US" w:eastAsia="zh-CN"/>
                    </w:rPr>
                    <w:t>达标</w:t>
                  </w:r>
                </w:p>
              </w:tc>
            </w:tr>
            <w:tr w14:paraId="1F1C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2" w:type="dxa"/>
                  <w:vAlign w:val="center"/>
                </w:tcPr>
                <w:p w14:paraId="4C528966">
                  <w:pPr>
                    <w:adjustRightInd w:val="0"/>
                    <w:snapToGrid w:val="0"/>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rPr>
                    <w:t>CO</w:t>
                  </w:r>
                </w:p>
              </w:tc>
              <w:tc>
                <w:tcPr>
                  <w:tcW w:w="3135" w:type="dxa"/>
                  <w:vAlign w:val="center"/>
                </w:tcPr>
                <w:p w14:paraId="3ABAF244">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24小时平均第95百分位数浓度</w:t>
                  </w:r>
                </w:p>
              </w:tc>
              <w:tc>
                <w:tcPr>
                  <w:tcW w:w="1335" w:type="dxa"/>
                  <w:vAlign w:val="center"/>
                </w:tcPr>
                <w:p w14:paraId="005D1B80">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0.9</w:t>
                  </w:r>
                </w:p>
              </w:tc>
              <w:tc>
                <w:tcPr>
                  <w:tcW w:w="981" w:type="dxa"/>
                  <w:vAlign w:val="center"/>
                </w:tcPr>
                <w:p w14:paraId="537CF180">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4</w:t>
                  </w:r>
                </w:p>
              </w:tc>
              <w:tc>
                <w:tcPr>
                  <w:tcW w:w="1575" w:type="dxa"/>
                  <w:vAlign w:val="center"/>
                </w:tcPr>
                <w:p w14:paraId="45F825EE">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22.5</w:t>
                  </w:r>
                </w:p>
              </w:tc>
              <w:tc>
                <w:tcPr>
                  <w:tcW w:w="1348" w:type="dxa"/>
                  <w:vAlign w:val="center"/>
                </w:tcPr>
                <w:p w14:paraId="49C72795">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vertAlign w:val="baseline"/>
                      <w:lang w:val="en-US" w:eastAsia="zh-CN"/>
                    </w:rPr>
                    <w:t>达标</w:t>
                  </w:r>
                </w:p>
              </w:tc>
            </w:tr>
            <w:tr w14:paraId="71E3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2" w:type="dxa"/>
                  <w:vAlign w:val="center"/>
                </w:tcPr>
                <w:p w14:paraId="4D231AD4">
                  <w:pPr>
                    <w:adjustRightInd w:val="0"/>
                    <w:snapToGrid w:val="0"/>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rPr>
                    <w:t>O</w:t>
                  </w:r>
                  <w:r>
                    <w:rPr>
                      <w:rFonts w:hint="default" w:ascii="Times New Roman" w:hAnsi="Times New Roman" w:eastAsia="仿宋" w:cs="Times New Roman"/>
                      <w:color w:val="auto"/>
                      <w:sz w:val="21"/>
                      <w:szCs w:val="21"/>
                      <w:highlight w:val="none"/>
                      <w:vertAlign w:val="subscript"/>
                    </w:rPr>
                    <w:t>3</w:t>
                  </w:r>
                </w:p>
              </w:tc>
              <w:tc>
                <w:tcPr>
                  <w:tcW w:w="3135" w:type="dxa"/>
                  <w:vAlign w:val="center"/>
                </w:tcPr>
                <w:p w14:paraId="29303254">
                  <w:pPr>
                    <w:jc w:val="center"/>
                    <w:rPr>
                      <w:rFonts w:hint="default" w:ascii="Times New Roman" w:hAnsi="Times New Roman" w:eastAsia="仿宋" w:cs="Times New Roman"/>
                      <w:color w:val="auto"/>
                      <w:sz w:val="21"/>
                      <w:szCs w:val="21"/>
                      <w:highlight w:val="none"/>
                      <w:vertAlign w:val="baseline"/>
                    </w:rPr>
                  </w:pPr>
                  <w:r>
                    <w:rPr>
                      <w:rFonts w:hint="default" w:ascii="Times New Roman" w:hAnsi="Times New Roman" w:eastAsia="仿宋" w:cs="Times New Roman"/>
                      <w:color w:val="auto"/>
                      <w:sz w:val="21"/>
                      <w:szCs w:val="21"/>
                      <w:highlight w:val="none"/>
                    </w:rPr>
                    <w:t>日最大8小时滑动平均第90百分位数浓度</w:t>
                  </w:r>
                </w:p>
              </w:tc>
              <w:tc>
                <w:tcPr>
                  <w:tcW w:w="1335" w:type="dxa"/>
                  <w:vAlign w:val="center"/>
                </w:tcPr>
                <w:p w14:paraId="4E9E985D">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174</w:t>
                  </w:r>
                </w:p>
              </w:tc>
              <w:tc>
                <w:tcPr>
                  <w:tcW w:w="981" w:type="dxa"/>
                  <w:vAlign w:val="center"/>
                </w:tcPr>
                <w:p w14:paraId="6A084A63">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160</w:t>
                  </w:r>
                </w:p>
              </w:tc>
              <w:tc>
                <w:tcPr>
                  <w:tcW w:w="1575" w:type="dxa"/>
                  <w:vAlign w:val="center"/>
                </w:tcPr>
                <w:p w14:paraId="5D9A6BA9">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108.75</w:t>
                  </w:r>
                </w:p>
              </w:tc>
              <w:tc>
                <w:tcPr>
                  <w:tcW w:w="1348" w:type="dxa"/>
                  <w:vAlign w:val="center"/>
                </w:tcPr>
                <w:p w14:paraId="1E8F9395">
                  <w:pPr>
                    <w:jc w:val="center"/>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超标</w:t>
                  </w:r>
                </w:p>
              </w:tc>
            </w:tr>
          </w:tbl>
          <w:p w14:paraId="2D5E77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对照《环境空气质量标准》（GB3095-2026）、《环境空气质量评价技术规范》（HJ6632026），SO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年均浓度值优于一级标准，PM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年均浓度值达到二级标准，CO</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24小时平均第95百分位数浓度值优于一级标准，O</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日最大8小时滑动平均第90百分位数浓度值超过二级标准。项目所在区O</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超标，因此，判定苏州市环境空气质量</w:t>
            </w:r>
            <w:r>
              <w:rPr>
                <w:rFonts w:hint="eastAsia" w:cs="Times New Roman"/>
                <w:color w:val="auto"/>
                <w:sz w:val="24"/>
                <w:szCs w:val="24"/>
                <w:highlight w:val="none"/>
                <w:lang w:val="en-US" w:eastAsia="zh-CN"/>
              </w:rPr>
              <w:t>不</w:t>
            </w:r>
            <w:r>
              <w:rPr>
                <w:rFonts w:hint="default" w:ascii="Times New Roman" w:hAnsi="Times New Roman" w:eastAsia="宋体" w:cs="Times New Roman"/>
                <w:color w:val="auto"/>
                <w:sz w:val="24"/>
                <w:szCs w:val="24"/>
                <w:highlight w:val="none"/>
              </w:rPr>
              <w:t>达标区。</w:t>
            </w:r>
          </w:p>
          <w:p w14:paraId="23E7A4AE">
            <w:pPr>
              <w:spacing w:line="360" w:lineRule="auto"/>
              <w:ind w:firstLine="480" w:firstLineChars="200"/>
              <w:rPr>
                <w:color w:val="auto"/>
                <w:sz w:val="24"/>
                <w:szCs w:val="24"/>
                <w:highlight w:val="none"/>
              </w:rPr>
            </w:pPr>
            <w:r>
              <w:rPr>
                <w:color w:val="auto"/>
                <w:sz w:val="24"/>
                <w:szCs w:val="24"/>
                <w:highlight w:val="none"/>
              </w:rPr>
              <w:t>评价区域范围内的环境空气质量标准执行</w:t>
            </w:r>
            <w:r>
              <w:rPr>
                <w:rFonts w:hint="eastAsia"/>
                <w:color w:val="auto"/>
                <w:sz w:val="24"/>
                <w:szCs w:val="24"/>
                <w:highlight w:val="none"/>
              </w:rPr>
              <w:t>《环境空气质量标准》（GB3095-2026）中过渡阶段浓度限制二级标准，</w:t>
            </w:r>
            <w:r>
              <w:rPr>
                <w:color w:val="auto"/>
                <w:sz w:val="24"/>
                <w:szCs w:val="24"/>
                <w:highlight w:val="none"/>
              </w:rPr>
              <w:t>具体标准值见</w:t>
            </w:r>
            <w:r>
              <w:rPr>
                <w:rFonts w:hint="eastAsia"/>
                <w:color w:val="auto"/>
                <w:sz w:val="24"/>
                <w:szCs w:val="24"/>
                <w:highlight w:val="none"/>
                <w:lang w:val="en-US" w:eastAsia="zh-CN"/>
              </w:rPr>
              <w:t>下表</w:t>
            </w:r>
            <w:r>
              <w:rPr>
                <w:color w:val="auto"/>
                <w:sz w:val="24"/>
                <w:szCs w:val="24"/>
                <w:highlight w:val="none"/>
              </w:rPr>
              <w:t>。</w:t>
            </w:r>
          </w:p>
          <w:p w14:paraId="4EE44155">
            <w:pPr>
              <w:numPr>
                <w:ilvl w:val="0"/>
                <w:numId w:val="5"/>
              </w:numPr>
              <w:adjustRightInd w:val="0"/>
              <w:snapToGrid w:val="0"/>
              <w:ind w:left="0" w:leftChars="0" w:firstLine="0" w:firstLineChars="0"/>
              <w:jc w:val="center"/>
              <w:rPr>
                <w:b/>
                <w:color w:val="auto"/>
                <w:sz w:val="24"/>
                <w:szCs w:val="24"/>
                <w:highlight w:val="none"/>
              </w:rPr>
            </w:pPr>
            <w:r>
              <w:rPr>
                <w:b/>
                <w:color w:val="auto"/>
                <w:sz w:val="24"/>
                <w:szCs w:val="24"/>
                <w:highlight w:val="none"/>
              </w:rPr>
              <w:t>环境空气质量标准</w:t>
            </w:r>
          </w:p>
          <w:tbl>
            <w:tblPr>
              <w:tblStyle w:val="22"/>
              <w:tblW w:w="5044"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593"/>
              <w:gridCol w:w="2164"/>
              <w:gridCol w:w="2216"/>
              <w:gridCol w:w="3383"/>
            </w:tblGrid>
            <w:tr w14:paraId="7BB8F1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tcBorders>
                    <w:tl2br w:val="nil"/>
                    <w:tr2bl w:val="nil"/>
                  </w:tcBorders>
                  <w:vAlign w:val="center"/>
                </w:tcPr>
                <w:p w14:paraId="77DC28F4">
                  <w:pPr>
                    <w:adjustRightInd w:val="0"/>
                    <w:snapToGrid w:val="0"/>
                    <w:jc w:val="center"/>
                    <w:rPr>
                      <w:rFonts w:hint="default" w:ascii="Times New Roman" w:hAnsi="Times New Roman" w:eastAsia="仿宋" w:cs="Times New Roman"/>
                      <w:b/>
                      <w:bCs w:val="0"/>
                      <w:color w:val="000000" w:themeColor="text1"/>
                      <w:sz w:val="21"/>
                      <w:szCs w:val="21"/>
                      <w:highlight w:val="none"/>
                      <w14:textFill>
                        <w14:solidFill>
                          <w14:schemeClr w14:val="tx1"/>
                        </w14:solidFill>
                      </w14:textFill>
                    </w:rPr>
                  </w:pPr>
                  <w:r>
                    <w:rPr>
                      <w:rFonts w:hint="default" w:ascii="Times New Roman" w:hAnsi="Times New Roman" w:eastAsia="仿宋" w:cs="Times New Roman"/>
                      <w:b/>
                      <w:bCs w:val="0"/>
                      <w:color w:val="000000" w:themeColor="text1"/>
                      <w:sz w:val="21"/>
                      <w:szCs w:val="21"/>
                      <w:highlight w:val="none"/>
                      <w14:textFill>
                        <w14:solidFill>
                          <w14:schemeClr w14:val="tx1"/>
                        </w14:solidFill>
                      </w14:textFill>
                    </w:rPr>
                    <w:t>评价因子</w:t>
                  </w:r>
                </w:p>
              </w:tc>
              <w:tc>
                <w:tcPr>
                  <w:tcW w:w="1156" w:type="pct"/>
                  <w:tcBorders>
                    <w:tl2br w:val="nil"/>
                    <w:tr2bl w:val="nil"/>
                  </w:tcBorders>
                  <w:vAlign w:val="center"/>
                </w:tcPr>
                <w:p w14:paraId="316D3C5D">
                  <w:pPr>
                    <w:adjustRightInd w:val="0"/>
                    <w:snapToGrid w:val="0"/>
                    <w:jc w:val="center"/>
                    <w:rPr>
                      <w:rFonts w:hint="default" w:ascii="Times New Roman" w:hAnsi="Times New Roman" w:eastAsia="仿宋" w:cs="Times New Roman"/>
                      <w:b/>
                      <w:bCs w:val="0"/>
                      <w:color w:val="000000" w:themeColor="text1"/>
                      <w:sz w:val="21"/>
                      <w:szCs w:val="21"/>
                      <w:highlight w:val="none"/>
                      <w14:textFill>
                        <w14:solidFill>
                          <w14:schemeClr w14:val="tx1"/>
                        </w14:solidFill>
                      </w14:textFill>
                    </w:rPr>
                  </w:pPr>
                  <w:r>
                    <w:rPr>
                      <w:rFonts w:hint="default" w:ascii="Times New Roman" w:hAnsi="Times New Roman" w:eastAsia="仿宋" w:cs="Times New Roman"/>
                      <w:b/>
                      <w:bCs w:val="0"/>
                      <w:color w:val="000000" w:themeColor="text1"/>
                      <w:sz w:val="21"/>
                      <w:szCs w:val="21"/>
                      <w:highlight w:val="none"/>
                      <w14:textFill>
                        <w14:solidFill>
                          <w14:schemeClr w14:val="tx1"/>
                        </w14:solidFill>
                      </w14:textFill>
                    </w:rPr>
                    <w:t>平均时段</w:t>
                  </w:r>
                </w:p>
              </w:tc>
              <w:tc>
                <w:tcPr>
                  <w:tcW w:w="1184" w:type="pct"/>
                  <w:tcBorders>
                    <w:tl2br w:val="nil"/>
                    <w:tr2bl w:val="nil"/>
                  </w:tcBorders>
                  <w:vAlign w:val="center"/>
                </w:tcPr>
                <w:p w14:paraId="1B9C8E34">
                  <w:pPr>
                    <w:adjustRightInd w:val="0"/>
                    <w:snapToGrid w:val="0"/>
                    <w:jc w:val="center"/>
                    <w:rPr>
                      <w:rFonts w:hint="default" w:ascii="Times New Roman" w:hAnsi="Times New Roman" w:eastAsia="仿宋" w:cs="Times New Roman"/>
                      <w:b/>
                      <w:bCs w:val="0"/>
                      <w:color w:val="000000" w:themeColor="text1"/>
                      <w:sz w:val="21"/>
                      <w:szCs w:val="21"/>
                      <w:highlight w:val="none"/>
                      <w14:textFill>
                        <w14:solidFill>
                          <w14:schemeClr w14:val="tx1"/>
                        </w14:solidFill>
                      </w14:textFill>
                    </w:rPr>
                  </w:pPr>
                  <w:r>
                    <w:rPr>
                      <w:rFonts w:hint="default" w:ascii="Times New Roman" w:hAnsi="Times New Roman" w:eastAsia="仿宋" w:cs="Times New Roman"/>
                      <w:b/>
                      <w:bCs w:val="0"/>
                      <w:color w:val="000000" w:themeColor="text1"/>
                      <w:sz w:val="21"/>
                      <w:szCs w:val="21"/>
                      <w:highlight w:val="none"/>
                      <w14:textFill>
                        <w14:solidFill>
                          <w14:schemeClr w14:val="tx1"/>
                        </w14:solidFill>
                      </w14:textFill>
                    </w:rPr>
                    <w:t>标准值/（μg/m</w:t>
                  </w:r>
                  <w:r>
                    <w:rPr>
                      <w:rFonts w:hint="default" w:ascii="Times New Roman" w:hAnsi="Times New Roman" w:eastAsia="仿宋" w:cs="Times New Roman"/>
                      <w:b/>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仿宋" w:cs="Times New Roman"/>
                      <w:b/>
                      <w:bCs w:val="0"/>
                      <w:color w:val="000000" w:themeColor="text1"/>
                      <w:sz w:val="21"/>
                      <w:szCs w:val="21"/>
                      <w:highlight w:val="none"/>
                      <w14:textFill>
                        <w14:solidFill>
                          <w14:schemeClr w14:val="tx1"/>
                        </w14:solidFill>
                      </w14:textFill>
                    </w:rPr>
                    <w:t>）</w:t>
                  </w:r>
                </w:p>
              </w:tc>
              <w:tc>
                <w:tcPr>
                  <w:tcW w:w="1807" w:type="pct"/>
                  <w:tcBorders>
                    <w:tl2br w:val="nil"/>
                    <w:tr2bl w:val="nil"/>
                  </w:tcBorders>
                  <w:vAlign w:val="center"/>
                </w:tcPr>
                <w:p w14:paraId="799AE90F">
                  <w:pPr>
                    <w:adjustRightInd w:val="0"/>
                    <w:snapToGrid w:val="0"/>
                    <w:jc w:val="center"/>
                    <w:rPr>
                      <w:rFonts w:hint="default" w:ascii="Times New Roman" w:hAnsi="Times New Roman" w:eastAsia="仿宋" w:cs="Times New Roman"/>
                      <w:b/>
                      <w:bCs w:val="0"/>
                      <w:color w:val="000000" w:themeColor="text1"/>
                      <w:sz w:val="21"/>
                      <w:szCs w:val="21"/>
                      <w:highlight w:val="none"/>
                      <w14:textFill>
                        <w14:solidFill>
                          <w14:schemeClr w14:val="tx1"/>
                        </w14:solidFill>
                      </w14:textFill>
                    </w:rPr>
                  </w:pPr>
                  <w:r>
                    <w:rPr>
                      <w:rFonts w:hint="default" w:ascii="Times New Roman" w:hAnsi="Times New Roman" w:eastAsia="仿宋" w:cs="Times New Roman"/>
                      <w:b/>
                      <w:bCs w:val="0"/>
                      <w:color w:val="000000" w:themeColor="text1"/>
                      <w:sz w:val="21"/>
                      <w:szCs w:val="21"/>
                      <w:highlight w:val="none"/>
                      <w14:textFill>
                        <w14:solidFill>
                          <w14:schemeClr w14:val="tx1"/>
                        </w14:solidFill>
                      </w14:textFill>
                    </w:rPr>
                    <w:t>标准来源</w:t>
                  </w:r>
                </w:p>
              </w:tc>
            </w:tr>
            <w:tr w14:paraId="359757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restart"/>
                  <w:tcBorders>
                    <w:tl2br w:val="nil"/>
                    <w:tr2bl w:val="nil"/>
                  </w:tcBorders>
                  <w:vAlign w:val="center"/>
                </w:tcPr>
                <w:p w14:paraId="5DB8E7A3">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SO</w:t>
                  </w:r>
                  <w:r>
                    <w:rPr>
                      <w:rFonts w:hint="default" w:ascii="Times New Roman" w:hAnsi="Times New Roman" w:eastAsia="仿宋" w:cs="Times New Roman"/>
                      <w:color w:val="000000" w:themeColor="text1"/>
                      <w:sz w:val="21"/>
                      <w:szCs w:val="21"/>
                      <w:highlight w:val="none"/>
                      <w:vertAlign w:val="subscript"/>
                      <w14:textFill>
                        <w14:solidFill>
                          <w14:schemeClr w14:val="tx1"/>
                        </w14:solidFill>
                      </w14:textFill>
                    </w:rPr>
                    <w:t>2</w:t>
                  </w:r>
                </w:p>
              </w:tc>
              <w:tc>
                <w:tcPr>
                  <w:tcW w:w="1156" w:type="pct"/>
                  <w:tcBorders>
                    <w:tl2br w:val="nil"/>
                    <w:tr2bl w:val="nil"/>
                  </w:tcBorders>
                  <w:vAlign w:val="center"/>
                </w:tcPr>
                <w:p w14:paraId="20B8C01A">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年平均</w:t>
                  </w:r>
                </w:p>
              </w:tc>
              <w:tc>
                <w:tcPr>
                  <w:tcW w:w="1184" w:type="pct"/>
                  <w:tcBorders>
                    <w:tl2br w:val="nil"/>
                    <w:tr2bl w:val="nil"/>
                  </w:tcBorders>
                  <w:vAlign w:val="center"/>
                </w:tcPr>
                <w:p w14:paraId="3DE448C4">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60</w:t>
                  </w:r>
                </w:p>
              </w:tc>
              <w:tc>
                <w:tcPr>
                  <w:tcW w:w="1807" w:type="pct"/>
                  <w:vMerge w:val="restart"/>
                  <w:tcBorders>
                    <w:tl2br w:val="nil"/>
                    <w:tr2bl w:val="nil"/>
                  </w:tcBorders>
                  <w:vAlign w:val="center"/>
                </w:tcPr>
                <w:p w14:paraId="52E37551">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《环境空气质量标准》（GB3095-20</w:t>
                  </w: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26</w:t>
                  </w:r>
                  <w:r>
                    <w:rPr>
                      <w:rFonts w:hint="default" w:ascii="Times New Roman" w:hAnsi="Times New Roman" w:eastAsia="仿宋" w:cs="Times New Roman"/>
                      <w:color w:val="000000" w:themeColor="text1"/>
                      <w:sz w:val="21"/>
                      <w:szCs w:val="21"/>
                      <w:highlight w:val="none"/>
                      <w14:textFill>
                        <w14:solidFill>
                          <w14:schemeClr w14:val="tx1"/>
                        </w14:solidFill>
                      </w14:textFill>
                    </w:rPr>
                    <w:t>）</w:t>
                  </w: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表1过渡阶段</w:t>
                  </w:r>
                  <w:r>
                    <w:rPr>
                      <w:rFonts w:hint="default" w:ascii="Times New Roman" w:hAnsi="Times New Roman" w:eastAsia="仿宋" w:cs="Times New Roman"/>
                      <w:color w:val="000000" w:themeColor="text1"/>
                      <w:sz w:val="21"/>
                      <w:szCs w:val="21"/>
                      <w:highlight w:val="none"/>
                      <w14:textFill>
                        <w14:solidFill>
                          <w14:schemeClr w14:val="tx1"/>
                        </w14:solidFill>
                      </w14:textFill>
                    </w:rPr>
                    <w:t>二级标准</w:t>
                  </w: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浓度限值</w:t>
                  </w:r>
                </w:p>
              </w:tc>
            </w:tr>
            <w:tr w14:paraId="2BBA88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continue"/>
                  <w:tcBorders>
                    <w:tl2br w:val="nil"/>
                    <w:tr2bl w:val="nil"/>
                  </w:tcBorders>
                  <w:vAlign w:val="center"/>
                </w:tcPr>
                <w:p w14:paraId="0F69683B">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c>
                <w:tcPr>
                  <w:tcW w:w="1156" w:type="pct"/>
                  <w:tcBorders>
                    <w:tl2br w:val="nil"/>
                    <w:tr2bl w:val="nil"/>
                  </w:tcBorders>
                  <w:vAlign w:val="center"/>
                </w:tcPr>
                <w:p w14:paraId="2617EA48">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日</w:t>
                  </w:r>
                  <w:r>
                    <w:rPr>
                      <w:rFonts w:hint="default" w:ascii="Times New Roman" w:hAnsi="Times New Roman" w:eastAsia="仿宋" w:cs="Times New Roman"/>
                      <w:color w:val="000000" w:themeColor="text1"/>
                      <w:sz w:val="21"/>
                      <w:szCs w:val="21"/>
                      <w:highlight w:val="none"/>
                      <w14:textFill>
                        <w14:solidFill>
                          <w14:schemeClr w14:val="tx1"/>
                        </w14:solidFill>
                      </w14:textFill>
                    </w:rPr>
                    <w:t>平均</w:t>
                  </w:r>
                </w:p>
              </w:tc>
              <w:tc>
                <w:tcPr>
                  <w:tcW w:w="1184" w:type="pct"/>
                  <w:tcBorders>
                    <w:tl2br w:val="nil"/>
                    <w:tr2bl w:val="nil"/>
                  </w:tcBorders>
                  <w:vAlign w:val="center"/>
                </w:tcPr>
                <w:p w14:paraId="1C1E4AD4">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150</w:t>
                  </w:r>
                </w:p>
              </w:tc>
              <w:tc>
                <w:tcPr>
                  <w:tcW w:w="1807" w:type="pct"/>
                  <w:vMerge w:val="continue"/>
                  <w:tcBorders>
                    <w:tl2br w:val="nil"/>
                    <w:tr2bl w:val="nil"/>
                  </w:tcBorders>
                  <w:vAlign w:val="center"/>
                </w:tcPr>
                <w:p w14:paraId="3036A762">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75992D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continue"/>
                  <w:tcBorders>
                    <w:tl2br w:val="nil"/>
                    <w:tr2bl w:val="nil"/>
                  </w:tcBorders>
                  <w:vAlign w:val="center"/>
                </w:tcPr>
                <w:p w14:paraId="624FF239">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c>
                <w:tcPr>
                  <w:tcW w:w="1156" w:type="pct"/>
                  <w:tcBorders>
                    <w:tl2br w:val="nil"/>
                    <w:tr2bl w:val="nil"/>
                  </w:tcBorders>
                  <w:vAlign w:val="center"/>
                </w:tcPr>
                <w:p w14:paraId="0F4B51AB">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1小时平均</w:t>
                  </w:r>
                </w:p>
              </w:tc>
              <w:tc>
                <w:tcPr>
                  <w:tcW w:w="1184" w:type="pct"/>
                  <w:tcBorders>
                    <w:tl2br w:val="nil"/>
                    <w:tr2bl w:val="nil"/>
                  </w:tcBorders>
                  <w:vAlign w:val="center"/>
                </w:tcPr>
                <w:p w14:paraId="5131C78D">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500</w:t>
                  </w:r>
                </w:p>
              </w:tc>
              <w:tc>
                <w:tcPr>
                  <w:tcW w:w="1807" w:type="pct"/>
                  <w:vMerge w:val="continue"/>
                  <w:tcBorders>
                    <w:tl2br w:val="nil"/>
                    <w:tr2bl w:val="nil"/>
                  </w:tcBorders>
                  <w:vAlign w:val="center"/>
                </w:tcPr>
                <w:p w14:paraId="568EAAAA">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65A9D1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restart"/>
                  <w:tcBorders>
                    <w:tl2br w:val="nil"/>
                    <w:tr2bl w:val="nil"/>
                  </w:tcBorders>
                  <w:vAlign w:val="center"/>
                </w:tcPr>
                <w:p w14:paraId="009779C9">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NO</w:t>
                  </w:r>
                  <w:r>
                    <w:rPr>
                      <w:rFonts w:hint="default" w:ascii="Times New Roman" w:hAnsi="Times New Roman" w:eastAsia="仿宋" w:cs="Times New Roman"/>
                      <w:color w:val="000000" w:themeColor="text1"/>
                      <w:sz w:val="21"/>
                      <w:szCs w:val="21"/>
                      <w:highlight w:val="none"/>
                      <w:vertAlign w:val="subscript"/>
                      <w14:textFill>
                        <w14:solidFill>
                          <w14:schemeClr w14:val="tx1"/>
                        </w14:solidFill>
                      </w14:textFill>
                    </w:rPr>
                    <w:t>2</w:t>
                  </w:r>
                </w:p>
              </w:tc>
              <w:tc>
                <w:tcPr>
                  <w:tcW w:w="1156" w:type="pct"/>
                  <w:tcBorders>
                    <w:tl2br w:val="nil"/>
                    <w:tr2bl w:val="nil"/>
                  </w:tcBorders>
                  <w:vAlign w:val="center"/>
                </w:tcPr>
                <w:p w14:paraId="5F4B10C4">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年平均</w:t>
                  </w:r>
                </w:p>
              </w:tc>
              <w:tc>
                <w:tcPr>
                  <w:tcW w:w="1184" w:type="pct"/>
                  <w:tcBorders>
                    <w:tl2br w:val="nil"/>
                    <w:tr2bl w:val="nil"/>
                  </w:tcBorders>
                  <w:vAlign w:val="center"/>
                </w:tcPr>
                <w:p w14:paraId="2AD71C6F">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40</w:t>
                  </w:r>
                </w:p>
              </w:tc>
              <w:tc>
                <w:tcPr>
                  <w:tcW w:w="1807" w:type="pct"/>
                  <w:vMerge w:val="continue"/>
                  <w:tcBorders>
                    <w:tl2br w:val="nil"/>
                    <w:tr2bl w:val="nil"/>
                  </w:tcBorders>
                  <w:vAlign w:val="center"/>
                </w:tcPr>
                <w:p w14:paraId="12FCF328">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21047A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continue"/>
                  <w:tcBorders>
                    <w:tl2br w:val="nil"/>
                    <w:tr2bl w:val="nil"/>
                  </w:tcBorders>
                  <w:vAlign w:val="center"/>
                </w:tcPr>
                <w:p w14:paraId="03451FCD">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c>
                <w:tcPr>
                  <w:tcW w:w="1156" w:type="pct"/>
                  <w:tcBorders>
                    <w:tl2br w:val="nil"/>
                    <w:tr2bl w:val="nil"/>
                  </w:tcBorders>
                  <w:vAlign w:val="center"/>
                </w:tcPr>
                <w:p w14:paraId="202060D2">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日</w:t>
                  </w:r>
                  <w:r>
                    <w:rPr>
                      <w:rFonts w:hint="default" w:ascii="Times New Roman" w:hAnsi="Times New Roman" w:eastAsia="仿宋" w:cs="Times New Roman"/>
                      <w:color w:val="000000" w:themeColor="text1"/>
                      <w:sz w:val="21"/>
                      <w:szCs w:val="21"/>
                      <w:highlight w:val="none"/>
                      <w14:textFill>
                        <w14:solidFill>
                          <w14:schemeClr w14:val="tx1"/>
                        </w14:solidFill>
                      </w14:textFill>
                    </w:rPr>
                    <w:t>平均</w:t>
                  </w:r>
                </w:p>
              </w:tc>
              <w:tc>
                <w:tcPr>
                  <w:tcW w:w="1184" w:type="pct"/>
                  <w:tcBorders>
                    <w:tl2br w:val="nil"/>
                    <w:tr2bl w:val="nil"/>
                  </w:tcBorders>
                  <w:vAlign w:val="center"/>
                </w:tcPr>
                <w:p w14:paraId="3D396B24">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80</w:t>
                  </w:r>
                </w:p>
              </w:tc>
              <w:tc>
                <w:tcPr>
                  <w:tcW w:w="1807" w:type="pct"/>
                  <w:vMerge w:val="continue"/>
                  <w:tcBorders>
                    <w:tl2br w:val="nil"/>
                    <w:tr2bl w:val="nil"/>
                  </w:tcBorders>
                  <w:vAlign w:val="center"/>
                </w:tcPr>
                <w:p w14:paraId="214FE9A5">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3EDFDB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continue"/>
                  <w:tcBorders>
                    <w:tl2br w:val="nil"/>
                    <w:tr2bl w:val="nil"/>
                  </w:tcBorders>
                  <w:vAlign w:val="center"/>
                </w:tcPr>
                <w:p w14:paraId="2AF9C8D9">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c>
                <w:tcPr>
                  <w:tcW w:w="1156" w:type="pct"/>
                  <w:tcBorders>
                    <w:tl2br w:val="nil"/>
                    <w:tr2bl w:val="nil"/>
                  </w:tcBorders>
                  <w:vAlign w:val="center"/>
                </w:tcPr>
                <w:p w14:paraId="6CA03A96">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1小时平均</w:t>
                  </w:r>
                </w:p>
              </w:tc>
              <w:tc>
                <w:tcPr>
                  <w:tcW w:w="1184" w:type="pct"/>
                  <w:tcBorders>
                    <w:tl2br w:val="nil"/>
                    <w:tr2bl w:val="nil"/>
                  </w:tcBorders>
                  <w:vAlign w:val="center"/>
                </w:tcPr>
                <w:p w14:paraId="7F99EE83">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200</w:t>
                  </w:r>
                </w:p>
              </w:tc>
              <w:tc>
                <w:tcPr>
                  <w:tcW w:w="1807" w:type="pct"/>
                  <w:vMerge w:val="continue"/>
                  <w:tcBorders>
                    <w:tl2br w:val="nil"/>
                    <w:tr2bl w:val="nil"/>
                  </w:tcBorders>
                  <w:vAlign w:val="center"/>
                </w:tcPr>
                <w:p w14:paraId="0CD1A8AB">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34BBA3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restart"/>
                  <w:tcBorders>
                    <w:tl2br w:val="nil"/>
                    <w:tr2bl w:val="nil"/>
                  </w:tcBorders>
                  <w:vAlign w:val="center"/>
                </w:tcPr>
                <w:p w14:paraId="22E491E7">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CO</w:t>
                  </w:r>
                </w:p>
              </w:tc>
              <w:tc>
                <w:tcPr>
                  <w:tcW w:w="1156" w:type="pct"/>
                  <w:tcBorders>
                    <w:tl2br w:val="nil"/>
                    <w:tr2bl w:val="nil"/>
                  </w:tcBorders>
                  <w:vAlign w:val="center"/>
                </w:tcPr>
                <w:p w14:paraId="244AE874">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日</w:t>
                  </w:r>
                  <w:r>
                    <w:rPr>
                      <w:rFonts w:hint="default" w:ascii="Times New Roman" w:hAnsi="Times New Roman" w:eastAsia="仿宋" w:cs="Times New Roman"/>
                      <w:color w:val="000000" w:themeColor="text1"/>
                      <w:sz w:val="21"/>
                      <w:szCs w:val="21"/>
                      <w:highlight w:val="none"/>
                      <w14:textFill>
                        <w14:solidFill>
                          <w14:schemeClr w14:val="tx1"/>
                        </w14:solidFill>
                      </w14:textFill>
                    </w:rPr>
                    <w:t>平均</w:t>
                  </w:r>
                </w:p>
              </w:tc>
              <w:tc>
                <w:tcPr>
                  <w:tcW w:w="1184" w:type="pct"/>
                  <w:tcBorders>
                    <w:tl2br w:val="nil"/>
                    <w:tr2bl w:val="nil"/>
                  </w:tcBorders>
                  <w:vAlign w:val="center"/>
                </w:tcPr>
                <w:p w14:paraId="6765B232">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4000</w:t>
                  </w:r>
                </w:p>
              </w:tc>
              <w:tc>
                <w:tcPr>
                  <w:tcW w:w="1807" w:type="pct"/>
                  <w:vMerge w:val="continue"/>
                  <w:tcBorders>
                    <w:tl2br w:val="nil"/>
                    <w:tr2bl w:val="nil"/>
                  </w:tcBorders>
                  <w:vAlign w:val="center"/>
                </w:tcPr>
                <w:p w14:paraId="6E39B2DF">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5249B9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continue"/>
                  <w:tcBorders>
                    <w:tl2br w:val="nil"/>
                    <w:tr2bl w:val="nil"/>
                  </w:tcBorders>
                  <w:vAlign w:val="center"/>
                </w:tcPr>
                <w:p w14:paraId="083BF490">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c>
                <w:tcPr>
                  <w:tcW w:w="1156" w:type="pct"/>
                  <w:tcBorders>
                    <w:tl2br w:val="nil"/>
                    <w:tr2bl w:val="nil"/>
                  </w:tcBorders>
                  <w:vAlign w:val="center"/>
                </w:tcPr>
                <w:p w14:paraId="76FF745B">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1小时平均</w:t>
                  </w:r>
                </w:p>
              </w:tc>
              <w:tc>
                <w:tcPr>
                  <w:tcW w:w="1184" w:type="pct"/>
                  <w:tcBorders>
                    <w:tl2br w:val="nil"/>
                    <w:tr2bl w:val="nil"/>
                  </w:tcBorders>
                  <w:vAlign w:val="center"/>
                </w:tcPr>
                <w:p w14:paraId="227FAC9E">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10000</w:t>
                  </w:r>
                </w:p>
              </w:tc>
              <w:tc>
                <w:tcPr>
                  <w:tcW w:w="1807" w:type="pct"/>
                  <w:vMerge w:val="continue"/>
                  <w:tcBorders>
                    <w:tl2br w:val="nil"/>
                    <w:tr2bl w:val="nil"/>
                  </w:tcBorders>
                  <w:vAlign w:val="center"/>
                </w:tcPr>
                <w:p w14:paraId="26008346">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33B442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restart"/>
                  <w:tcBorders>
                    <w:tl2br w:val="nil"/>
                    <w:tr2bl w:val="nil"/>
                  </w:tcBorders>
                  <w:vAlign w:val="center"/>
                </w:tcPr>
                <w:p w14:paraId="05A81F4E">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O</w:t>
                  </w:r>
                  <w:r>
                    <w:rPr>
                      <w:rFonts w:hint="default" w:ascii="Times New Roman" w:hAnsi="Times New Roman" w:eastAsia="仿宋" w:cs="Times New Roman"/>
                      <w:color w:val="000000" w:themeColor="text1"/>
                      <w:sz w:val="21"/>
                      <w:szCs w:val="21"/>
                      <w:highlight w:val="none"/>
                      <w:vertAlign w:val="subscript"/>
                      <w14:textFill>
                        <w14:solidFill>
                          <w14:schemeClr w14:val="tx1"/>
                        </w14:solidFill>
                      </w14:textFill>
                    </w:rPr>
                    <w:t>3</w:t>
                  </w:r>
                </w:p>
              </w:tc>
              <w:tc>
                <w:tcPr>
                  <w:tcW w:w="1156" w:type="pct"/>
                  <w:tcBorders>
                    <w:tl2br w:val="nil"/>
                    <w:tr2bl w:val="nil"/>
                  </w:tcBorders>
                  <w:vAlign w:val="center"/>
                </w:tcPr>
                <w:p w14:paraId="35F2C75A">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日最大8小时平均</w:t>
                  </w:r>
                </w:p>
              </w:tc>
              <w:tc>
                <w:tcPr>
                  <w:tcW w:w="1184" w:type="pct"/>
                  <w:tcBorders>
                    <w:tl2br w:val="nil"/>
                    <w:tr2bl w:val="nil"/>
                  </w:tcBorders>
                  <w:vAlign w:val="center"/>
                </w:tcPr>
                <w:p w14:paraId="2101BF9F">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160</w:t>
                  </w:r>
                </w:p>
              </w:tc>
              <w:tc>
                <w:tcPr>
                  <w:tcW w:w="1807" w:type="pct"/>
                  <w:vMerge w:val="continue"/>
                  <w:tcBorders>
                    <w:tl2br w:val="nil"/>
                    <w:tr2bl w:val="nil"/>
                  </w:tcBorders>
                  <w:vAlign w:val="center"/>
                </w:tcPr>
                <w:p w14:paraId="72756825">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3F56DA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continue"/>
                  <w:tcBorders>
                    <w:tl2br w:val="nil"/>
                    <w:tr2bl w:val="nil"/>
                  </w:tcBorders>
                  <w:vAlign w:val="center"/>
                </w:tcPr>
                <w:p w14:paraId="710D774A">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c>
                <w:tcPr>
                  <w:tcW w:w="1156" w:type="pct"/>
                  <w:tcBorders>
                    <w:tl2br w:val="nil"/>
                    <w:tr2bl w:val="nil"/>
                  </w:tcBorders>
                  <w:vAlign w:val="center"/>
                </w:tcPr>
                <w:p w14:paraId="26688221">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1小时平均</w:t>
                  </w:r>
                </w:p>
              </w:tc>
              <w:tc>
                <w:tcPr>
                  <w:tcW w:w="1184" w:type="pct"/>
                  <w:tcBorders>
                    <w:tl2br w:val="nil"/>
                    <w:tr2bl w:val="nil"/>
                  </w:tcBorders>
                  <w:vAlign w:val="center"/>
                </w:tcPr>
                <w:p w14:paraId="24080E10">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200</w:t>
                  </w:r>
                </w:p>
              </w:tc>
              <w:tc>
                <w:tcPr>
                  <w:tcW w:w="1807" w:type="pct"/>
                  <w:vMerge w:val="continue"/>
                  <w:tcBorders>
                    <w:tl2br w:val="nil"/>
                    <w:tr2bl w:val="nil"/>
                  </w:tcBorders>
                  <w:vAlign w:val="center"/>
                </w:tcPr>
                <w:p w14:paraId="60653710">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6BFF1B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restart"/>
                  <w:tcBorders>
                    <w:tl2br w:val="nil"/>
                    <w:tr2bl w:val="nil"/>
                  </w:tcBorders>
                  <w:vAlign w:val="center"/>
                </w:tcPr>
                <w:p w14:paraId="43D0227A">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PM</w:t>
                  </w:r>
                  <w:r>
                    <w:rPr>
                      <w:rFonts w:hint="default" w:ascii="Times New Roman" w:hAnsi="Times New Roman" w:eastAsia="仿宋" w:cs="Times New Roman"/>
                      <w:color w:val="000000" w:themeColor="text1"/>
                      <w:sz w:val="21"/>
                      <w:szCs w:val="21"/>
                      <w:highlight w:val="none"/>
                      <w:vertAlign w:val="subscript"/>
                      <w14:textFill>
                        <w14:solidFill>
                          <w14:schemeClr w14:val="tx1"/>
                        </w14:solidFill>
                      </w14:textFill>
                    </w:rPr>
                    <w:t>10</w:t>
                  </w:r>
                </w:p>
              </w:tc>
              <w:tc>
                <w:tcPr>
                  <w:tcW w:w="1156" w:type="pct"/>
                  <w:tcBorders>
                    <w:tl2br w:val="nil"/>
                    <w:tr2bl w:val="nil"/>
                  </w:tcBorders>
                  <w:vAlign w:val="center"/>
                </w:tcPr>
                <w:p w14:paraId="4B1AEE92">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年平均</w:t>
                  </w:r>
                </w:p>
              </w:tc>
              <w:tc>
                <w:tcPr>
                  <w:tcW w:w="1184" w:type="pct"/>
                  <w:tcBorders>
                    <w:tl2br w:val="nil"/>
                    <w:tr2bl w:val="nil"/>
                  </w:tcBorders>
                  <w:vAlign w:val="center"/>
                </w:tcPr>
                <w:p w14:paraId="3E079ABF">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仿宋" w:cs="Times New Roman"/>
                      <w:color w:val="000000" w:themeColor="text1"/>
                      <w:sz w:val="21"/>
                      <w:szCs w:val="21"/>
                      <w:highlight w:val="none"/>
                      <w14:textFill>
                        <w14:solidFill>
                          <w14:schemeClr w14:val="tx1"/>
                        </w14:solidFill>
                      </w14:textFill>
                    </w:rPr>
                    <w:t>0</w:t>
                  </w:r>
                </w:p>
              </w:tc>
              <w:tc>
                <w:tcPr>
                  <w:tcW w:w="1807" w:type="pct"/>
                  <w:vMerge w:val="continue"/>
                  <w:tcBorders>
                    <w:tl2br w:val="nil"/>
                    <w:tr2bl w:val="nil"/>
                  </w:tcBorders>
                  <w:vAlign w:val="center"/>
                </w:tcPr>
                <w:p w14:paraId="0989E749">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1541FB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continue"/>
                  <w:tcBorders>
                    <w:tl2br w:val="nil"/>
                    <w:tr2bl w:val="nil"/>
                  </w:tcBorders>
                  <w:vAlign w:val="center"/>
                </w:tcPr>
                <w:p w14:paraId="7831BADB">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c>
                <w:tcPr>
                  <w:tcW w:w="1156" w:type="pct"/>
                  <w:tcBorders>
                    <w:tl2br w:val="nil"/>
                    <w:tr2bl w:val="nil"/>
                  </w:tcBorders>
                  <w:vAlign w:val="center"/>
                </w:tcPr>
                <w:p w14:paraId="52117A5B">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日</w:t>
                  </w:r>
                  <w:r>
                    <w:rPr>
                      <w:rFonts w:hint="default" w:ascii="Times New Roman" w:hAnsi="Times New Roman" w:eastAsia="仿宋" w:cs="Times New Roman"/>
                      <w:color w:val="000000" w:themeColor="text1"/>
                      <w:sz w:val="21"/>
                      <w:szCs w:val="21"/>
                      <w:highlight w:val="none"/>
                      <w14:textFill>
                        <w14:solidFill>
                          <w14:schemeClr w14:val="tx1"/>
                        </w14:solidFill>
                      </w14:textFill>
                    </w:rPr>
                    <w:t>平均</w:t>
                  </w:r>
                </w:p>
              </w:tc>
              <w:tc>
                <w:tcPr>
                  <w:tcW w:w="1184" w:type="pct"/>
                  <w:tcBorders>
                    <w:tl2br w:val="nil"/>
                    <w:tr2bl w:val="nil"/>
                  </w:tcBorders>
                  <w:vAlign w:val="center"/>
                </w:tcPr>
                <w:p w14:paraId="4F4DD3A0">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20</w:t>
                  </w:r>
                  <w:r>
                    <w:rPr>
                      <w:rFonts w:hint="default" w:ascii="Times New Roman" w:hAnsi="Times New Roman" w:eastAsia="仿宋" w:cs="Times New Roman"/>
                      <w:color w:val="000000" w:themeColor="text1"/>
                      <w:sz w:val="21"/>
                      <w:szCs w:val="21"/>
                      <w:highlight w:val="none"/>
                      <w14:textFill>
                        <w14:solidFill>
                          <w14:schemeClr w14:val="tx1"/>
                        </w14:solidFill>
                      </w14:textFill>
                    </w:rPr>
                    <w:t>0</w:t>
                  </w:r>
                </w:p>
              </w:tc>
              <w:tc>
                <w:tcPr>
                  <w:tcW w:w="1807" w:type="pct"/>
                  <w:vMerge w:val="continue"/>
                  <w:tcBorders>
                    <w:tl2br w:val="nil"/>
                    <w:tr2bl w:val="nil"/>
                  </w:tcBorders>
                  <w:vAlign w:val="center"/>
                </w:tcPr>
                <w:p w14:paraId="79991153">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4108FC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restart"/>
                  <w:tcBorders>
                    <w:tl2br w:val="nil"/>
                    <w:tr2bl w:val="nil"/>
                  </w:tcBorders>
                  <w:vAlign w:val="center"/>
                </w:tcPr>
                <w:p w14:paraId="0A8DABBA">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PM</w:t>
                  </w:r>
                  <w:r>
                    <w:rPr>
                      <w:rFonts w:hint="default" w:ascii="Times New Roman" w:hAnsi="Times New Roman" w:eastAsia="仿宋" w:cs="Times New Roman"/>
                      <w:color w:val="000000" w:themeColor="text1"/>
                      <w:sz w:val="21"/>
                      <w:szCs w:val="21"/>
                      <w:highlight w:val="none"/>
                      <w:vertAlign w:val="subscript"/>
                      <w14:textFill>
                        <w14:solidFill>
                          <w14:schemeClr w14:val="tx1"/>
                        </w14:solidFill>
                      </w14:textFill>
                    </w:rPr>
                    <w:t>2.5</w:t>
                  </w:r>
                </w:p>
              </w:tc>
              <w:tc>
                <w:tcPr>
                  <w:tcW w:w="1156" w:type="pct"/>
                  <w:tcBorders>
                    <w:tl2br w:val="nil"/>
                    <w:tr2bl w:val="nil"/>
                  </w:tcBorders>
                  <w:vAlign w:val="center"/>
                </w:tcPr>
                <w:p w14:paraId="4FFFB372">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年平均</w:t>
                  </w:r>
                </w:p>
              </w:tc>
              <w:tc>
                <w:tcPr>
                  <w:tcW w:w="1184" w:type="pct"/>
                  <w:tcBorders>
                    <w:tl2br w:val="nil"/>
                    <w:tr2bl w:val="nil"/>
                  </w:tcBorders>
                  <w:vAlign w:val="center"/>
                </w:tcPr>
                <w:p w14:paraId="56CF109F">
                  <w:pPr>
                    <w:adjustRightInd w:val="0"/>
                    <w:snapToGrid w:val="0"/>
                    <w:jc w:val="cente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3</w:t>
                  </w: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0</w:t>
                  </w:r>
                </w:p>
              </w:tc>
              <w:tc>
                <w:tcPr>
                  <w:tcW w:w="1807" w:type="pct"/>
                  <w:vMerge w:val="continue"/>
                  <w:tcBorders>
                    <w:tl2br w:val="nil"/>
                    <w:tr2bl w:val="nil"/>
                  </w:tcBorders>
                  <w:vAlign w:val="center"/>
                </w:tcPr>
                <w:p w14:paraId="5762E61E">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482198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vMerge w:val="continue"/>
                  <w:tcBorders>
                    <w:tl2br w:val="nil"/>
                    <w:tr2bl w:val="nil"/>
                  </w:tcBorders>
                  <w:vAlign w:val="center"/>
                </w:tcPr>
                <w:p w14:paraId="1EF07EE8">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c>
                <w:tcPr>
                  <w:tcW w:w="1156" w:type="pct"/>
                  <w:tcBorders>
                    <w:tl2br w:val="nil"/>
                    <w:tr2bl w:val="nil"/>
                  </w:tcBorders>
                  <w:vAlign w:val="center"/>
                </w:tcPr>
                <w:p w14:paraId="0D4E0B22">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日</w:t>
                  </w:r>
                  <w:r>
                    <w:rPr>
                      <w:rFonts w:hint="default" w:ascii="Times New Roman" w:hAnsi="Times New Roman" w:eastAsia="仿宋" w:cs="Times New Roman"/>
                      <w:color w:val="000000" w:themeColor="text1"/>
                      <w:sz w:val="21"/>
                      <w:szCs w:val="21"/>
                      <w:highlight w:val="none"/>
                      <w14:textFill>
                        <w14:solidFill>
                          <w14:schemeClr w14:val="tx1"/>
                        </w14:solidFill>
                      </w14:textFill>
                    </w:rPr>
                    <w:t>平均</w:t>
                  </w:r>
                </w:p>
              </w:tc>
              <w:tc>
                <w:tcPr>
                  <w:tcW w:w="1184" w:type="pct"/>
                  <w:tcBorders>
                    <w:tl2br w:val="nil"/>
                    <w:tr2bl w:val="nil"/>
                  </w:tcBorders>
                  <w:vAlign w:val="center"/>
                </w:tcPr>
                <w:p w14:paraId="1485A023">
                  <w:pPr>
                    <w:adjustRightInd w:val="0"/>
                    <w:snapToGrid w:val="0"/>
                    <w:jc w:val="cente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highlight w:val="none"/>
                      <w:lang w:val="en-US" w:eastAsia="zh-CN"/>
                      <w14:textFill>
                        <w14:solidFill>
                          <w14:schemeClr w14:val="tx1"/>
                        </w14:solidFill>
                      </w14:textFill>
                    </w:rPr>
                    <w:t>60</w:t>
                  </w:r>
                </w:p>
              </w:tc>
              <w:tc>
                <w:tcPr>
                  <w:tcW w:w="1807" w:type="pct"/>
                  <w:vMerge w:val="continue"/>
                  <w:tcBorders>
                    <w:tl2br w:val="nil"/>
                    <w:tr2bl w:val="nil"/>
                  </w:tcBorders>
                  <w:vAlign w:val="center"/>
                </w:tcPr>
                <w:p w14:paraId="077623B1">
                  <w:pPr>
                    <w:widowControl/>
                    <w:adjustRightInd w:val="0"/>
                    <w:snapToGrid w:val="0"/>
                    <w:jc w:val="left"/>
                    <w:rPr>
                      <w:rFonts w:hint="default" w:ascii="Times New Roman" w:hAnsi="Times New Roman" w:eastAsia="仿宋" w:cs="Times New Roman"/>
                      <w:color w:val="000000" w:themeColor="text1"/>
                      <w:sz w:val="21"/>
                      <w:szCs w:val="21"/>
                      <w:highlight w:val="none"/>
                      <w14:textFill>
                        <w14:solidFill>
                          <w14:schemeClr w14:val="tx1"/>
                        </w14:solidFill>
                      </w14:textFill>
                    </w:rPr>
                  </w:pPr>
                </w:p>
              </w:tc>
            </w:tr>
            <w:tr w14:paraId="645695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7" w:hRule="atLeast"/>
                <w:jc w:val="center"/>
              </w:trPr>
              <w:tc>
                <w:tcPr>
                  <w:tcW w:w="851" w:type="pct"/>
                  <w:tcBorders>
                    <w:tl2br w:val="nil"/>
                    <w:tr2bl w:val="nil"/>
                  </w:tcBorders>
                  <w:vAlign w:val="center"/>
                </w:tcPr>
                <w:p w14:paraId="3B589F8C">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非甲烷总烃</w:t>
                  </w:r>
                </w:p>
              </w:tc>
              <w:tc>
                <w:tcPr>
                  <w:tcW w:w="1156" w:type="pct"/>
                  <w:tcBorders>
                    <w:tl2br w:val="nil"/>
                    <w:tr2bl w:val="nil"/>
                  </w:tcBorders>
                  <w:vAlign w:val="center"/>
                </w:tcPr>
                <w:p w14:paraId="157AA3A1">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一次值</w:t>
                  </w:r>
                </w:p>
              </w:tc>
              <w:tc>
                <w:tcPr>
                  <w:tcW w:w="1184" w:type="pct"/>
                  <w:tcBorders>
                    <w:tl2br w:val="nil"/>
                    <w:tr2bl w:val="nil"/>
                  </w:tcBorders>
                  <w:vAlign w:val="center"/>
                </w:tcPr>
                <w:p w14:paraId="60A7E2F0">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2000</w:t>
                  </w:r>
                </w:p>
              </w:tc>
              <w:tc>
                <w:tcPr>
                  <w:tcW w:w="1807" w:type="pct"/>
                  <w:tcBorders>
                    <w:tl2br w:val="nil"/>
                    <w:tr2bl w:val="nil"/>
                  </w:tcBorders>
                  <w:vAlign w:val="center"/>
                </w:tcPr>
                <w:p w14:paraId="76D8BB9D">
                  <w:pPr>
                    <w:adjustRightInd w:val="0"/>
                    <w:snapToGrid w:val="0"/>
                    <w:jc w:val="center"/>
                    <w:rPr>
                      <w:rFonts w:hint="default" w:ascii="Times New Roman" w:hAnsi="Times New Roman" w:eastAsia="仿宋" w:cs="Times New Roman"/>
                      <w:color w:val="000000" w:themeColor="text1"/>
                      <w:sz w:val="21"/>
                      <w:szCs w:val="21"/>
                      <w:highlight w:val="none"/>
                      <w14:textFill>
                        <w14:solidFill>
                          <w14:schemeClr w14:val="tx1"/>
                        </w14:solidFill>
                      </w14:textFill>
                    </w:rPr>
                  </w:pPr>
                  <w:r>
                    <w:rPr>
                      <w:rFonts w:hint="default" w:ascii="Times New Roman" w:hAnsi="Times New Roman" w:eastAsia="仿宋" w:cs="Times New Roman"/>
                      <w:color w:val="000000" w:themeColor="text1"/>
                      <w:sz w:val="21"/>
                      <w:szCs w:val="21"/>
                      <w:highlight w:val="none"/>
                      <w14:textFill>
                        <w14:solidFill>
                          <w14:schemeClr w14:val="tx1"/>
                        </w14:solidFill>
                      </w14:textFill>
                    </w:rPr>
                    <w:t>《大气污染物综合排放标准详解》</w:t>
                  </w:r>
                </w:p>
              </w:tc>
            </w:tr>
          </w:tbl>
          <w:p w14:paraId="7F137535">
            <w:pPr>
              <w:keepNext w:val="0"/>
              <w:keepLines w:val="0"/>
              <w:pageBreakBefore w:val="0"/>
              <w:numPr>
                <w:ilvl w:val="0"/>
                <w:numId w:val="0"/>
              </w:numPr>
              <w:suppressLineNumbers w:val="0"/>
              <w:kinsoku/>
              <w:wordWrap/>
              <w:overflowPunct/>
              <w:topLinePunct w:val="0"/>
              <w:autoSpaceDE/>
              <w:autoSpaceDN/>
              <w:bidi w:val="0"/>
              <w:spacing w:before="0" w:beforeAutospacing="0" w:afterAutospacing="0" w:line="360" w:lineRule="auto"/>
              <w:ind w:leftChars="200" w:right="0" w:rightChars="0"/>
              <w:textAlignment w:val="auto"/>
              <w:rPr>
                <w:rFonts w:hint="default" w:ascii="Times New Roman" w:hAnsi="Times New Roman" w:eastAsia="宋体" w:cs="Times New Roman"/>
                <w:b/>
                <w:bCs/>
                <w:color w:val="auto"/>
                <w:sz w:val="24"/>
                <w:szCs w:val="24"/>
                <w:highlight w:val="none"/>
              </w:rPr>
            </w:pPr>
            <w:r>
              <w:rPr>
                <w:rFonts w:hint="eastAsia" w:cs="Times New Roman"/>
                <w:b/>
                <w:bCs/>
                <w:color w:val="auto"/>
                <w:sz w:val="24"/>
                <w:szCs w:val="24"/>
                <w:highlight w:val="none"/>
                <w:lang w:eastAsia="zh-CN"/>
              </w:rPr>
              <w:t>（</w:t>
            </w: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rPr>
              <w:t>其他污染物环境质量现状数据</w:t>
            </w:r>
          </w:p>
          <w:p w14:paraId="63EC255B">
            <w:pPr>
              <w:spacing w:line="360" w:lineRule="auto"/>
              <w:ind w:firstLine="480"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本次评价</w:t>
            </w:r>
            <w:r>
              <w:rPr>
                <w:rFonts w:hint="eastAsia" w:cs="Times New Roman"/>
                <w:color w:val="auto"/>
                <w:sz w:val="24"/>
                <w:szCs w:val="24"/>
                <w:highlight w:val="none"/>
                <w:lang w:eastAsia="zh-CN"/>
              </w:rPr>
              <w:t>“</w:t>
            </w:r>
            <w:r>
              <w:rPr>
                <w:rFonts w:hint="eastAsia" w:ascii="Times New Roman" w:hAnsi="Times New Roman" w:cs="Times New Roman"/>
                <w:color w:val="auto"/>
                <w:sz w:val="24"/>
                <w:szCs w:val="24"/>
                <w:highlight w:val="none"/>
              </w:rPr>
              <w:t>非甲烷总烃</w:t>
            </w:r>
            <w:r>
              <w:rPr>
                <w:rFonts w:hint="eastAsia" w:cs="Times New Roman"/>
                <w:color w:val="auto"/>
                <w:sz w:val="24"/>
                <w:szCs w:val="24"/>
                <w:highlight w:val="none"/>
                <w:lang w:eastAsia="zh-CN"/>
              </w:rPr>
              <w:t>”</w:t>
            </w:r>
            <w:r>
              <w:rPr>
                <w:rFonts w:hint="eastAsia" w:ascii="Times New Roman" w:hAnsi="Times New Roman" w:cs="Times New Roman"/>
                <w:color w:val="auto"/>
                <w:sz w:val="24"/>
                <w:szCs w:val="24"/>
                <w:highlight w:val="none"/>
              </w:rPr>
              <w:t>引用《苏州领新智能科技有限公司电脑配件、汽车内饰件生产线技术改造项目环境影响报告书》中委托中新苏州工业园区清城环境发展有限公司于2024年6月3日~6月9日对苏州领新智能科技有限公司项目地（本项目西北侧约</w:t>
            </w:r>
            <w:r>
              <w:rPr>
                <w:rFonts w:hint="eastAsia" w:cs="Times New Roman"/>
                <w:color w:val="auto"/>
                <w:sz w:val="24"/>
                <w:szCs w:val="24"/>
                <w:highlight w:val="none"/>
                <w:lang w:val="en-US" w:eastAsia="zh-CN"/>
              </w:rPr>
              <w:t>1.9k</w:t>
            </w:r>
            <w:r>
              <w:rPr>
                <w:rFonts w:hint="eastAsia" w:ascii="Times New Roman" w:hAnsi="Times New Roman" w:cs="Times New Roman"/>
                <w:color w:val="auto"/>
                <w:sz w:val="24"/>
                <w:szCs w:val="24"/>
                <w:highlight w:val="none"/>
              </w:rPr>
              <w:t>m）的监测数据（检测报告编号：QCHJ202402255）</w:t>
            </w:r>
            <w:r>
              <w:rPr>
                <w:rFonts w:hint="eastAsia" w:ascii="Times New Roman" w:hAnsi="Times New Roman" w:cs="Times New Roman"/>
                <w:color w:val="auto"/>
                <w:sz w:val="24"/>
                <w:szCs w:val="24"/>
                <w:highlight w:val="none"/>
                <w:lang w:val="en-US" w:eastAsia="zh-CN"/>
              </w:rPr>
              <w:t>，</w:t>
            </w:r>
            <w:r>
              <w:rPr>
                <w:rFonts w:ascii="Times New Roman" w:hAnsi="Times New Roman" w:eastAsia="宋体" w:cs="Times New Roman"/>
                <w:sz w:val="24"/>
                <w:szCs w:val="24"/>
                <w:highlight w:val="none"/>
              </w:rPr>
              <w:t>引用的监测点位符合《建设项目环境影响报告表编制技术指南》（污染影响类）（试行）中</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排放</w:t>
            </w:r>
            <w:r>
              <w:rPr>
                <w:rFonts w:ascii="Times New Roman" w:hAnsi="Times New Roman" w:eastAsia="宋体" w:cs="Times New Roman"/>
                <w:sz w:val="24"/>
                <w:szCs w:val="24"/>
                <w:highlight w:val="none"/>
              </w:rPr>
              <w:t>国家、地方环境空气质量标准中有标准限值要求的特征污染物时，引用建设项目周边5千米范围内近3年的现有监测数据</w:t>
            </w:r>
            <w:r>
              <w:rPr>
                <w:rFonts w:hint="eastAsia" w:ascii="宋体" w:hAnsi="宋体" w:cs="宋体"/>
                <w:sz w:val="24"/>
                <w:szCs w:val="24"/>
                <w:highlight w:val="none"/>
                <w:lang w:eastAsia="zh-CN"/>
              </w:rPr>
              <w:t>”</w:t>
            </w:r>
            <w:r>
              <w:rPr>
                <w:rFonts w:hint="default" w:ascii="Times New Roman" w:hAnsi="Times New Roman" w:eastAsia="宋体" w:cs="Times New Roman"/>
                <w:sz w:val="24"/>
                <w:szCs w:val="24"/>
                <w:highlight w:val="none"/>
              </w:rPr>
              <w:t>监测点位</w:t>
            </w:r>
            <w:r>
              <w:rPr>
                <w:rFonts w:hint="eastAsia" w:ascii="Times New Roman" w:hAnsi="Times New Roman" w:eastAsia="宋体" w:cs="Times New Roman"/>
                <w:sz w:val="24"/>
                <w:szCs w:val="24"/>
                <w:highlight w:val="none"/>
                <w:lang w:eastAsia="zh-CN"/>
              </w:rPr>
              <w:t>。</w:t>
            </w:r>
            <w:r>
              <w:rPr>
                <w:rFonts w:hint="eastAsia" w:ascii="Times New Roman" w:hAnsi="Times New Roman" w:cs="Times New Roman"/>
                <w:color w:val="auto"/>
                <w:sz w:val="24"/>
                <w:szCs w:val="24"/>
                <w:highlight w:val="none"/>
              </w:rPr>
              <w:t>监测点位基本信息</w:t>
            </w:r>
            <w:r>
              <w:rPr>
                <w:rFonts w:ascii="Times New Roman" w:hAnsi="Times New Roman" w:cs="Times New Roman"/>
                <w:color w:val="auto"/>
                <w:sz w:val="24"/>
                <w:szCs w:val="24"/>
                <w:highlight w:val="none"/>
              </w:rPr>
              <w:t>见</w:t>
            </w:r>
            <w:r>
              <w:rPr>
                <w:rFonts w:hint="eastAsia" w:cs="Times New Roman"/>
                <w:color w:val="auto"/>
                <w:sz w:val="24"/>
                <w:szCs w:val="24"/>
                <w:highlight w:val="none"/>
                <w:lang w:val="en-US" w:eastAsia="zh-CN"/>
              </w:rPr>
              <w:t>下</w:t>
            </w:r>
            <w:r>
              <w:rPr>
                <w:rFonts w:ascii="Times New Roman" w:hAnsi="Times New Roman" w:cs="Times New Roman"/>
                <w:color w:val="auto"/>
                <w:sz w:val="24"/>
                <w:szCs w:val="24"/>
                <w:highlight w:val="none"/>
              </w:rPr>
              <w:t>表。</w:t>
            </w:r>
          </w:p>
          <w:p w14:paraId="6C2380F4">
            <w:pPr>
              <w:numPr>
                <w:ilvl w:val="0"/>
                <w:numId w:val="5"/>
              </w:numPr>
              <w:adjustRightInd w:val="0"/>
              <w:snapToGrid w:val="0"/>
              <w:ind w:left="0" w:leftChars="0" w:firstLine="0" w:firstLineChars="0"/>
              <w:jc w:val="center"/>
              <w:rPr>
                <w:rFonts w:ascii="Times New Roman" w:hAnsi="Times New Roman" w:cs="Times New Roman"/>
                <w:b/>
                <w:color w:val="auto"/>
                <w:sz w:val="24"/>
                <w:szCs w:val="24"/>
                <w:highlight w:val="none"/>
              </w:rPr>
            </w:pPr>
            <w:r>
              <w:rPr>
                <w:rFonts w:hint="eastAsia" w:ascii="Times New Roman" w:hAnsi="Times New Roman" w:cs="Times New Roman"/>
                <w:b/>
                <w:color w:val="auto"/>
                <w:sz w:val="24"/>
                <w:szCs w:val="24"/>
                <w:highlight w:val="none"/>
              </w:rPr>
              <w:t>其他污染物监测点位基本信息</w:t>
            </w:r>
          </w:p>
          <w:tbl>
            <w:tblPr>
              <w:tblStyle w:val="22"/>
              <w:tblW w:w="937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899"/>
              <w:gridCol w:w="1636"/>
              <w:gridCol w:w="1788"/>
              <w:gridCol w:w="2169"/>
              <w:gridCol w:w="1885"/>
            </w:tblGrid>
            <w:tr w14:paraId="7ADFBC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jc w:val="center"/>
              </w:trPr>
              <w:tc>
                <w:tcPr>
                  <w:tcW w:w="1012" w:type="pct"/>
                  <w:tcBorders>
                    <w:tl2br w:val="nil"/>
                    <w:tr2bl w:val="nil"/>
                  </w:tcBorders>
                  <w:vAlign w:val="center"/>
                </w:tcPr>
                <w:p w14:paraId="0D8FF094">
                  <w:pPr>
                    <w:pStyle w:val="29"/>
                    <w:rPr>
                      <w:rFonts w:hint="eastAsia" w:ascii="Times New Roman" w:hAnsi="Times New Roman" w:eastAsia="仿宋" w:cs="Times New Roman"/>
                      <w:b/>
                      <w:bCs/>
                      <w:color w:val="auto"/>
                      <w:sz w:val="21"/>
                      <w:szCs w:val="21"/>
                      <w:highlight w:val="none"/>
                      <w:lang w:eastAsia="zh-CN"/>
                    </w:rPr>
                  </w:pPr>
                  <w:r>
                    <w:rPr>
                      <w:rFonts w:hint="eastAsia" w:ascii="Times New Roman" w:hAnsi="Times New Roman" w:eastAsia="仿宋" w:cs="Times New Roman"/>
                      <w:b/>
                      <w:bCs/>
                      <w:color w:val="auto"/>
                      <w:sz w:val="21"/>
                      <w:szCs w:val="21"/>
                      <w:highlight w:val="none"/>
                    </w:rPr>
                    <w:t>监测点</w:t>
                  </w:r>
                  <w:r>
                    <w:rPr>
                      <w:rFonts w:hint="eastAsia" w:ascii="Times New Roman" w:hAnsi="Times New Roman" w:eastAsia="仿宋" w:cs="Times New Roman"/>
                      <w:b/>
                      <w:bCs/>
                      <w:color w:val="auto"/>
                      <w:sz w:val="21"/>
                      <w:szCs w:val="21"/>
                      <w:highlight w:val="none"/>
                      <w:lang w:val="en-US" w:eastAsia="zh-CN"/>
                    </w:rPr>
                    <w:t>位</w:t>
                  </w:r>
                </w:p>
              </w:tc>
              <w:tc>
                <w:tcPr>
                  <w:tcW w:w="872" w:type="pct"/>
                  <w:tcBorders>
                    <w:tl2br w:val="nil"/>
                    <w:tr2bl w:val="nil"/>
                  </w:tcBorders>
                  <w:vAlign w:val="center"/>
                </w:tcPr>
                <w:p w14:paraId="53158A67">
                  <w:pPr>
                    <w:pStyle w:val="29"/>
                    <w:rPr>
                      <w:rFonts w:hint="eastAsia"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监测</w:t>
                  </w:r>
                  <w:r>
                    <w:rPr>
                      <w:rFonts w:hint="eastAsia" w:ascii="Times New Roman" w:hAnsi="Times New Roman" w:eastAsia="仿宋" w:cs="Times New Roman"/>
                      <w:b/>
                      <w:bCs/>
                      <w:color w:val="auto"/>
                      <w:sz w:val="21"/>
                      <w:szCs w:val="21"/>
                      <w:highlight w:val="none"/>
                    </w:rPr>
                    <w:t>因子</w:t>
                  </w:r>
                </w:p>
              </w:tc>
              <w:tc>
                <w:tcPr>
                  <w:tcW w:w="953" w:type="pct"/>
                  <w:tcBorders>
                    <w:tl2br w:val="nil"/>
                    <w:tr2bl w:val="nil"/>
                  </w:tcBorders>
                  <w:vAlign w:val="center"/>
                </w:tcPr>
                <w:p w14:paraId="228B53B4">
                  <w:pPr>
                    <w:pStyle w:val="29"/>
                    <w:rPr>
                      <w:rFonts w:hint="default" w:ascii="Times New Roman" w:hAnsi="Times New Roman" w:eastAsia="仿宋" w:cs="Times New Roman"/>
                      <w:b/>
                      <w:bCs/>
                      <w:color w:val="auto"/>
                      <w:sz w:val="21"/>
                      <w:szCs w:val="21"/>
                      <w:highlight w:val="none"/>
                    </w:rPr>
                  </w:pPr>
                  <w:r>
                    <w:rPr>
                      <w:rFonts w:hint="eastAsia" w:ascii="Times New Roman" w:hAnsi="Times New Roman" w:eastAsia="仿宋" w:cs="Times New Roman"/>
                      <w:b/>
                      <w:bCs/>
                      <w:color w:val="auto"/>
                      <w:sz w:val="21"/>
                      <w:szCs w:val="21"/>
                      <w:highlight w:val="none"/>
                    </w:rPr>
                    <w:t>相对厂址</w:t>
                  </w:r>
                  <w:r>
                    <w:rPr>
                      <w:rFonts w:hint="default" w:ascii="Times New Roman" w:hAnsi="Times New Roman" w:eastAsia="仿宋" w:cs="Times New Roman"/>
                      <w:b/>
                      <w:bCs/>
                      <w:color w:val="auto"/>
                      <w:sz w:val="21"/>
                      <w:szCs w:val="21"/>
                      <w:highlight w:val="none"/>
                    </w:rPr>
                    <w:t>方位</w:t>
                  </w:r>
                </w:p>
              </w:tc>
              <w:tc>
                <w:tcPr>
                  <w:tcW w:w="1156" w:type="pct"/>
                  <w:tcBorders>
                    <w:tl2br w:val="nil"/>
                    <w:tr2bl w:val="nil"/>
                  </w:tcBorders>
                  <w:vAlign w:val="center"/>
                </w:tcPr>
                <w:p w14:paraId="2F4DA321">
                  <w:pPr>
                    <w:pStyle w:val="29"/>
                    <w:rPr>
                      <w:rFonts w:hint="default" w:ascii="Times New Roman" w:hAnsi="Times New Roman" w:eastAsia="仿宋" w:cs="Times New Roman"/>
                      <w:b/>
                      <w:bCs/>
                      <w:color w:val="auto"/>
                      <w:sz w:val="21"/>
                      <w:szCs w:val="21"/>
                      <w:highlight w:val="none"/>
                    </w:rPr>
                  </w:pPr>
                  <w:r>
                    <w:rPr>
                      <w:rFonts w:hint="eastAsia" w:ascii="Times New Roman" w:hAnsi="Times New Roman" w:eastAsia="仿宋" w:cs="Times New Roman"/>
                      <w:b/>
                      <w:bCs/>
                      <w:color w:val="auto"/>
                      <w:sz w:val="21"/>
                      <w:szCs w:val="21"/>
                      <w:highlight w:val="none"/>
                    </w:rPr>
                    <w:t>相对厂界距离/</w:t>
                  </w:r>
                  <w:r>
                    <w:rPr>
                      <w:rFonts w:hint="eastAsia" w:eastAsia="仿宋" w:cs="Times New Roman"/>
                      <w:b/>
                      <w:bCs/>
                      <w:color w:val="auto"/>
                      <w:sz w:val="21"/>
                      <w:szCs w:val="21"/>
                      <w:highlight w:val="none"/>
                      <w:lang w:val="en-US" w:eastAsia="zh-CN"/>
                    </w:rPr>
                    <w:t>k</w:t>
                  </w:r>
                  <w:r>
                    <w:rPr>
                      <w:rFonts w:hint="eastAsia" w:ascii="Times New Roman" w:hAnsi="Times New Roman" w:eastAsia="仿宋" w:cs="Times New Roman"/>
                      <w:b/>
                      <w:bCs/>
                      <w:color w:val="auto"/>
                      <w:sz w:val="21"/>
                      <w:szCs w:val="21"/>
                      <w:highlight w:val="none"/>
                    </w:rPr>
                    <w:t>m</w:t>
                  </w:r>
                </w:p>
              </w:tc>
              <w:tc>
                <w:tcPr>
                  <w:tcW w:w="1004" w:type="pct"/>
                  <w:tcBorders>
                    <w:tl2br w:val="nil"/>
                    <w:tr2bl w:val="nil"/>
                  </w:tcBorders>
                  <w:vAlign w:val="center"/>
                </w:tcPr>
                <w:p w14:paraId="055FE98F">
                  <w:pPr>
                    <w:pStyle w:val="29"/>
                    <w:rPr>
                      <w:rFonts w:hint="eastAsia" w:ascii="Times New Roman" w:hAnsi="Times New Roman" w:eastAsia="仿宋" w:cs="Times New Roman"/>
                      <w:b/>
                      <w:bCs/>
                      <w:color w:val="auto"/>
                      <w:sz w:val="21"/>
                      <w:szCs w:val="21"/>
                      <w:highlight w:val="none"/>
                    </w:rPr>
                  </w:pPr>
                  <w:r>
                    <w:rPr>
                      <w:rFonts w:hint="eastAsia" w:ascii="Times New Roman" w:hAnsi="Times New Roman" w:eastAsia="仿宋" w:cs="Times New Roman"/>
                      <w:b/>
                      <w:bCs/>
                      <w:color w:val="auto"/>
                      <w:sz w:val="21"/>
                      <w:szCs w:val="21"/>
                      <w:highlight w:val="none"/>
                    </w:rPr>
                    <w:t>所在环境功能区</w:t>
                  </w:r>
                </w:p>
              </w:tc>
            </w:tr>
            <w:tr w14:paraId="1CB827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 w:hRule="atLeast"/>
                <w:jc w:val="center"/>
              </w:trPr>
              <w:tc>
                <w:tcPr>
                  <w:tcW w:w="1012" w:type="pct"/>
                  <w:tcBorders>
                    <w:tl2br w:val="nil"/>
                    <w:tr2bl w:val="nil"/>
                  </w:tcBorders>
                  <w:vAlign w:val="center"/>
                </w:tcPr>
                <w:p w14:paraId="7F4CA624">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苏州领新智能科技有限公司项目地</w:t>
                  </w:r>
                </w:p>
              </w:tc>
              <w:tc>
                <w:tcPr>
                  <w:tcW w:w="872" w:type="pct"/>
                  <w:tcBorders>
                    <w:tl2br w:val="nil"/>
                    <w:tr2bl w:val="nil"/>
                  </w:tcBorders>
                  <w:vAlign w:val="center"/>
                </w:tcPr>
                <w:p w14:paraId="6DEEC303">
                  <w:pPr>
                    <w:pStyle w:val="29"/>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rPr>
                    <w:t>非甲烷总烃</w:t>
                  </w:r>
                </w:p>
              </w:tc>
              <w:tc>
                <w:tcPr>
                  <w:tcW w:w="953" w:type="pct"/>
                  <w:tcBorders>
                    <w:tl2br w:val="nil"/>
                    <w:tr2bl w:val="nil"/>
                  </w:tcBorders>
                  <w:vAlign w:val="center"/>
                </w:tcPr>
                <w:p w14:paraId="55553BD3">
                  <w:pPr>
                    <w:pStyle w:val="29"/>
                    <w:rPr>
                      <w:rFonts w:hint="default" w:ascii="Times New Roman" w:hAnsi="Times New Roman" w:eastAsia="仿宋" w:cs="Times New Roman"/>
                      <w:color w:val="auto"/>
                      <w:sz w:val="21"/>
                      <w:szCs w:val="21"/>
                      <w:highlight w:val="none"/>
                      <w:lang w:val="en-US"/>
                    </w:rPr>
                  </w:pPr>
                  <w:r>
                    <w:rPr>
                      <w:rFonts w:hint="eastAsia" w:ascii="Times New Roman" w:hAnsi="Times New Roman" w:eastAsia="仿宋" w:cs="Times New Roman"/>
                      <w:color w:val="auto"/>
                      <w:sz w:val="21"/>
                      <w:szCs w:val="21"/>
                      <w:highlight w:val="none"/>
                      <w:lang w:val="en-US" w:eastAsia="zh-CN"/>
                    </w:rPr>
                    <w:t>西</w:t>
                  </w:r>
                  <w:r>
                    <w:rPr>
                      <w:rFonts w:hint="eastAsia" w:eastAsia="仿宋" w:cs="Times New Roman"/>
                      <w:color w:val="auto"/>
                      <w:sz w:val="21"/>
                      <w:szCs w:val="21"/>
                      <w:highlight w:val="none"/>
                      <w:lang w:val="en-US" w:eastAsia="zh-CN"/>
                    </w:rPr>
                    <w:t>南</w:t>
                  </w:r>
                </w:p>
              </w:tc>
              <w:tc>
                <w:tcPr>
                  <w:tcW w:w="1156" w:type="pct"/>
                  <w:tcBorders>
                    <w:tl2br w:val="nil"/>
                    <w:tr2bl w:val="nil"/>
                  </w:tcBorders>
                  <w:vAlign w:val="center"/>
                </w:tcPr>
                <w:p w14:paraId="785EE8B2">
                  <w:pPr>
                    <w:pStyle w:val="29"/>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rPr>
                    <w:t>~</w:t>
                  </w:r>
                  <w:r>
                    <w:rPr>
                      <w:rFonts w:hint="eastAsia" w:ascii="Times New Roman" w:hAnsi="Times New Roman" w:eastAsia="仿宋" w:cs="Times New Roman"/>
                      <w:color w:val="auto"/>
                      <w:sz w:val="21"/>
                      <w:szCs w:val="21"/>
                      <w:highlight w:val="none"/>
                    </w:rPr>
                    <w:t>1</w:t>
                  </w:r>
                  <w:r>
                    <w:rPr>
                      <w:rFonts w:hint="eastAsia" w:eastAsia="仿宋" w:cs="Times New Roman"/>
                      <w:color w:val="auto"/>
                      <w:sz w:val="21"/>
                      <w:szCs w:val="21"/>
                      <w:highlight w:val="none"/>
                      <w:lang w:val="en-US" w:eastAsia="zh-CN"/>
                    </w:rPr>
                    <w:t>.9</w:t>
                  </w:r>
                </w:p>
              </w:tc>
              <w:tc>
                <w:tcPr>
                  <w:tcW w:w="1004" w:type="pct"/>
                  <w:tcBorders>
                    <w:tl2br w:val="nil"/>
                    <w:tr2bl w:val="nil"/>
                  </w:tcBorders>
                  <w:vAlign w:val="center"/>
                </w:tcPr>
                <w:p w14:paraId="75C3A068">
                  <w:pPr>
                    <w:pStyle w:val="29"/>
                    <w:rPr>
                      <w:rFonts w:hint="eastAsia" w:ascii="Times New Roman" w:hAnsi="Times New Roman" w:eastAsia="仿宋" w:cs="Times New Roman"/>
                      <w:color w:val="auto"/>
                      <w:sz w:val="21"/>
                      <w:szCs w:val="21"/>
                      <w:highlight w:val="none"/>
                    </w:rPr>
                  </w:pPr>
                  <w:r>
                    <w:rPr>
                      <w:rFonts w:hint="eastAsia" w:ascii="Times New Roman" w:hAnsi="Times New Roman" w:eastAsia="仿宋" w:cs="Times New Roman"/>
                      <w:color w:val="auto"/>
                      <w:sz w:val="21"/>
                      <w:szCs w:val="21"/>
                      <w:highlight w:val="none"/>
                    </w:rPr>
                    <w:t>二类区</w:t>
                  </w:r>
                </w:p>
              </w:tc>
            </w:tr>
          </w:tbl>
          <w:p w14:paraId="7FF139FF">
            <w:pPr>
              <w:spacing w:line="360" w:lineRule="auto"/>
              <w:ind w:firstLine="480"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环境质量现状监测结果见</w:t>
            </w:r>
            <w:r>
              <w:rPr>
                <w:rFonts w:hint="eastAsia" w:cs="Times New Roman"/>
                <w:color w:val="auto"/>
                <w:sz w:val="24"/>
                <w:szCs w:val="24"/>
                <w:highlight w:val="none"/>
                <w:lang w:val="en-US" w:eastAsia="zh-CN"/>
              </w:rPr>
              <w:t>下</w:t>
            </w:r>
            <w:r>
              <w:rPr>
                <w:rFonts w:hint="eastAsia" w:ascii="Times New Roman" w:hAnsi="Times New Roman" w:cs="Times New Roman"/>
                <w:color w:val="auto"/>
                <w:sz w:val="24"/>
                <w:szCs w:val="24"/>
                <w:highlight w:val="none"/>
              </w:rPr>
              <w:t>表。</w:t>
            </w:r>
          </w:p>
          <w:p w14:paraId="648E4007">
            <w:pPr>
              <w:numPr>
                <w:ilvl w:val="0"/>
                <w:numId w:val="5"/>
              </w:numPr>
              <w:adjustRightInd w:val="0"/>
              <w:snapToGrid w:val="0"/>
              <w:ind w:left="0" w:leftChars="0" w:firstLine="0" w:firstLineChars="0"/>
              <w:jc w:val="center"/>
              <w:rPr>
                <w:rFonts w:hint="eastAsia" w:ascii="Times New Roman" w:hAnsi="Times New Roman"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其他污染物环境质量现状监测结果表</w:t>
            </w:r>
          </w:p>
          <w:tbl>
            <w:tblPr>
              <w:tblStyle w:val="22"/>
              <w:tblW w:w="4996"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8" w:space="0"/>
              </w:tblBorders>
              <w:tblLayout w:type="autofit"/>
              <w:tblCellMar>
                <w:top w:w="0" w:type="dxa"/>
                <w:left w:w="108" w:type="dxa"/>
                <w:bottom w:w="0" w:type="dxa"/>
                <w:right w:w="108" w:type="dxa"/>
              </w:tblCellMar>
            </w:tblPr>
            <w:tblGrid>
              <w:gridCol w:w="2038"/>
              <w:gridCol w:w="1200"/>
              <w:gridCol w:w="1022"/>
              <w:gridCol w:w="1118"/>
              <w:gridCol w:w="1391"/>
              <w:gridCol w:w="1133"/>
              <w:gridCol w:w="723"/>
              <w:gridCol w:w="642"/>
            </w:tblGrid>
            <w:tr w14:paraId="0E9CDDFF">
              <w:tblPrEx>
                <w:tblBorders>
                  <w:top w:val="single" w:color="auto" w:sz="8" w:space="0"/>
                  <w:left w:val="single" w:color="auto" w:sz="8" w:space="0"/>
                  <w:bottom w:val="single" w:color="auto" w:sz="8" w:space="0"/>
                  <w:right w:val="single" w:color="auto" w:sz="8" w:space="0"/>
                  <w:insideH w:val="single" w:color="auto" w:sz="6" w:space="0"/>
                  <w:insideV w:val="single" w:color="auto" w:sz="8" w:space="0"/>
                </w:tblBorders>
                <w:tblCellMar>
                  <w:top w:w="0" w:type="dxa"/>
                  <w:left w:w="108" w:type="dxa"/>
                  <w:bottom w:w="0" w:type="dxa"/>
                  <w:right w:w="108" w:type="dxa"/>
                </w:tblCellMar>
              </w:tblPrEx>
              <w:trPr>
                <w:trHeight w:val="312" w:hRule="atLeast"/>
              </w:trPr>
              <w:tc>
                <w:tcPr>
                  <w:tcW w:w="1099" w:type="pct"/>
                  <w:vMerge w:val="restart"/>
                  <w:tcBorders>
                    <w:tl2br w:val="nil"/>
                    <w:tr2bl w:val="nil"/>
                  </w:tcBorders>
                  <w:shd w:val="clear" w:color="auto" w:fill="auto"/>
                  <w:tcMar>
                    <w:left w:w="28" w:type="dxa"/>
                    <w:right w:w="28" w:type="dxa"/>
                  </w:tcMar>
                  <w:vAlign w:val="center"/>
                </w:tcPr>
                <w:p w14:paraId="09D5E3AD">
                  <w:pPr>
                    <w:pStyle w:val="29"/>
                    <w:rPr>
                      <w:rFonts w:hint="default" w:ascii="Times New Roman" w:hAnsi="Times New Roman" w:eastAsia="仿宋" w:cs="Times New Roman"/>
                      <w:b/>
                      <w:bCs/>
                      <w:color w:val="auto"/>
                      <w:sz w:val="21"/>
                      <w:szCs w:val="21"/>
                      <w:highlight w:val="none"/>
                      <w:lang w:val="en-US" w:eastAsia="zh-CN"/>
                    </w:rPr>
                  </w:pPr>
                  <w:r>
                    <w:rPr>
                      <w:rFonts w:hint="eastAsia" w:ascii="Times New Roman" w:hAnsi="Times New Roman" w:eastAsia="仿宋" w:cs="Times New Roman"/>
                      <w:b/>
                      <w:bCs/>
                      <w:color w:val="auto"/>
                      <w:sz w:val="21"/>
                      <w:szCs w:val="21"/>
                      <w:highlight w:val="none"/>
                      <w:lang w:val="en-US" w:eastAsia="zh-CN"/>
                    </w:rPr>
                    <w:t>监测点位</w:t>
                  </w:r>
                </w:p>
              </w:tc>
              <w:tc>
                <w:tcPr>
                  <w:tcW w:w="647" w:type="pct"/>
                  <w:vMerge w:val="restart"/>
                  <w:tcBorders>
                    <w:tl2br w:val="nil"/>
                    <w:tr2bl w:val="nil"/>
                  </w:tcBorders>
                  <w:shd w:val="clear" w:color="auto" w:fill="auto"/>
                  <w:tcMar>
                    <w:left w:w="28" w:type="dxa"/>
                    <w:right w:w="28" w:type="dxa"/>
                  </w:tcMar>
                  <w:vAlign w:val="center"/>
                </w:tcPr>
                <w:p w14:paraId="50BE917D">
                  <w:pPr>
                    <w:pStyle w:val="2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污染物</w:t>
                  </w:r>
                </w:p>
              </w:tc>
              <w:tc>
                <w:tcPr>
                  <w:tcW w:w="551" w:type="pct"/>
                  <w:vMerge w:val="restart"/>
                  <w:tcBorders>
                    <w:tl2br w:val="nil"/>
                    <w:tr2bl w:val="nil"/>
                  </w:tcBorders>
                  <w:shd w:val="clear" w:color="auto" w:fill="auto"/>
                  <w:tcMar>
                    <w:left w:w="28" w:type="dxa"/>
                    <w:right w:w="28" w:type="dxa"/>
                  </w:tcMar>
                  <w:vAlign w:val="center"/>
                </w:tcPr>
                <w:p w14:paraId="563A0CF2">
                  <w:pPr>
                    <w:pStyle w:val="2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平均时间</w:t>
                  </w:r>
                </w:p>
              </w:tc>
              <w:tc>
                <w:tcPr>
                  <w:tcW w:w="603" w:type="pct"/>
                  <w:vMerge w:val="restart"/>
                  <w:tcBorders>
                    <w:tl2br w:val="nil"/>
                    <w:tr2bl w:val="nil"/>
                  </w:tcBorders>
                  <w:shd w:val="clear" w:color="auto" w:fill="auto"/>
                  <w:tcMar>
                    <w:left w:w="28" w:type="dxa"/>
                    <w:right w:w="28" w:type="dxa"/>
                  </w:tcMar>
                  <w:vAlign w:val="center"/>
                </w:tcPr>
                <w:p w14:paraId="1D485E66">
                  <w:pPr>
                    <w:pStyle w:val="2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评价标准/</w:t>
                  </w:r>
                </w:p>
                <w:p w14:paraId="56CC6D23">
                  <w:pPr>
                    <w:pStyle w:val="29"/>
                    <w:rPr>
                      <w:rFonts w:hint="default" w:ascii="Times New Roman" w:hAnsi="Times New Roman" w:eastAsia="仿宋" w:cs="Times New Roman"/>
                      <w:b/>
                      <w:bCs/>
                      <w:color w:val="auto"/>
                      <w:sz w:val="21"/>
                      <w:szCs w:val="21"/>
                      <w:highlight w:val="none"/>
                      <w:lang w:val="en-US" w:eastAsia="zh-CN"/>
                    </w:rPr>
                  </w:pPr>
                  <w:r>
                    <w:rPr>
                      <w:rFonts w:hint="eastAsia" w:ascii="Times New Roman" w:hAnsi="Times New Roman" w:eastAsia="仿宋" w:cs="Times New Roman"/>
                      <w:b/>
                      <w:bCs/>
                      <w:color w:val="auto"/>
                      <w:sz w:val="21"/>
                      <w:szCs w:val="21"/>
                      <w:highlight w:val="none"/>
                      <w:lang w:val="en-US" w:eastAsia="zh-CN"/>
                    </w:rPr>
                    <w:t>（m</w:t>
                  </w:r>
                  <w:r>
                    <w:rPr>
                      <w:rFonts w:hint="default" w:ascii="Times New Roman" w:hAnsi="Times New Roman" w:eastAsia="仿宋" w:cs="Times New Roman"/>
                      <w:b/>
                      <w:bCs/>
                      <w:color w:val="auto"/>
                      <w:sz w:val="21"/>
                      <w:szCs w:val="21"/>
                      <w:highlight w:val="none"/>
                      <w:lang w:val="en-US" w:eastAsia="zh-CN"/>
                    </w:rPr>
                    <w:t>g/m</w:t>
                  </w:r>
                  <w:r>
                    <w:rPr>
                      <w:rFonts w:hint="default" w:ascii="Times New Roman" w:hAnsi="Times New Roman" w:eastAsia="仿宋" w:cs="Times New Roman"/>
                      <w:b/>
                      <w:bCs/>
                      <w:color w:val="auto"/>
                      <w:sz w:val="21"/>
                      <w:szCs w:val="21"/>
                      <w:highlight w:val="none"/>
                      <w:vertAlign w:val="superscript"/>
                      <w:lang w:val="en-US" w:eastAsia="zh-CN"/>
                    </w:rPr>
                    <w:t>3</w:t>
                  </w:r>
                  <w:r>
                    <w:rPr>
                      <w:rFonts w:hint="eastAsia" w:ascii="Times New Roman" w:hAnsi="Times New Roman" w:eastAsia="仿宋" w:cs="Times New Roman"/>
                      <w:b/>
                      <w:bCs/>
                      <w:color w:val="auto"/>
                      <w:sz w:val="21"/>
                      <w:szCs w:val="21"/>
                      <w:highlight w:val="none"/>
                      <w:lang w:val="en-US" w:eastAsia="zh-CN"/>
                    </w:rPr>
                    <w:t>）</w:t>
                  </w:r>
                </w:p>
              </w:tc>
              <w:tc>
                <w:tcPr>
                  <w:tcW w:w="750" w:type="pct"/>
                  <w:vMerge w:val="restart"/>
                  <w:tcBorders>
                    <w:tl2br w:val="nil"/>
                    <w:tr2bl w:val="nil"/>
                  </w:tcBorders>
                  <w:shd w:val="clear" w:color="auto" w:fill="auto"/>
                  <w:tcMar>
                    <w:left w:w="28" w:type="dxa"/>
                    <w:right w:w="28" w:type="dxa"/>
                  </w:tcMar>
                  <w:vAlign w:val="center"/>
                </w:tcPr>
                <w:p w14:paraId="2CCADA15">
                  <w:pPr>
                    <w:pStyle w:val="2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监测浓度范围/(</w:t>
                  </w:r>
                  <w:r>
                    <w:rPr>
                      <w:rFonts w:hint="eastAsia" w:ascii="Times New Roman" w:hAnsi="Times New Roman" w:eastAsia="仿宋" w:cs="Times New Roman"/>
                      <w:b/>
                      <w:bCs/>
                      <w:color w:val="auto"/>
                      <w:sz w:val="21"/>
                      <w:szCs w:val="21"/>
                      <w:highlight w:val="none"/>
                      <w:lang w:val="en-US" w:eastAsia="zh-CN"/>
                    </w:rPr>
                    <w:t>m</w:t>
                  </w:r>
                  <w:r>
                    <w:rPr>
                      <w:rFonts w:hint="default" w:ascii="Times New Roman" w:hAnsi="Times New Roman" w:eastAsia="仿宋" w:cs="Times New Roman"/>
                      <w:b/>
                      <w:bCs/>
                      <w:color w:val="auto"/>
                      <w:sz w:val="21"/>
                      <w:szCs w:val="21"/>
                      <w:highlight w:val="none"/>
                      <w:lang w:val="en-US" w:eastAsia="zh-CN"/>
                    </w:rPr>
                    <w:t>g/m</w:t>
                  </w:r>
                  <w:r>
                    <w:rPr>
                      <w:rFonts w:hint="default" w:ascii="Times New Roman" w:hAnsi="Times New Roman" w:eastAsia="仿宋" w:cs="Times New Roman"/>
                      <w:b/>
                      <w:bCs/>
                      <w:color w:val="auto"/>
                      <w:sz w:val="21"/>
                      <w:szCs w:val="21"/>
                      <w:highlight w:val="none"/>
                      <w:vertAlign w:val="superscript"/>
                      <w:lang w:val="en-US" w:eastAsia="zh-CN"/>
                    </w:rPr>
                    <w:t>3</w:t>
                  </w:r>
                  <w:r>
                    <w:rPr>
                      <w:rFonts w:hint="default" w:ascii="Times New Roman" w:hAnsi="Times New Roman" w:eastAsia="仿宋" w:cs="Times New Roman"/>
                      <w:b/>
                      <w:bCs/>
                      <w:color w:val="auto"/>
                      <w:sz w:val="21"/>
                      <w:szCs w:val="21"/>
                      <w:highlight w:val="none"/>
                      <w:lang w:val="en-US" w:eastAsia="zh-CN"/>
                    </w:rPr>
                    <w:t>)</w:t>
                  </w:r>
                </w:p>
              </w:tc>
              <w:tc>
                <w:tcPr>
                  <w:tcW w:w="611" w:type="pct"/>
                  <w:vMerge w:val="restart"/>
                  <w:tcBorders>
                    <w:tl2br w:val="nil"/>
                    <w:tr2bl w:val="nil"/>
                  </w:tcBorders>
                  <w:shd w:val="clear" w:color="auto" w:fill="auto"/>
                  <w:tcMar>
                    <w:left w:w="28" w:type="dxa"/>
                    <w:right w:w="28" w:type="dxa"/>
                  </w:tcMar>
                  <w:vAlign w:val="center"/>
                </w:tcPr>
                <w:p w14:paraId="488EA979">
                  <w:pPr>
                    <w:pStyle w:val="2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最大浓度占标率/%</w:t>
                  </w:r>
                </w:p>
              </w:tc>
              <w:tc>
                <w:tcPr>
                  <w:tcW w:w="390" w:type="pct"/>
                  <w:vMerge w:val="restart"/>
                  <w:tcBorders>
                    <w:tl2br w:val="nil"/>
                    <w:tr2bl w:val="nil"/>
                  </w:tcBorders>
                  <w:shd w:val="clear" w:color="auto" w:fill="auto"/>
                  <w:tcMar>
                    <w:left w:w="28" w:type="dxa"/>
                    <w:right w:w="28" w:type="dxa"/>
                  </w:tcMar>
                  <w:vAlign w:val="center"/>
                </w:tcPr>
                <w:p w14:paraId="0247AC9B">
                  <w:pPr>
                    <w:pStyle w:val="2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超标率/%</w:t>
                  </w:r>
                </w:p>
              </w:tc>
              <w:tc>
                <w:tcPr>
                  <w:tcW w:w="346" w:type="pct"/>
                  <w:vMerge w:val="restart"/>
                  <w:tcBorders>
                    <w:tl2br w:val="nil"/>
                    <w:tr2bl w:val="nil"/>
                  </w:tcBorders>
                  <w:shd w:val="clear" w:color="auto" w:fill="auto"/>
                  <w:tcMar>
                    <w:left w:w="28" w:type="dxa"/>
                    <w:right w:w="28" w:type="dxa"/>
                  </w:tcMar>
                  <w:vAlign w:val="center"/>
                </w:tcPr>
                <w:p w14:paraId="34A18602">
                  <w:pPr>
                    <w:pStyle w:val="29"/>
                    <w:rPr>
                      <w:rFonts w:hint="default" w:ascii="Times New Roman" w:hAnsi="Times New Roman" w:eastAsia="仿宋" w:cs="Times New Roman"/>
                      <w:b/>
                      <w:bCs/>
                      <w:color w:val="auto"/>
                      <w:sz w:val="21"/>
                      <w:szCs w:val="21"/>
                      <w:highlight w:val="none"/>
                      <w:lang w:val="en-US" w:eastAsia="zh-CN"/>
                    </w:rPr>
                  </w:pPr>
                  <w:r>
                    <w:rPr>
                      <w:rFonts w:hint="eastAsia" w:ascii="Times New Roman" w:hAnsi="Times New Roman" w:eastAsia="仿宋" w:cs="Times New Roman"/>
                      <w:b/>
                      <w:bCs/>
                      <w:color w:val="auto"/>
                      <w:sz w:val="21"/>
                      <w:szCs w:val="21"/>
                      <w:highlight w:val="none"/>
                      <w:lang w:val="en-US" w:eastAsia="zh-CN"/>
                    </w:rPr>
                    <w:t>达标情况</w:t>
                  </w:r>
                </w:p>
              </w:tc>
            </w:tr>
            <w:tr w14:paraId="037FE77E">
              <w:tblPrEx>
                <w:tblBorders>
                  <w:top w:val="single" w:color="auto" w:sz="8" w:space="0"/>
                  <w:left w:val="single" w:color="auto" w:sz="8" w:space="0"/>
                  <w:bottom w:val="single" w:color="auto" w:sz="8" w:space="0"/>
                  <w:right w:val="single" w:color="auto" w:sz="8" w:space="0"/>
                  <w:insideH w:val="single" w:color="auto" w:sz="6" w:space="0"/>
                  <w:insideV w:val="single" w:color="auto" w:sz="8" w:space="0"/>
                </w:tblBorders>
                <w:tblCellMar>
                  <w:top w:w="0" w:type="dxa"/>
                  <w:left w:w="108" w:type="dxa"/>
                  <w:bottom w:w="0" w:type="dxa"/>
                  <w:right w:w="108" w:type="dxa"/>
                </w:tblCellMar>
              </w:tblPrEx>
              <w:trPr>
                <w:trHeight w:val="312" w:hRule="atLeast"/>
              </w:trPr>
              <w:tc>
                <w:tcPr>
                  <w:tcW w:w="1099" w:type="pct"/>
                  <w:vMerge w:val="continue"/>
                  <w:tcBorders>
                    <w:tl2br w:val="nil"/>
                    <w:tr2bl w:val="nil"/>
                  </w:tcBorders>
                  <w:shd w:val="clear" w:color="auto" w:fill="auto"/>
                  <w:tcMar>
                    <w:left w:w="28" w:type="dxa"/>
                    <w:right w:w="28" w:type="dxa"/>
                  </w:tcMar>
                  <w:vAlign w:val="center"/>
                </w:tcPr>
                <w:p w14:paraId="089F3E24">
                  <w:pPr>
                    <w:pStyle w:val="29"/>
                    <w:rPr>
                      <w:rFonts w:hint="default" w:ascii="Times New Roman" w:hAnsi="Times New Roman" w:eastAsia="仿宋" w:cs="Times New Roman"/>
                      <w:color w:val="auto"/>
                      <w:sz w:val="21"/>
                      <w:szCs w:val="21"/>
                      <w:highlight w:val="none"/>
                      <w:lang w:val="en-US" w:eastAsia="zh-CN"/>
                    </w:rPr>
                  </w:pPr>
                </w:p>
              </w:tc>
              <w:tc>
                <w:tcPr>
                  <w:tcW w:w="647" w:type="pct"/>
                  <w:vMerge w:val="continue"/>
                  <w:tcBorders>
                    <w:tl2br w:val="nil"/>
                    <w:tr2bl w:val="nil"/>
                  </w:tcBorders>
                  <w:shd w:val="clear" w:color="auto" w:fill="auto"/>
                  <w:tcMar>
                    <w:left w:w="28" w:type="dxa"/>
                    <w:right w:w="28" w:type="dxa"/>
                  </w:tcMar>
                  <w:vAlign w:val="center"/>
                </w:tcPr>
                <w:p w14:paraId="174E3FED">
                  <w:pPr>
                    <w:pStyle w:val="29"/>
                    <w:rPr>
                      <w:rFonts w:hint="default" w:ascii="Times New Roman" w:hAnsi="Times New Roman" w:eastAsia="仿宋" w:cs="Times New Roman"/>
                      <w:color w:val="auto"/>
                      <w:sz w:val="21"/>
                      <w:szCs w:val="21"/>
                      <w:highlight w:val="none"/>
                      <w:lang w:val="en-US" w:eastAsia="zh-CN"/>
                    </w:rPr>
                  </w:pPr>
                </w:p>
              </w:tc>
              <w:tc>
                <w:tcPr>
                  <w:tcW w:w="551" w:type="pct"/>
                  <w:vMerge w:val="continue"/>
                  <w:tcBorders>
                    <w:tl2br w:val="nil"/>
                    <w:tr2bl w:val="nil"/>
                  </w:tcBorders>
                  <w:shd w:val="clear" w:color="auto" w:fill="auto"/>
                  <w:tcMar>
                    <w:left w:w="28" w:type="dxa"/>
                    <w:right w:w="28" w:type="dxa"/>
                  </w:tcMar>
                  <w:vAlign w:val="center"/>
                </w:tcPr>
                <w:p w14:paraId="776CD3B2">
                  <w:pPr>
                    <w:pStyle w:val="29"/>
                    <w:rPr>
                      <w:rFonts w:hint="default" w:ascii="Times New Roman" w:hAnsi="Times New Roman" w:eastAsia="仿宋" w:cs="Times New Roman"/>
                      <w:color w:val="auto"/>
                      <w:sz w:val="21"/>
                      <w:szCs w:val="21"/>
                      <w:highlight w:val="none"/>
                      <w:lang w:val="en-US" w:eastAsia="zh-CN"/>
                    </w:rPr>
                  </w:pPr>
                </w:p>
              </w:tc>
              <w:tc>
                <w:tcPr>
                  <w:tcW w:w="603" w:type="pct"/>
                  <w:vMerge w:val="continue"/>
                  <w:tcBorders>
                    <w:tl2br w:val="nil"/>
                    <w:tr2bl w:val="nil"/>
                  </w:tcBorders>
                  <w:shd w:val="clear" w:color="auto" w:fill="auto"/>
                  <w:tcMar>
                    <w:left w:w="28" w:type="dxa"/>
                    <w:right w:w="28" w:type="dxa"/>
                  </w:tcMar>
                  <w:vAlign w:val="center"/>
                </w:tcPr>
                <w:p w14:paraId="5DBCE516">
                  <w:pPr>
                    <w:pStyle w:val="29"/>
                    <w:rPr>
                      <w:rFonts w:hint="default" w:ascii="Times New Roman" w:hAnsi="Times New Roman" w:eastAsia="仿宋" w:cs="Times New Roman"/>
                      <w:color w:val="auto"/>
                      <w:sz w:val="21"/>
                      <w:szCs w:val="21"/>
                      <w:highlight w:val="none"/>
                      <w:lang w:val="en-US" w:eastAsia="zh-CN"/>
                    </w:rPr>
                  </w:pPr>
                </w:p>
              </w:tc>
              <w:tc>
                <w:tcPr>
                  <w:tcW w:w="750" w:type="pct"/>
                  <w:vMerge w:val="continue"/>
                  <w:tcBorders>
                    <w:tl2br w:val="nil"/>
                    <w:tr2bl w:val="nil"/>
                  </w:tcBorders>
                  <w:shd w:val="clear" w:color="auto" w:fill="auto"/>
                  <w:tcMar>
                    <w:left w:w="28" w:type="dxa"/>
                    <w:right w:w="28" w:type="dxa"/>
                  </w:tcMar>
                  <w:vAlign w:val="center"/>
                </w:tcPr>
                <w:p w14:paraId="72A2ECE8">
                  <w:pPr>
                    <w:pStyle w:val="29"/>
                    <w:rPr>
                      <w:rFonts w:hint="default" w:ascii="Times New Roman" w:hAnsi="Times New Roman" w:eastAsia="仿宋" w:cs="Times New Roman"/>
                      <w:color w:val="auto"/>
                      <w:sz w:val="21"/>
                      <w:szCs w:val="21"/>
                      <w:highlight w:val="none"/>
                      <w:lang w:val="en-US" w:eastAsia="zh-CN"/>
                    </w:rPr>
                  </w:pPr>
                </w:p>
              </w:tc>
              <w:tc>
                <w:tcPr>
                  <w:tcW w:w="611" w:type="pct"/>
                  <w:vMerge w:val="continue"/>
                  <w:tcBorders>
                    <w:tl2br w:val="nil"/>
                    <w:tr2bl w:val="nil"/>
                  </w:tcBorders>
                  <w:shd w:val="clear" w:color="auto" w:fill="auto"/>
                  <w:tcMar>
                    <w:left w:w="28" w:type="dxa"/>
                    <w:right w:w="28" w:type="dxa"/>
                  </w:tcMar>
                  <w:vAlign w:val="center"/>
                </w:tcPr>
                <w:p w14:paraId="31E662F3">
                  <w:pPr>
                    <w:pStyle w:val="29"/>
                    <w:rPr>
                      <w:rFonts w:hint="default" w:ascii="Times New Roman" w:hAnsi="Times New Roman" w:eastAsia="仿宋" w:cs="Times New Roman"/>
                      <w:color w:val="auto"/>
                      <w:sz w:val="21"/>
                      <w:szCs w:val="21"/>
                      <w:highlight w:val="none"/>
                      <w:lang w:val="en-US" w:eastAsia="zh-CN"/>
                    </w:rPr>
                  </w:pPr>
                </w:p>
              </w:tc>
              <w:tc>
                <w:tcPr>
                  <w:tcW w:w="390" w:type="pct"/>
                  <w:vMerge w:val="continue"/>
                  <w:tcBorders>
                    <w:tl2br w:val="nil"/>
                    <w:tr2bl w:val="nil"/>
                  </w:tcBorders>
                  <w:shd w:val="clear" w:color="auto" w:fill="auto"/>
                  <w:tcMar>
                    <w:left w:w="28" w:type="dxa"/>
                    <w:right w:w="28" w:type="dxa"/>
                  </w:tcMar>
                  <w:vAlign w:val="center"/>
                </w:tcPr>
                <w:p w14:paraId="118AABA7">
                  <w:pPr>
                    <w:pStyle w:val="29"/>
                    <w:rPr>
                      <w:rFonts w:hint="default" w:ascii="Times New Roman" w:hAnsi="Times New Roman" w:eastAsia="仿宋" w:cs="Times New Roman"/>
                      <w:color w:val="auto"/>
                      <w:sz w:val="21"/>
                      <w:szCs w:val="21"/>
                      <w:highlight w:val="none"/>
                      <w:lang w:val="en-US" w:eastAsia="zh-CN"/>
                    </w:rPr>
                  </w:pPr>
                </w:p>
              </w:tc>
              <w:tc>
                <w:tcPr>
                  <w:tcW w:w="346" w:type="pct"/>
                  <w:vMerge w:val="continue"/>
                  <w:tcBorders>
                    <w:tl2br w:val="nil"/>
                    <w:tr2bl w:val="nil"/>
                  </w:tcBorders>
                  <w:shd w:val="clear" w:color="auto" w:fill="auto"/>
                  <w:tcMar>
                    <w:left w:w="28" w:type="dxa"/>
                    <w:right w:w="28" w:type="dxa"/>
                  </w:tcMar>
                  <w:vAlign w:val="center"/>
                </w:tcPr>
                <w:p w14:paraId="7433255F">
                  <w:pPr>
                    <w:pStyle w:val="29"/>
                    <w:rPr>
                      <w:rFonts w:hint="default" w:ascii="Times New Roman" w:hAnsi="Times New Roman" w:eastAsia="仿宋" w:cs="Times New Roman"/>
                      <w:color w:val="auto"/>
                      <w:sz w:val="21"/>
                      <w:szCs w:val="21"/>
                      <w:highlight w:val="none"/>
                      <w:lang w:val="en-US" w:eastAsia="zh-CN"/>
                    </w:rPr>
                  </w:pPr>
                </w:p>
              </w:tc>
            </w:tr>
            <w:tr w14:paraId="6BCA1357">
              <w:tblPrEx>
                <w:tblBorders>
                  <w:top w:val="single" w:color="auto" w:sz="8" w:space="0"/>
                  <w:left w:val="single" w:color="auto" w:sz="8" w:space="0"/>
                  <w:bottom w:val="single" w:color="auto" w:sz="8" w:space="0"/>
                  <w:right w:val="single" w:color="auto" w:sz="8" w:space="0"/>
                  <w:insideH w:val="single" w:color="auto" w:sz="6" w:space="0"/>
                  <w:insideV w:val="single" w:color="auto" w:sz="8" w:space="0"/>
                </w:tblBorders>
                <w:tblCellMar>
                  <w:top w:w="0" w:type="dxa"/>
                  <w:left w:w="108" w:type="dxa"/>
                  <w:bottom w:w="0" w:type="dxa"/>
                  <w:right w:w="108" w:type="dxa"/>
                </w:tblCellMar>
              </w:tblPrEx>
              <w:trPr>
                <w:trHeight w:val="170" w:hRule="atLeast"/>
              </w:trPr>
              <w:tc>
                <w:tcPr>
                  <w:tcW w:w="1099" w:type="pct"/>
                  <w:tcBorders>
                    <w:tl2br w:val="nil"/>
                    <w:tr2bl w:val="nil"/>
                  </w:tcBorders>
                  <w:shd w:val="clear" w:color="auto" w:fill="auto"/>
                  <w:tcMar>
                    <w:left w:w="28" w:type="dxa"/>
                    <w:right w:w="28" w:type="dxa"/>
                  </w:tcMar>
                  <w:vAlign w:val="center"/>
                </w:tcPr>
                <w:p w14:paraId="4C65C8EA">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苏州领新智能科技有限公司项目地</w:t>
                  </w:r>
                </w:p>
              </w:tc>
              <w:tc>
                <w:tcPr>
                  <w:tcW w:w="647" w:type="pct"/>
                  <w:tcBorders>
                    <w:tl2br w:val="nil"/>
                    <w:tr2bl w:val="nil"/>
                  </w:tcBorders>
                  <w:shd w:val="clear" w:color="auto" w:fill="auto"/>
                  <w:tcMar>
                    <w:left w:w="28" w:type="dxa"/>
                    <w:right w:w="28" w:type="dxa"/>
                  </w:tcMar>
                  <w:vAlign w:val="center"/>
                </w:tcPr>
                <w:p w14:paraId="1E92EC8A">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非甲烷总烃</w:t>
                  </w:r>
                </w:p>
              </w:tc>
              <w:tc>
                <w:tcPr>
                  <w:tcW w:w="551" w:type="pct"/>
                  <w:tcBorders>
                    <w:tl2br w:val="nil"/>
                    <w:tr2bl w:val="nil"/>
                  </w:tcBorders>
                  <w:shd w:val="clear" w:color="auto" w:fill="auto"/>
                  <w:tcMar>
                    <w:left w:w="28" w:type="dxa"/>
                    <w:right w:w="28" w:type="dxa"/>
                  </w:tcMar>
                  <w:vAlign w:val="center"/>
                </w:tcPr>
                <w:p w14:paraId="4226137A">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一次值</w:t>
                  </w:r>
                </w:p>
              </w:tc>
              <w:tc>
                <w:tcPr>
                  <w:tcW w:w="603" w:type="pct"/>
                  <w:tcBorders>
                    <w:tl2br w:val="nil"/>
                    <w:tr2bl w:val="nil"/>
                  </w:tcBorders>
                  <w:shd w:val="clear" w:color="auto" w:fill="auto"/>
                  <w:tcMar>
                    <w:left w:w="28" w:type="dxa"/>
                    <w:right w:w="28" w:type="dxa"/>
                  </w:tcMar>
                  <w:vAlign w:val="center"/>
                </w:tcPr>
                <w:p w14:paraId="0054043E">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750" w:type="pct"/>
                  <w:tcBorders>
                    <w:tl2br w:val="nil"/>
                    <w:tr2bl w:val="nil"/>
                  </w:tcBorders>
                  <w:shd w:val="clear" w:color="auto" w:fill="auto"/>
                  <w:tcMar>
                    <w:left w:w="28" w:type="dxa"/>
                    <w:right w:w="28" w:type="dxa"/>
                  </w:tcMar>
                  <w:vAlign w:val="center"/>
                </w:tcPr>
                <w:p w14:paraId="145C3F7C">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0.</w:t>
                  </w:r>
                  <w:r>
                    <w:rPr>
                      <w:rFonts w:hint="eastAsia" w:eastAsia="仿宋" w:cs="Times New Roman"/>
                      <w:color w:val="auto"/>
                      <w:sz w:val="21"/>
                      <w:szCs w:val="21"/>
                      <w:highlight w:val="none"/>
                      <w:lang w:val="en-US" w:eastAsia="zh-CN"/>
                    </w:rPr>
                    <w:t>43</w:t>
                  </w:r>
                  <w:r>
                    <w:rPr>
                      <w:rFonts w:hint="default" w:ascii="Times New Roman" w:hAnsi="Times New Roman" w:eastAsia="仿宋" w:cs="Times New Roman"/>
                      <w:color w:val="auto"/>
                      <w:sz w:val="21"/>
                      <w:szCs w:val="21"/>
                      <w:highlight w:val="none"/>
                      <w:lang w:val="en-US" w:eastAsia="zh-CN"/>
                    </w:rPr>
                    <w:t>~</w:t>
                  </w:r>
                  <w:r>
                    <w:rPr>
                      <w:rFonts w:hint="eastAsia" w:ascii="Times New Roman" w:hAnsi="Times New Roman" w:eastAsia="仿宋" w:cs="Times New Roman"/>
                      <w:color w:val="auto"/>
                      <w:sz w:val="21"/>
                      <w:szCs w:val="21"/>
                      <w:highlight w:val="none"/>
                      <w:lang w:val="en-US" w:eastAsia="zh-CN"/>
                    </w:rPr>
                    <w:t>0.8</w:t>
                  </w:r>
                  <w:r>
                    <w:rPr>
                      <w:rFonts w:hint="eastAsia" w:eastAsia="仿宋" w:cs="Times New Roman"/>
                      <w:color w:val="auto"/>
                      <w:sz w:val="21"/>
                      <w:szCs w:val="21"/>
                      <w:highlight w:val="none"/>
                      <w:lang w:val="en-US" w:eastAsia="zh-CN"/>
                    </w:rPr>
                    <w:t>9</w:t>
                  </w:r>
                </w:p>
              </w:tc>
              <w:tc>
                <w:tcPr>
                  <w:tcW w:w="611" w:type="pct"/>
                  <w:tcBorders>
                    <w:tl2br w:val="nil"/>
                    <w:tr2bl w:val="nil"/>
                  </w:tcBorders>
                  <w:shd w:val="clear" w:color="auto" w:fill="auto"/>
                  <w:tcMar>
                    <w:left w:w="28" w:type="dxa"/>
                    <w:right w:w="28" w:type="dxa"/>
                  </w:tcMar>
                  <w:vAlign w:val="center"/>
                </w:tcPr>
                <w:p w14:paraId="65E827B8">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42.5</w:t>
                  </w:r>
                </w:p>
              </w:tc>
              <w:tc>
                <w:tcPr>
                  <w:tcW w:w="390" w:type="pct"/>
                  <w:tcBorders>
                    <w:tl2br w:val="nil"/>
                    <w:tr2bl w:val="nil"/>
                  </w:tcBorders>
                  <w:shd w:val="clear" w:color="auto" w:fill="auto"/>
                  <w:tcMar>
                    <w:left w:w="28" w:type="dxa"/>
                    <w:right w:w="28" w:type="dxa"/>
                  </w:tcMar>
                  <w:vAlign w:val="center"/>
                </w:tcPr>
                <w:p w14:paraId="0D98A0E7">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0</w:t>
                  </w:r>
                </w:p>
              </w:tc>
              <w:tc>
                <w:tcPr>
                  <w:tcW w:w="346" w:type="pct"/>
                  <w:tcBorders>
                    <w:tl2br w:val="nil"/>
                    <w:tr2bl w:val="nil"/>
                  </w:tcBorders>
                  <w:shd w:val="clear" w:color="auto" w:fill="auto"/>
                  <w:tcMar>
                    <w:left w:w="28" w:type="dxa"/>
                    <w:right w:w="28" w:type="dxa"/>
                  </w:tcMar>
                  <w:vAlign w:val="center"/>
                </w:tcPr>
                <w:p w14:paraId="257560A5">
                  <w:pPr>
                    <w:pStyle w:val="29"/>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达标</w:t>
                  </w:r>
                </w:p>
              </w:tc>
            </w:tr>
          </w:tbl>
          <w:p w14:paraId="4E6D72D5">
            <w:pPr>
              <w:spacing w:line="360" w:lineRule="auto"/>
              <w:ind w:firstLine="480" w:firstLineChars="200"/>
              <w:rPr>
                <w:rFonts w:hint="eastAsia"/>
                <w:highlight w:val="none"/>
              </w:rPr>
            </w:pPr>
            <w:r>
              <w:rPr>
                <w:rFonts w:hint="eastAsia" w:ascii="Times New Roman" w:hAnsi="Times New Roman" w:cs="Times New Roman"/>
                <w:color w:val="auto"/>
                <w:sz w:val="24"/>
                <w:szCs w:val="24"/>
                <w:highlight w:val="none"/>
              </w:rPr>
              <w:t>由上表可以看出，监测期间评价区域内非甲烷总烃的监测值满足《大气污染物综合排放标准详解》中相关标准。</w:t>
            </w:r>
          </w:p>
          <w:p w14:paraId="693020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olor w:val="000000" w:themeColor="text1"/>
                <w:szCs w:val="21"/>
                <w:highlight w:val="none"/>
                <w14:textFill>
                  <w14:solidFill>
                    <w14:schemeClr w14:val="tx1"/>
                  </w14:solidFill>
                </w14:textFill>
              </w:rPr>
            </w:pPr>
            <w:r>
              <w:rPr>
                <w:highlight w:val="none"/>
              </w:rPr>
              <w:drawing>
                <wp:inline distT="0" distB="0" distL="114300" distR="114300">
                  <wp:extent cx="5962650" cy="3837305"/>
                  <wp:effectExtent l="0" t="0" r="0" b="10795"/>
                  <wp:docPr id="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6"/>
                          <pic:cNvPicPr>
                            <a:picLocks noChangeAspect="1"/>
                          </pic:cNvPicPr>
                        </pic:nvPicPr>
                        <pic:blipFill>
                          <a:blip r:embed="rId17"/>
                          <a:stretch>
                            <a:fillRect/>
                          </a:stretch>
                        </pic:blipFill>
                        <pic:spPr>
                          <a:xfrm>
                            <a:off x="0" y="0"/>
                            <a:ext cx="5962650" cy="3837305"/>
                          </a:xfrm>
                          <a:prstGeom prst="rect">
                            <a:avLst/>
                          </a:prstGeom>
                          <a:noFill/>
                          <a:ln>
                            <a:noFill/>
                          </a:ln>
                        </pic:spPr>
                      </pic:pic>
                    </a:graphicData>
                  </a:graphic>
                </wp:inline>
              </w:drawing>
            </w:r>
          </w:p>
          <w:p w14:paraId="45F95D57">
            <w:pPr>
              <w:spacing w:line="360" w:lineRule="auto"/>
              <w:jc w:val="cente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图3-1  大气环境质量现状监测点位图</w:t>
            </w:r>
          </w:p>
          <w:p w14:paraId="72696E2D">
            <w:pPr>
              <w:spacing w:line="360" w:lineRule="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地表水环境现状</w:t>
            </w:r>
          </w:p>
          <w:p w14:paraId="3D969F16">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根据《202</w:t>
            </w:r>
            <w:r>
              <w:rPr>
                <w:rFonts w:hint="eastAsia"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年度苏州市生态环境</w:t>
            </w:r>
            <w:r>
              <w:rPr>
                <w:rFonts w:hint="eastAsia" w:ascii="Times New Roman" w:hAnsi="Times New Roman" w:eastAsia="宋体" w:cs="Times New Roman"/>
                <w:color w:val="auto"/>
                <w:sz w:val="24"/>
                <w:highlight w:val="none"/>
                <w:lang w:val="en-US" w:eastAsia="zh-CN"/>
              </w:rPr>
              <w:t>状况</w:t>
            </w:r>
            <w:r>
              <w:rPr>
                <w:rFonts w:hint="default" w:ascii="Times New Roman" w:hAnsi="Times New Roman" w:eastAsia="宋体" w:cs="Times New Roman"/>
                <w:color w:val="auto"/>
                <w:sz w:val="24"/>
                <w:highlight w:val="none"/>
              </w:rPr>
              <w:t>》</w:t>
            </w:r>
            <w:r>
              <w:rPr>
                <w:rFonts w:hint="eastAsia" w:cs="Times New Roman"/>
                <w:color w:val="auto"/>
                <w:sz w:val="24"/>
                <w:highlight w:val="none"/>
                <w:lang w:eastAsia="zh-CN"/>
              </w:rPr>
              <w:t>：</w:t>
            </w:r>
          </w:p>
          <w:p w14:paraId="054E7EE4">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2025年，全市地表水环境质量稳中向好，国、省考断面水质优Ⅲ比例达到</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水十条</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考核以来最好成绩，太湖</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苏州辖区</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连续18年高水平实现安全度夏。</w:t>
            </w:r>
            <w:r>
              <w:rPr>
                <w:rFonts w:hint="eastAsia" w:ascii="Times New Roman" w:hAnsi="Times New Roman" w:eastAsia="宋体" w:cs="Times New Roman"/>
                <w:color w:val="auto"/>
                <w:sz w:val="24"/>
                <w:highlight w:val="none"/>
                <w:lang w:val="en-US" w:eastAsia="zh-CN"/>
              </w:rPr>
              <w:t>饮用水水源地：根据《江苏省2024年水生态环境保护工作计划》（苏污防攻坚指办〔2024〕35号），全市共13个县级及以上城市集中式饮用水水源地，均为集中式供水。2025年取水总量约为15.24亿吨，主要取水水源长江和太湖取水量分别约占取水总量的31.9%和54.5%。依据《地表水环境质量标准》（GB3838-2002）评价，水质均达到或优于</w:t>
            </w:r>
            <w:r>
              <w:rPr>
                <w:rFonts w:hint="default" w:ascii="Times New Roman" w:hAnsi="Times New Roman" w:eastAsia="微软雅黑"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类标准，全部达到考核目标要求。国考断面：2025年，纳入</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十四五</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国家地表水环境质量考核的30个断面中，年均水质达到或优于《地表水环境质量标准》（GB3838-2002）</w:t>
            </w:r>
            <w:r>
              <w:rPr>
                <w:rFonts w:hint="default" w:ascii="Times New Roman" w:hAnsi="Times New Roman" w:eastAsia="宋体" w:cs="Times New Roman"/>
                <w:color w:val="auto"/>
                <w:sz w:val="24"/>
                <w:highlight w:val="none"/>
              </w:rPr>
              <w:t>Ⅲ</w:t>
            </w:r>
            <w:r>
              <w:rPr>
                <w:rFonts w:hint="eastAsia" w:ascii="Times New Roman" w:hAnsi="Times New Roman" w:eastAsia="宋体" w:cs="Times New Roman"/>
                <w:color w:val="auto"/>
                <w:sz w:val="24"/>
                <w:highlight w:val="none"/>
                <w:lang w:val="en-US" w:eastAsia="zh-CN"/>
              </w:rPr>
              <w:t>类标准的断面比例为96.7%，同比上升3.4个百分点，仅有1个湖泊断面为</w:t>
            </w:r>
            <w:r>
              <w:rPr>
                <w:rFonts w:hint="default" w:ascii="Times New Roman" w:hAnsi="Times New Roman" w:eastAsia="宋体" w:cs="Times New Roman"/>
                <w:color w:val="auto"/>
                <w:sz w:val="24"/>
                <w:highlight w:val="none"/>
                <w:lang w:val="en-US" w:eastAsia="zh-CN"/>
              </w:rPr>
              <w:t>Ⅳ</w:t>
            </w:r>
            <w:r>
              <w:rPr>
                <w:rFonts w:hint="eastAsia" w:ascii="Times New Roman" w:hAnsi="Times New Roman" w:eastAsia="宋体" w:cs="Times New Roman"/>
                <w:color w:val="auto"/>
                <w:sz w:val="24"/>
                <w:highlight w:val="none"/>
                <w:lang w:val="en-US" w:eastAsia="zh-CN"/>
              </w:rPr>
              <w:t>类。年均水质达到</w:t>
            </w:r>
            <w:r>
              <w:rPr>
                <w:rFonts w:hint="default" w:ascii="Times New Roman" w:hAnsi="Times New Roman" w:eastAsia="微软雅黑"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类标准的断面比例为70%，同比上升6.7个百分点。省考断面：2025年，纳入江苏省</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十四五</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水环境质量考核的80个地表水断面（含国考断面）中，年均水质达到或优于《地表水环境质量标准》（GB3838-2002）</w:t>
            </w:r>
            <w:r>
              <w:rPr>
                <w:rFonts w:hint="default" w:ascii="Times New Roman" w:hAnsi="Times New Roman" w:eastAsia="宋体" w:cs="Times New Roman"/>
                <w:color w:val="auto"/>
                <w:sz w:val="24"/>
                <w:highlight w:val="none"/>
              </w:rPr>
              <w:t>Ⅲ</w:t>
            </w:r>
            <w:r>
              <w:rPr>
                <w:rFonts w:hint="eastAsia" w:ascii="Times New Roman" w:hAnsi="Times New Roman" w:eastAsia="宋体" w:cs="Times New Roman"/>
                <w:color w:val="auto"/>
                <w:sz w:val="24"/>
                <w:highlight w:val="none"/>
                <w:lang w:val="en-US" w:eastAsia="zh-CN"/>
              </w:rPr>
              <w:t>类标准的断面比例为98.8%，同比上升1.3个百分点，仅有1个湖泊断面为</w:t>
            </w:r>
            <w:r>
              <w:rPr>
                <w:rFonts w:hint="default" w:ascii="Times New Roman" w:hAnsi="Times New Roman" w:eastAsia="宋体" w:cs="Times New Roman"/>
                <w:color w:val="auto"/>
                <w:sz w:val="24"/>
                <w:highlight w:val="none"/>
                <w:lang w:val="en-US" w:eastAsia="zh-CN"/>
              </w:rPr>
              <w:t>Ⅳ</w:t>
            </w:r>
            <w:r>
              <w:rPr>
                <w:rFonts w:hint="eastAsia" w:ascii="Times New Roman" w:hAnsi="Times New Roman" w:eastAsia="宋体" w:cs="Times New Roman"/>
                <w:color w:val="auto"/>
                <w:sz w:val="24"/>
                <w:highlight w:val="none"/>
                <w:lang w:val="en-US" w:eastAsia="zh-CN"/>
              </w:rPr>
              <w:t>类。年均水质达到</w:t>
            </w:r>
            <w:r>
              <w:rPr>
                <w:rFonts w:hint="default" w:ascii="Times New Roman" w:hAnsi="Times New Roman" w:eastAsia="微软雅黑"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类标准的断面比例为73.8%，同比上升5.0个百分点。长江干流（苏州段）及主要通江河流：2025年，长江干流（苏州段）各断面水质均达</w:t>
            </w:r>
            <w:r>
              <w:rPr>
                <w:rFonts w:hint="default" w:ascii="Times New Roman" w:hAnsi="Times New Roman" w:eastAsia="微软雅黑"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类，同比持平。主要通江河道水质均达到或优于</w:t>
            </w:r>
            <w:r>
              <w:rPr>
                <w:rFonts w:hint="default" w:ascii="Times New Roman" w:hAnsi="Times New Roman" w:eastAsia="宋体" w:cs="Times New Roman"/>
                <w:color w:val="auto"/>
                <w:sz w:val="24"/>
                <w:highlight w:val="none"/>
              </w:rPr>
              <w:t>Ⅲ</w:t>
            </w:r>
            <w:r>
              <w:rPr>
                <w:rFonts w:hint="eastAsia" w:ascii="Times New Roman" w:hAnsi="Times New Roman" w:eastAsia="宋体" w:cs="Times New Roman"/>
                <w:color w:val="auto"/>
                <w:sz w:val="24"/>
                <w:highlight w:val="none"/>
                <w:lang w:val="en-US" w:eastAsia="zh-CN"/>
              </w:rPr>
              <w:t>类，同比持平，</w:t>
            </w:r>
            <w:r>
              <w:rPr>
                <w:rFonts w:hint="default" w:ascii="Times New Roman" w:hAnsi="Times New Roman" w:eastAsia="微软雅黑"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类水体断面26个，同比增加3个。太湖（苏州辖区）：2025年，太湖（苏州辖区）总体水质为</w:t>
            </w:r>
            <w:r>
              <w:rPr>
                <w:rFonts w:hint="default" w:ascii="Times New Roman" w:hAnsi="Times New Roman" w:eastAsia="微软雅黑"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类。湖体高锰酸盐指数和氨氮平均浓度分别为2.54毫克/升和0.035毫克/升，保持在</w:t>
            </w:r>
            <w:r>
              <w:rPr>
                <w:rFonts w:hint="default" w:ascii="Times New Roman" w:hAnsi="Times New Roman" w:eastAsia="微软雅黑"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类和I类；总磷平均浓度为0.036毫克/升，同比改善14.3%；总氮平均浓度为0.84毫克/升，同比改善31.1%；水质连续三年稳定达到</w:t>
            </w:r>
            <w:r>
              <w:rPr>
                <w:rFonts w:hint="default" w:ascii="Times New Roman" w:hAnsi="Times New Roman" w:eastAsia="微软雅黑"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类，为监测以来最优水平；综合营养状态指数为48.3，处于中营养状态。主要入湖河流望虞河水质稳定达到</w:t>
            </w:r>
            <w:r>
              <w:rPr>
                <w:rFonts w:hint="default" w:ascii="Times New Roman" w:hAnsi="Times New Roman" w:eastAsia="微软雅黑"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2025年3月至10月安全度夏期间，通过卫星遥感监测发现太湖（苏州辖区）共计出现蓝藻水华54次，同比增加14次，平均面积28平方千米，与2024年相比，平均发生面积上升28.4%。阳澄湖：2025年，国考断面阳澄湖心水质保持</w:t>
            </w:r>
            <w:r>
              <w:rPr>
                <w:rFonts w:hint="default" w:ascii="Times New Roman" w:hAnsi="Times New Roman" w:eastAsia="宋体" w:cs="Times New Roman"/>
                <w:color w:val="auto"/>
                <w:sz w:val="24"/>
                <w:highlight w:val="none"/>
              </w:rPr>
              <w:t>Ⅲ</w:t>
            </w:r>
            <w:r>
              <w:rPr>
                <w:rFonts w:hint="eastAsia" w:ascii="Times New Roman" w:hAnsi="Times New Roman" w:eastAsia="宋体" w:cs="Times New Roman"/>
                <w:color w:val="auto"/>
                <w:sz w:val="24"/>
                <w:highlight w:val="none"/>
                <w:lang w:val="en-US" w:eastAsia="zh-CN"/>
              </w:rPr>
              <w:t>类。高锰酸盐指数和氨氮平均浓度为3.6毫克/升和0.02毫克/升，保持在</w:t>
            </w:r>
            <w:r>
              <w:rPr>
                <w:rFonts w:hint="default" w:ascii="Times New Roman" w:hAnsi="Times New Roman" w:eastAsia="微软雅黑" w:cs="Times New Roman"/>
                <w:color w:val="auto"/>
                <w:sz w:val="24"/>
                <w:highlight w:val="none"/>
                <w:lang w:val="en-US" w:eastAsia="zh-CN"/>
              </w:rPr>
              <w:t>Ⅱ</w:t>
            </w:r>
            <w:r>
              <w:rPr>
                <w:rFonts w:hint="eastAsia" w:ascii="Times New Roman" w:hAnsi="Times New Roman" w:eastAsia="宋体" w:cs="Times New Roman"/>
                <w:color w:val="auto"/>
                <w:sz w:val="24"/>
                <w:highlight w:val="none"/>
                <w:lang w:val="en-US" w:eastAsia="zh-CN"/>
              </w:rPr>
              <w:t>类和I类；总磷平均浓度为0.048毫克/升，保持在</w:t>
            </w:r>
            <w:r>
              <w:rPr>
                <w:rFonts w:hint="default" w:ascii="Times New Roman" w:hAnsi="Times New Roman" w:eastAsia="宋体" w:cs="Times New Roman"/>
                <w:color w:val="auto"/>
                <w:sz w:val="24"/>
                <w:highlight w:val="none"/>
              </w:rPr>
              <w:t>Ⅲ</w:t>
            </w:r>
            <w:r>
              <w:rPr>
                <w:rFonts w:hint="eastAsia" w:ascii="Times New Roman" w:hAnsi="Times New Roman" w:eastAsia="宋体" w:cs="Times New Roman"/>
                <w:color w:val="auto"/>
                <w:sz w:val="24"/>
                <w:highlight w:val="none"/>
                <w:lang w:val="en-US" w:eastAsia="zh-CN"/>
              </w:rPr>
              <w:t>类；总氮平均浓度为1.62毫克/升；综合营养状态指数为54.1，处于轻度富营养状态。京杭大运河（苏州段）：2025年，京杭大运河</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苏州段</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沿线5个省考及以上监测断面水质均达到</w:t>
            </w:r>
            <w:r>
              <w:rPr>
                <w:rFonts w:hint="default" w:ascii="Times New Roman" w:hAnsi="Times New Roman" w:eastAsia="宋体" w:cs="Times New Roman"/>
                <w:color w:val="auto"/>
                <w:sz w:val="24"/>
                <w:highlight w:val="none"/>
              </w:rPr>
              <w:t>Ⅲ</w:t>
            </w:r>
            <w:r>
              <w:rPr>
                <w:rFonts w:hint="eastAsia" w:ascii="Times New Roman" w:hAnsi="Times New Roman" w:eastAsia="宋体" w:cs="Times New Roman"/>
                <w:color w:val="auto"/>
                <w:sz w:val="24"/>
                <w:highlight w:val="none"/>
                <w:lang w:val="en-US" w:eastAsia="zh-CN"/>
              </w:rPr>
              <w:t>类，同比持平。</w:t>
            </w:r>
          </w:p>
          <w:p w14:paraId="592B65CE">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根据《江苏省地表水（环境）功能区划（2021-2030）》的划分，本项目最终的污水受纳水体为入胜岸港，其水质执行《地表水环境质量标准》（GB</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3838-2002）中规定的</w:t>
            </w:r>
            <w:r>
              <w:rPr>
                <w:rFonts w:hint="default" w:ascii="Times New Roman" w:hAnsi="Times New Roman" w:eastAsia="宋体" w:cs="Times New Roman"/>
                <w:color w:val="auto"/>
                <w:sz w:val="24"/>
                <w:highlight w:val="none"/>
                <w:lang w:val="en-US" w:eastAsia="zh-CN"/>
              </w:rPr>
              <w:t>Ⅳ</w:t>
            </w:r>
            <w:r>
              <w:rPr>
                <w:rFonts w:hint="default" w:ascii="Times New Roman" w:hAnsi="Times New Roman" w:eastAsia="宋体" w:cs="Times New Roman"/>
                <w:color w:val="auto"/>
                <w:sz w:val="24"/>
                <w:szCs w:val="24"/>
                <w:highlight w:val="none"/>
              </w:rPr>
              <w:t>类水</w:t>
            </w:r>
            <w:r>
              <w:rPr>
                <w:rFonts w:hint="eastAsia" w:ascii="Times New Roman" w:hAnsi="Times New Roman" w:eastAsia="宋体" w:cs="Times New Roman"/>
                <w:color w:val="auto"/>
                <w:sz w:val="24"/>
                <w:szCs w:val="24"/>
                <w:highlight w:val="none"/>
                <w:lang w:val="en-US" w:eastAsia="zh-CN"/>
              </w:rPr>
              <w:t>质</w:t>
            </w:r>
            <w:r>
              <w:rPr>
                <w:rFonts w:hint="default" w:ascii="Times New Roman" w:hAnsi="Times New Roman" w:eastAsia="宋体" w:cs="Times New Roman"/>
                <w:color w:val="auto"/>
                <w:sz w:val="24"/>
                <w:szCs w:val="24"/>
                <w:highlight w:val="none"/>
              </w:rPr>
              <w:t>标准，具体数值见</w:t>
            </w:r>
            <w:r>
              <w:rPr>
                <w:rFonts w:hint="eastAsia" w:cs="Times New Roman"/>
                <w:color w:val="auto"/>
                <w:sz w:val="24"/>
                <w:szCs w:val="24"/>
                <w:highlight w:val="none"/>
                <w:lang w:val="en-US" w:eastAsia="zh-CN"/>
              </w:rPr>
              <w:t>下表</w:t>
            </w:r>
            <w:r>
              <w:rPr>
                <w:rFonts w:hint="default" w:ascii="Times New Roman" w:hAnsi="Times New Roman" w:eastAsia="宋体" w:cs="Times New Roman"/>
                <w:color w:val="auto"/>
                <w:sz w:val="24"/>
                <w:szCs w:val="24"/>
                <w:highlight w:val="none"/>
              </w:rPr>
              <w:t>。</w:t>
            </w:r>
          </w:p>
          <w:p w14:paraId="660A5988">
            <w:pPr>
              <w:numPr>
                <w:ilvl w:val="0"/>
                <w:numId w:val="5"/>
              </w:numPr>
              <w:adjustRightInd w:val="0"/>
              <w:snapToGrid w:val="0"/>
              <w:ind w:left="0" w:leftChars="0" w:firstLine="0" w:firstLineChars="0"/>
              <w:jc w:val="center"/>
              <w:rPr>
                <w:rFonts w:hint="eastAsia"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地表水环境质量标准</w:t>
            </w:r>
          </w:p>
          <w:tbl>
            <w:tblPr>
              <w:tblStyle w:val="22"/>
              <w:tblW w:w="5000"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2801"/>
              <w:gridCol w:w="3616"/>
              <w:gridCol w:w="2847"/>
            </w:tblGrid>
            <w:tr w14:paraId="4F37B7F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cantSplit/>
                <w:jc w:val="center"/>
              </w:trPr>
              <w:tc>
                <w:tcPr>
                  <w:tcW w:w="1511" w:type="pct"/>
                  <w:tcBorders>
                    <w:tl2br w:val="nil"/>
                    <w:tr2bl w:val="nil"/>
                  </w:tcBorders>
                  <w:vAlign w:val="center"/>
                </w:tcPr>
                <w:p w14:paraId="003A27CA">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污染物指标</w:t>
                  </w:r>
                </w:p>
              </w:tc>
              <w:tc>
                <w:tcPr>
                  <w:tcW w:w="1951" w:type="pct"/>
                  <w:tcBorders>
                    <w:tl2br w:val="nil"/>
                    <w:tr2bl w:val="nil"/>
                  </w:tcBorders>
                  <w:vAlign w:val="center"/>
                </w:tcPr>
                <w:p w14:paraId="0B0C67C9">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地表水水质标准（mg/L）</w:t>
                  </w:r>
                </w:p>
              </w:tc>
              <w:tc>
                <w:tcPr>
                  <w:tcW w:w="1536" w:type="pct"/>
                  <w:tcBorders>
                    <w:tl2br w:val="nil"/>
                    <w:tr2bl w:val="nil"/>
                  </w:tcBorders>
                  <w:vAlign w:val="center"/>
                </w:tcPr>
                <w:p w14:paraId="5464F5B0">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依据</w:t>
                  </w:r>
                </w:p>
              </w:tc>
            </w:tr>
            <w:tr w14:paraId="41F9017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11" w:type="pct"/>
                  <w:tcBorders>
                    <w:tl2br w:val="nil"/>
                    <w:tr2bl w:val="nil"/>
                  </w:tcBorders>
                  <w:vAlign w:val="center"/>
                </w:tcPr>
                <w:p w14:paraId="4F8A9B8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pH（无量纲）</w:t>
                  </w:r>
                </w:p>
              </w:tc>
              <w:tc>
                <w:tcPr>
                  <w:tcW w:w="1951" w:type="pct"/>
                  <w:tcBorders>
                    <w:tl2br w:val="nil"/>
                    <w:tr2bl w:val="nil"/>
                  </w:tcBorders>
                  <w:vAlign w:val="center"/>
                </w:tcPr>
                <w:p w14:paraId="3EC2730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9</w:t>
                  </w:r>
                </w:p>
              </w:tc>
              <w:tc>
                <w:tcPr>
                  <w:tcW w:w="1536" w:type="pct"/>
                  <w:vMerge w:val="restart"/>
                  <w:tcBorders>
                    <w:tl2br w:val="nil"/>
                    <w:tr2bl w:val="nil"/>
                  </w:tcBorders>
                  <w:vAlign w:val="center"/>
                </w:tcPr>
                <w:p w14:paraId="072EA83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《地表水环境质量标准》（GB</w:t>
                  </w:r>
                  <w:r>
                    <w:rPr>
                      <w:rFonts w:hint="eastAsia" w:ascii="Times New Roman" w:hAnsi="Times New Roman"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rPr>
                    <w:t>3838-2002）中Ⅳ类水</w:t>
                  </w:r>
                  <w:r>
                    <w:rPr>
                      <w:rFonts w:hint="default" w:ascii="Times New Roman" w:hAnsi="Times New Roman" w:eastAsia="仿宋" w:cs="Times New Roman"/>
                      <w:color w:val="auto"/>
                      <w:sz w:val="21"/>
                      <w:szCs w:val="21"/>
                      <w:highlight w:val="none"/>
                      <w:lang w:val="en-US" w:eastAsia="zh-CN"/>
                    </w:rPr>
                    <w:t>质</w:t>
                  </w:r>
                  <w:r>
                    <w:rPr>
                      <w:rFonts w:hint="default" w:ascii="Times New Roman" w:hAnsi="Times New Roman" w:eastAsia="仿宋" w:cs="Times New Roman"/>
                      <w:color w:val="auto"/>
                      <w:sz w:val="21"/>
                      <w:szCs w:val="21"/>
                      <w:highlight w:val="none"/>
                    </w:rPr>
                    <w:t>标准</w:t>
                  </w:r>
                </w:p>
              </w:tc>
            </w:tr>
            <w:tr w14:paraId="4EABA90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11" w:type="pct"/>
                  <w:tcBorders>
                    <w:tl2br w:val="nil"/>
                    <w:tr2bl w:val="nil"/>
                  </w:tcBorders>
                  <w:vAlign w:val="center"/>
                </w:tcPr>
                <w:p w14:paraId="797CFD9B">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化学需氧量</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COD</w:t>
                  </w:r>
                  <w:r>
                    <w:rPr>
                      <w:rFonts w:hint="default" w:ascii="Times New Roman" w:hAnsi="Times New Roman" w:eastAsia="仿宋" w:cs="Times New Roman"/>
                      <w:color w:val="auto"/>
                      <w:sz w:val="21"/>
                      <w:szCs w:val="21"/>
                      <w:highlight w:val="none"/>
                      <w:lang w:eastAsia="zh-CN"/>
                    </w:rPr>
                    <w:t>）</w:t>
                  </w:r>
                </w:p>
              </w:tc>
              <w:tc>
                <w:tcPr>
                  <w:tcW w:w="1951" w:type="pct"/>
                  <w:tcBorders>
                    <w:tl2br w:val="nil"/>
                    <w:tr2bl w:val="nil"/>
                  </w:tcBorders>
                  <w:vAlign w:val="center"/>
                </w:tcPr>
                <w:p w14:paraId="531006E3">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30</w:t>
                  </w:r>
                </w:p>
              </w:tc>
              <w:tc>
                <w:tcPr>
                  <w:tcW w:w="1536" w:type="pct"/>
                  <w:vMerge w:val="continue"/>
                  <w:tcBorders>
                    <w:tl2br w:val="nil"/>
                    <w:tr2bl w:val="nil"/>
                  </w:tcBorders>
                  <w:vAlign w:val="center"/>
                </w:tcPr>
                <w:p w14:paraId="72B909C8">
                  <w:pPr>
                    <w:pStyle w:val="29"/>
                    <w:rPr>
                      <w:rFonts w:hint="default" w:ascii="Times New Roman" w:hAnsi="Times New Roman" w:eastAsia="仿宋" w:cs="Times New Roman"/>
                      <w:color w:val="auto"/>
                      <w:sz w:val="21"/>
                      <w:szCs w:val="21"/>
                      <w:highlight w:val="none"/>
                    </w:rPr>
                  </w:pPr>
                </w:p>
              </w:tc>
            </w:tr>
            <w:tr w14:paraId="13C2300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11" w:type="pct"/>
                  <w:tcBorders>
                    <w:tl2br w:val="nil"/>
                    <w:tr2bl w:val="nil"/>
                  </w:tcBorders>
                  <w:vAlign w:val="center"/>
                </w:tcPr>
                <w:p w14:paraId="2FE918D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氨氮</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NH</w:t>
                  </w:r>
                  <w:r>
                    <w:rPr>
                      <w:rFonts w:hint="default" w:ascii="Times New Roman" w:hAnsi="Times New Roman" w:eastAsia="仿宋" w:cs="Times New Roman"/>
                      <w:color w:val="auto"/>
                      <w:sz w:val="21"/>
                      <w:szCs w:val="21"/>
                      <w:highlight w:val="none"/>
                      <w:vertAlign w:val="subscript"/>
                    </w:rPr>
                    <w:t>3</w:t>
                  </w:r>
                  <w:r>
                    <w:rPr>
                      <w:rFonts w:hint="default" w:ascii="Times New Roman" w:hAnsi="Times New Roman" w:eastAsia="仿宋" w:cs="Times New Roman"/>
                      <w:color w:val="auto"/>
                      <w:sz w:val="21"/>
                      <w:szCs w:val="21"/>
                      <w:highlight w:val="none"/>
                    </w:rPr>
                    <w:t>-N</w:t>
                  </w:r>
                  <w:r>
                    <w:rPr>
                      <w:rFonts w:hint="default" w:ascii="Times New Roman" w:hAnsi="Times New Roman" w:eastAsia="仿宋" w:cs="Times New Roman"/>
                      <w:color w:val="auto"/>
                      <w:sz w:val="21"/>
                      <w:szCs w:val="21"/>
                      <w:highlight w:val="none"/>
                      <w:lang w:eastAsia="zh-CN"/>
                    </w:rPr>
                    <w:t>）</w:t>
                  </w:r>
                </w:p>
              </w:tc>
              <w:tc>
                <w:tcPr>
                  <w:tcW w:w="1951" w:type="pct"/>
                  <w:tcBorders>
                    <w:tl2br w:val="nil"/>
                    <w:tr2bl w:val="nil"/>
                  </w:tcBorders>
                  <w:vAlign w:val="center"/>
                </w:tcPr>
                <w:p w14:paraId="7E6F1130">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1.5</w:t>
                  </w:r>
                </w:p>
              </w:tc>
              <w:tc>
                <w:tcPr>
                  <w:tcW w:w="1536" w:type="pct"/>
                  <w:vMerge w:val="continue"/>
                  <w:tcBorders>
                    <w:tl2br w:val="nil"/>
                    <w:tr2bl w:val="nil"/>
                  </w:tcBorders>
                  <w:vAlign w:val="center"/>
                </w:tcPr>
                <w:p w14:paraId="1BB7A391">
                  <w:pPr>
                    <w:pStyle w:val="29"/>
                    <w:rPr>
                      <w:rFonts w:hint="default" w:ascii="Times New Roman" w:hAnsi="Times New Roman" w:eastAsia="仿宋" w:cs="Times New Roman"/>
                      <w:color w:val="auto"/>
                      <w:sz w:val="21"/>
                      <w:szCs w:val="21"/>
                      <w:highlight w:val="none"/>
                    </w:rPr>
                  </w:pPr>
                </w:p>
              </w:tc>
            </w:tr>
            <w:tr w14:paraId="5C61199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11" w:type="pct"/>
                  <w:tcBorders>
                    <w:tl2br w:val="nil"/>
                    <w:tr2bl w:val="nil"/>
                  </w:tcBorders>
                  <w:vAlign w:val="center"/>
                </w:tcPr>
                <w:p w14:paraId="7B6F49F8">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总磷</w:t>
                  </w:r>
                </w:p>
              </w:tc>
              <w:tc>
                <w:tcPr>
                  <w:tcW w:w="1951" w:type="pct"/>
                  <w:tcBorders>
                    <w:tl2br w:val="nil"/>
                    <w:tr2bl w:val="nil"/>
                  </w:tcBorders>
                  <w:vAlign w:val="center"/>
                </w:tcPr>
                <w:p w14:paraId="5B555EAE">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w:t>
                  </w:r>
                  <w:r>
                    <w:rPr>
                      <w:rFonts w:hint="eastAsia" w:eastAsia="仿宋" w:cs="Times New Roman"/>
                      <w:color w:val="auto"/>
                      <w:sz w:val="21"/>
                      <w:szCs w:val="21"/>
                      <w:highlight w:val="none"/>
                      <w:lang w:val="en-US" w:eastAsia="zh-CN"/>
                    </w:rPr>
                    <w:t>3</w:t>
                  </w:r>
                </w:p>
              </w:tc>
              <w:tc>
                <w:tcPr>
                  <w:tcW w:w="1536" w:type="pct"/>
                  <w:vMerge w:val="continue"/>
                  <w:tcBorders>
                    <w:tl2br w:val="nil"/>
                    <w:tr2bl w:val="nil"/>
                  </w:tcBorders>
                  <w:vAlign w:val="center"/>
                </w:tcPr>
                <w:p w14:paraId="36054D71">
                  <w:pPr>
                    <w:pStyle w:val="29"/>
                    <w:rPr>
                      <w:rFonts w:hint="default" w:ascii="Times New Roman" w:hAnsi="Times New Roman" w:eastAsia="仿宋" w:cs="Times New Roman"/>
                      <w:color w:val="auto"/>
                      <w:sz w:val="21"/>
                      <w:szCs w:val="21"/>
                      <w:highlight w:val="none"/>
                    </w:rPr>
                  </w:pPr>
                </w:p>
              </w:tc>
            </w:tr>
          </w:tbl>
          <w:p w14:paraId="3CF378AC">
            <w:pPr>
              <w:spacing w:line="360" w:lineRule="auto"/>
              <w:ind w:firstLine="480" w:firstLineChars="200"/>
              <w:rPr>
                <w:rFonts w:hint="default"/>
                <w:color w:val="auto"/>
                <w:sz w:val="24"/>
                <w:highlight w:val="none"/>
              </w:rPr>
            </w:pPr>
            <w:r>
              <w:rPr>
                <w:rFonts w:hint="default"/>
                <w:color w:val="auto"/>
                <w:sz w:val="24"/>
                <w:highlight w:val="none"/>
              </w:rPr>
              <w:t>地表水环境质量现状监测引用《苏州领新智能科技有限公司电脑配件、汽车内饰件生产线技术改造项目环境影响报告书》中委托中新苏州工业园区清城环境发展有限公司于2024年6月4日~6月6日对苏州市相润排水管理有限公司（漕湖污水处理厂）排污口上游500m（W1）、下游500m（W2）和下游1400m（W3）三个监测断面的监测数据（检测报告编号：QCHJ202402252），从监测时间至今监测水体无重大污染源收纳的变化，监测结果具有可参考性，监测结果见下表。</w:t>
            </w:r>
          </w:p>
          <w:p w14:paraId="4686FD29">
            <w:pPr>
              <w:numPr>
                <w:ilvl w:val="0"/>
                <w:numId w:val="5"/>
              </w:numPr>
              <w:adjustRightInd w:val="0"/>
              <w:snapToGrid w:val="0"/>
              <w:ind w:left="0" w:leftChars="0" w:firstLine="0" w:firstLineChars="0"/>
              <w:jc w:val="center"/>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地表水水质监测断面基本信息</w:t>
            </w:r>
          </w:p>
          <w:tbl>
            <w:tblPr>
              <w:tblStyle w:val="23"/>
              <w:tblW w:w="4998"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241"/>
              <w:gridCol w:w="1336"/>
              <w:gridCol w:w="3682"/>
              <w:gridCol w:w="1570"/>
              <w:gridCol w:w="1431"/>
            </w:tblGrid>
            <w:tr w14:paraId="7BC55BA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0" w:type="pct"/>
                  <w:tcBorders>
                    <w:tl2br w:val="nil"/>
                    <w:tr2bl w:val="nil"/>
                  </w:tcBorders>
                  <w:noWrap w:val="0"/>
                  <w:vAlign w:val="center"/>
                </w:tcPr>
                <w:p w14:paraId="38EC7D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河流名称</w:t>
                  </w:r>
                </w:p>
              </w:tc>
              <w:tc>
                <w:tcPr>
                  <w:tcW w:w="721" w:type="pct"/>
                  <w:tcBorders>
                    <w:tl2br w:val="nil"/>
                    <w:tr2bl w:val="nil"/>
                  </w:tcBorders>
                  <w:noWrap w:val="0"/>
                  <w:vAlign w:val="center"/>
                </w:tcPr>
                <w:p w14:paraId="1B63E5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监测断面</w:t>
                  </w:r>
                </w:p>
              </w:tc>
              <w:tc>
                <w:tcPr>
                  <w:tcW w:w="1987" w:type="pct"/>
                  <w:tcBorders>
                    <w:tl2br w:val="nil"/>
                    <w:tr2bl w:val="nil"/>
                  </w:tcBorders>
                  <w:noWrap w:val="0"/>
                  <w:vAlign w:val="center"/>
                </w:tcPr>
                <w:p w14:paraId="76CA90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距排口距离</w:t>
                  </w:r>
                </w:p>
              </w:tc>
              <w:tc>
                <w:tcPr>
                  <w:tcW w:w="847" w:type="pct"/>
                  <w:tcBorders>
                    <w:tl2br w:val="nil"/>
                    <w:tr2bl w:val="nil"/>
                  </w:tcBorders>
                  <w:noWrap w:val="0"/>
                  <w:vAlign w:val="center"/>
                </w:tcPr>
                <w:p w14:paraId="7FAE97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监测因子</w:t>
                  </w:r>
                </w:p>
              </w:tc>
              <w:tc>
                <w:tcPr>
                  <w:tcW w:w="772" w:type="pct"/>
                  <w:tcBorders>
                    <w:tl2br w:val="nil"/>
                    <w:tr2bl w:val="nil"/>
                  </w:tcBorders>
                  <w:noWrap w:val="0"/>
                  <w:vAlign w:val="center"/>
                </w:tcPr>
                <w:p w14:paraId="42B03B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水功能环境</w:t>
                  </w:r>
                </w:p>
              </w:tc>
            </w:tr>
            <w:tr w14:paraId="7E07A12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0" w:type="pct"/>
                  <w:vMerge w:val="restart"/>
                  <w:tcBorders>
                    <w:tl2br w:val="nil"/>
                    <w:tr2bl w:val="nil"/>
                  </w:tcBorders>
                  <w:noWrap w:val="0"/>
                  <w:vAlign w:val="center"/>
                </w:tcPr>
                <w:p w14:paraId="26F8A2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胜岸港</w:t>
                  </w:r>
                </w:p>
              </w:tc>
              <w:tc>
                <w:tcPr>
                  <w:tcW w:w="721" w:type="pct"/>
                  <w:tcBorders>
                    <w:tl2br w:val="nil"/>
                    <w:tr2bl w:val="nil"/>
                  </w:tcBorders>
                  <w:noWrap w:val="0"/>
                  <w:vAlign w:val="center"/>
                </w:tcPr>
                <w:p w14:paraId="79EA0C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W1</w:t>
                  </w:r>
                </w:p>
              </w:tc>
              <w:tc>
                <w:tcPr>
                  <w:tcW w:w="1987" w:type="pct"/>
                  <w:tcBorders>
                    <w:tl2br w:val="nil"/>
                    <w:tr2bl w:val="nil"/>
                  </w:tcBorders>
                  <w:noWrap w:val="0"/>
                  <w:vAlign w:val="center"/>
                </w:tcPr>
                <w:p w14:paraId="2543C0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漕湖</w:t>
                  </w:r>
                  <w:r>
                    <w:rPr>
                      <w:rFonts w:hint="default" w:ascii="Times New Roman" w:hAnsi="Times New Roman" w:eastAsia="仿宋" w:cs="Times New Roman"/>
                      <w:color w:val="auto"/>
                      <w:sz w:val="21"/>
                      <w:szCs w:val="21"/>
                      <w:highlight w:val="none"/>
                      <w:vertAlign w:val="baseline"/>
                      <w:lang w:val="en-US" w:eastAsia="zh-CN"/>
                    </w:rPr>
                    <w:t>污水处理厂排污口上游500m</w:t>
                  </w:r>
                </w:p>
              </w:tc>
              <w:tc>
                <w:tcPr>
                  <w:tcW w:w="847" w:type="pct"/>
                  <w:vMerge w:val="restart"/>
                  <w:tcBorders>
                    <w:tl2br w:val="nil"/>
                    <w:tr2bl w:val="nil"/>
                  </w:tcBorders>
                  <w:noWrap w:val="0"/>
                  <w:vAlign w:val="center"/>
                </w:tcPr>
                <w:p w14:paraId="43EFEE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pH、COD、NH</w:t>
                  </w:r>
                  <w:r>
                    <w:rPr>
                      <w:rFonts w:hint="default" w:ascii="Times New Roman" w:hAnsi="Times New Roman" w:eastAsia="仿宋" w:cs="Times New Roman"/>
                      <w:color w:val="auto"/>
                      <w:sz w:val="21"/>
                      <w:szCs w:val="21"/>
                      <w:highlight w:val="none"/>
                      <w:vertAlign w:val="subscript"/>
                      <w:lang w:val="en-US" w:eastAsia="zh-CN"/>
                    </w:rPr>
                    <w:t>3</w:t>
                  </w:r>
                  <w:r>
                    <w:rPr>
                      <w:rFonts w:hint="default" w:ascii="Times New Roman" w:hAnsi="Times New Roman" w:eastAsia="仿宋" w:cs="Times New Roman"/>
                      <w:color w:val="auto"/>
                      <w:sz w:val="21"/>
                      <w:szCs w:val="21"/>
                      <w:highlight w:val="none"/>
                      <w:vertAlign w:val="baseline"/>
                      <w:lang w:val="en-US" w:eastAsia="zh-CN"/>
                    </w:rPr>
                    <w:t>-N、TP</w:t>
                  </w:r>
                </w:p>
              </w:tc>
              <w:tc>
                <w:tcPr>
                  <w:tcW w:w="772" w:type="pct"/>
                  <w:vMerge w:val="restart"/>
                  <w:tcBorders>
                    <w:tl2br w:val="nil"/>
                    <w:tr2bl w:val="nil"/>
                  </w:tcBorders>
                  <w:noWrap w:val="0"/>
                  <w:vAlign w:val="center"/>
                </w:tcPr>
                <w:p w14:paraId="65ADC0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rPr>
                    <w:t>Ⅳ</w:t>
                  </w:r>
                  <w:r>
                    <w:rPr>
                      <w:rFonts w:hint="default" w:ascii="Times New Roman" w:hAnsi="Times New Roman" w:eastAsia="仿宋" w:cs="Times New Roman"/>
                      <w:color w:val="auto"/>
                      <w:sz w:val="21"/>
                      <w:szCs w:val="21"/>
                      <w:highlight w:val="none"/>
                      <w:vertAlign w:val="baseline"/>
                      <w:lang w:val="en-US" w:eastAsia="zh-CN"/>
                    </w:rPr>
                    <w:t>类水</w:t>
                  </w:r>
                </w:p>
              </w:tc>
            </w:tr>
            <w:tr w14:paraId="7B68812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0" w:type="pct"/>
                  <w:vMerge w:val="continue"/>
                  <w:tcBorders>
                    <w:tl2br w:val="nil"/>
                    <w:tr2bl w:val="nil"/>
                  </w:tcBorders>
                  <w:noWrap w:val="0"/>
                  <w:vAlign w:val="center"/>
                </w:tcPr>
                <w:p w14:paraId="6A1F25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p>
              </w:tc>
              <w:tc>
                <w:tcPr>
                  <w:tcW w:w="721" w:type="pct"/>
                  <w:tcBorders>
                    <w:tl2br w:val="nil"/>
                    <w:tr2bl w:val="nil"/>
                  </w:tcBorders>
                  <w:noWrap w:val="0"/>
                  <w:vAlign w:val="center"/>
                </w:tcPr>
                <w:p w14:paraId="5FCAB2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W2</w:t>
                  </w:r>
                </w:p>
              </w:tc>
              <w:tc>
                <w:tcPr>
                  <w:tcW w:w="1987" w:type="pct"/>
                  <w:tcBorders>
                    <w:tl2br w:val="nil"/>
                    <w:tr2bl w:val="nil"/>
                  </w:tcBorders>
                  <w:noWrap w:val="0"/>
                  <w:vAlign w:val="center"/>
                </w:tcPr>
                <w:p w14:paraId="3ACDAA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漕湖</w:t>
                  </w:r>
                  <w:r>
                    <w:rPr>
                      <w:rFonts w:hint="default" w:ascii="Times New Roman" w:hAnsi="Times New Roman" w:eastAsia="仿宋" w:cs="Times New Roman"/>
                      <w:color w:val="auto"/>
                      <w:sz w:val="21"/>
                      <w:szCs w:val="21"/>
                      <w:highlight w:val="none"/>
                      <w:vertAlign w:val="baseline"/>
                      <w:lang w:val="en-US" w:eastAsia="zh-CN"/>
                    </w:rPr>
                    <w:t>污水处理厂排污口下游500m</w:t>
                  </w:r>
                </w:p>
              </w:tc>
              <w:tc>
                <w:tcPr>
                  <w:tcW w:w="847" w:type="pct"/>
                  <w:vMerge w:val="continue"/>
                  <w:tcBorders>
                    <w:tl2br w:val="nil"/>
                    <w:tr2bl w:val="nil"/>
                  </w:tcBorders>
                  <w:noWrap w:val="0"/>
                  <w:vAlign w:val="center"/>
                </w:tcPr>
                <w:p w14:paraId="676432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p>
              </w:tc>
              <w:tc>
                <w:tcPr>
                  <w:tcW w:w="772" w:type="pct"/>
                  <w:vMerge w:val="continue"/>
                  <w:tcBorders>
                    <w:tl2br w:val="nil"/>
                    <w:tr2bl w:val="nil"/>
                  </w:tcBorders>
                  <w:noWrap w:val="0"/>
                  <w:vAlign w:val="center"/>
                </w:tcPr>
                <w:p w14:paraId="6E32F4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rPr>
                  </w:pPr>
                </w:p>
              </w:tc>
            </w:tr>
            <w:tr w14:paraId="2894041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0" w:type="pct"/>
                  <w:vMerge w:val="continue"/>
                  <w:tcBorders>
                    <w:tl2br w:val="nil"/>
                    <w:tr2bl w:val="nil"/>
                  </w:tcBorders>
                  <w:noWrap w:val="0"/>
                  <w:vAlign w:val="center"/>
                </w:tcPr>
                <w:p w14:paraId="5C9571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p>
              </w:tc>
              <w:tc>
                <w:tcPr>
                  <w:tcW w:w="721" w:type="pct"/>
                  <w:tcBorders>
                    <w:tl2br w:val="nil"/>
                    <w:tr2bl w:val="nil"/>
                  </w:tcBorders>
                  <w:noWrap w:val="0"/>
                  <w:vAlign w:val="center"/>
                </w:tcPr>
                <w:p w14:paraId="3082DB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W3</w:t>
                  </w:r>
                </w:p>
              </w:tc>
              <w:tc>
                <w:tcPr>
                  <w:tcW w:w="1987" w:type="pct"/>
                  <w:tcBorders>
                    <w:tl2br w:val="nil"/>
                    <w:tr2bl w:val="nil"/>
                  </w:tcBorders>
                  <w:noWrap w:val="0"/>
                  <w:vAlign w:val="center"/>
                </w:tcPr>
                <w:p w14:paraId="2B239E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漕湖</w:t>
                  </w:r>
                  <w:r>
                    <w:rPr>
                      <w:rFonts w:hint="default" w:ascii="Times New Roman" w:hAnsi="Times New Roman" w:eastAsia="仿宋" w:cs="Times New Roman"/>
                      <w:color w:val="auto"/>
                      <w:sz w:val="21"/>
                      <w:szCs w:val="21"/>
                      <w:highlight w:val="none"/>
                      <w:vertAlign w:val="baseline"/>
                      <w:lang w:val="en-US" w:eastAsia="zh-CN"/>
                    </w:rPr>
                    <w:t>污水处理厂排污口下</w:t>
                  </w:r>
                  <w:r>
                    <w:rPr>
                      <w:rFonts w:hint="eastAsia" w:eastAsia="仿宋" w:cs="Times New Roman"/>
                      <w:color w:val="auto"/>
                      <w:sz w:val="21"/>
                      <w:szCs w:val="21"/>
                      <w:highlight w:val="none"/>
                      <w:vertAlign w:val="baseline"/>
                      <w:lang w:val="en-US" w:eastAsia="zh-CN"/>
                    </w:rPr>
                    <w:t>14</w:t>
                  </w:r>
                  <w:r>
                    <w:rPr>
                      <w:rFonts w:hint="default" w:ascii="Times New Roman" w:hAnsi="Times New Roman" w:eastAsia="仿宋" w:cs="Times New Roman"/>
                      <w:color w:val="auto"/>
                      <w:sz w:val="21"/>
                      <w:szCs w:val="21"/>
                      <w:highlight w:val="none"/>
                      <w:vertAlign w:val="baseline"/>
                      <w:lang w:val="en-US" w:eastAsia="zh-CN"/>
                    </w:rPr>
                    <w:t>00m</w:t>
                  </w:r>
                </w:p>
              </w:tc>
              <w:tc>
                <w:tcPr>
                  <w:tcW w:w="847" w:type="pct"/>
                  <w:vMerge w:val="continue"/>
                  <w:tcBorders>
                    <w:tl2br w:val="nil"/>
                    <w:tr2bl w:val="nil"/>
                  </w:tcBorders>
                  <w:noWrap w:val="0"/>
                  <w:vAlign w:val="center"/>
                </w:tcPr>
                <w:p w14:paraId="44429F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p>
              </w:tc>
              <w:tc>
                <w:tcPr>
                  <w:tcW w:w="772" w:type="pct"/>
                  <w:vMerge w:val="continue"/>
                  <w:tcBorders>
                    <w:tl2br w:val="nil"/>
                    <w:tr2bl w:val="nil"/>
                  </w:tcBorders>
                  <w:noWrap w:val="0"/>
                  <w:vAlign w:val="center"/>
                </w:tcPr>
                <w:p w14:paraId="5EFCC0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rPr>
                  </w:pPr>
                </w:p>
              </w:tc>
            </w:tr>
          </w:tbl>
          <w:p w14:paraId="1639F2EC">
            <w:pPr>
              <w:keepNext w:val="0"/>
              <w:keepLines w:val="0"/>
              <w:pageBreakBefore w:val="0"/>
              <w:widowControl w:val="0"/>
              <w:kinsoku/>
              <w:wordWrap/>
              <w:overflowPunct/>
              <w:topLinePunct w:val="0"/>
              <w:autoSpaceDE/>
              <w:autoSpaceDN/>
              <w:bidi w:val="0"/>
              <w:adjustRightInd/>
              <w:snapToGrid/>
              <w:spacing w:line="360" w:lineRule="auto"/>
              <w:ind w:firstLine="456" w:firstLineChars="200"/>
              <w:jc w:val="both"/>
              <w:textAlignment w:val="auto"/>
              <w:rPr>
                <w:rFonts w:hint="eastAsia" w:ascii="Times New Roman" w:hAnsi="Times New Roman" w:cs="Times New Roman"/>
                <w:b/>
                <w:bCs/>
                <w:color w:val="auto"/>
                <w:spacing w:val="-6"/>
                <w:sz w:val="21"/>
                <w:highlight w:val="none"/>
                <w:u w:val="none"/>
                <w:lang w:val="en-US" w:eastAsia="zh-CN"/>
              </w:rPr>
            </w:pPr>
            <w:r>
              <w:rPr>
                <w:rFonts w:hint="eastAsia" w:ascii="Times New Roman" w:hAnsi="Times New Roman" w:cs="Times New Roman"/>
                <w:b w:val="0"/>
                <w:bCs w:val="0"/>
                <w:color w:val="auto"/>
                <w:spacing w:val="-6"/>
                <w:sz w:val="24"/>
                <w:highlight w:val="none"/>
                <w:u w:val="none"/>
                <w:lang w:val="en-US" w:eastAsia="zh-CN"/>
              </w:rPr>
              <w:t>地表水环境质量现状监测结果见下表。</w:t>
            </w:r>
          </w:p>
          <w:p w14:paraId="56C2B7F5">
            <w:pPr>
              <w:numPr>
                <w:ilvl w:val="0"/>
                <w:numId w:val="5"/>
              </w:numPr>
              <w:adjustRightInd w:val="0"/>
              <w:snapToGrid w:val="0"/>
              <w:ind w:left="0" w:leftChars="0" w:firstLine="0" w:firstLineChars="0"/>
              <w:jc w:val="center"/>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地表水环境质量现状监测及评价结果（单位：mg/L，pH无量纲）</w:t>
            </w:r>
          </w:p>
          <w:tbl>
            <w:tblPr>
              <w:tblStyle w:val="23"/>
              <w:tblW w:w="4996"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1128"/>
              <w:gridCol w:w="1402"/>
              <w:gridCol w:w="1484"/>
              <w:gridCol w:w="1256"/>
              <w:gridCol w:w="1384"/>
              <w:gridCol w:w="1497"/>
            </w:tblGrid>
            <w:tr w14:paraId="1904B0E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tcBorders>
                    <w:tl2br w:val="nil"/>
                    <w:tr2bl w:val="nil"/>
                  </w:tcBorders>
                  <w:noWrap w:val="0"/>
                  <w:vAlign w:val="center"/>
                </w:tcPr>
                <w:p w14:paraId="13EED5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河流名称</w:t>
                  </w:r>
                </w:p>
              </w:tc>
              <w:tc>
                <w:tcPr>
                  <w:tcW w:w="609" w:type="pct"/>
                  <w:tcBorders>
                    <w:tl2br w:val="nil"/>
                    <w:tr2bl w:val="nil"/>
                  </w:tcBorders>
                  <w:noWrap w:val="0"/>
                  <w:vAlign w:val="center"/>
                </w:tcPr>
                <w:p w14:paraId="198F96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监测断面</w:t>
                  </w:r>
                </w:p>
              </w:tc>
              <w:tc>
                <w:tcPr>
                  <w:tcW w:w="756" w:type="pct"/>
                  <w:tcBorders>
                    <w:tl2br w:val="nil"/>
                    <w:tr2bl w:val="nil"/>
                  </w:tcBorders>
                  <w:noWrap w:val="0"/>
                  <w:vAlign w:val="center"/>
                </w:tcPr>
                <w:p w14:paraId="14B107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项目</w:t>
                  </w:r>
                </w:p>
              </w:tc>
              <w:tc>
                <w:tcPr>
                  <w:tcW w:w="801" w:type="pct"/>
                  <w:tcBorders>
                    <w:tl2br w:val="nil"/>
                    <w:tr2bl w:val="nil"/>
                  </w:tcBorders>
                  <w:noWrap w:val="0"/>
                  <w:vAlign w:val="center"/>
                </w:tcPr>
                <w:p w14:paraId="3572F9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pH值</w:t>
                  </w:r>
                </w:p>
              </w:tc>
              <w:tc>
                <w:tcPr>
                  <w:tcW w:w="678" w:type="pct"/>
                  <w:tcBorders>
                    <w:tl2br w:val="nil"/>
                    <w:tr2bl w:val="nil"/>
                  </w:tcBorders>
                  <w:noWrap w:val="0"/>
                  <w:vAlign w:val="center"/>
                </w:tcPr>
                <w:p w14:paraId="1AE2AB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COD</w:t>
                  </w:r>
                </w:p>
              </w:tc>
              <w:tc>
                <w:tcPr>
                  <w:tcW w:w="747" w:type="pct"/>
                  <w:tcBorders>
                    <w:tl2br w:val="nil"/>
                    <w:tr2bl w:val="nil"/>
                  </w:tcBorders>
                  <w:noWrap w:val="0"/>
                  <w:vAlign w:val="center"/>
                </w:tcPr>
                <w:p w14:paraId="78AE62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NH</w:t>
                  </w:r>
                  <w:r>
                    <w:rPr>
                      <w:rFonts w:hint="default" w:ascii="Times New Roman" w:hAnsi="Times New Roman" w:eastAsia="仿宋" w:cs="Times New Roman"/>
                      <w:b/>
                      <w:bCs/>
                      <w:color w:val="auto"/>
                      <w:spacing w:val="-6"/>
                      <w:sz w:val="21"/>
                      <w:szCs w:val="21"/>
                      <w:highlight w:val="none"/>
                      <w:u w:val="none"/>
                      <w:vertAlign w:val="subscript"/>
                      <w:lang w:val="en-US" w:eastAsia="zh-CN"/>
                    </w:rPr>
                    <w:t>3</w:t>
                  </w:r>
                  <w:r>
                    <w:rPr>
                      <w:rFonts w:hint="default" w:ascii="Times New Roman" w:hAnsi="Times New Roman" w:eastAsia="仿宋" w:cs="Times New Roman"/>
                      <w:b/>
                      <w:bCs/>
                      <w:color w:val="auto"/>
                      <w:spacing w:val="-6"/>
                      <w:sz w:val="21"/>
                      <w:szCs w:val="21"/>
                      <w:highlight w:val="none"/>
                      <w:u w:val="none"/>
                      <w:vertAlign w:val="baseline"/>
                      <w:lang w:val="en-US" w:eastAsia="zh-CN"/>
                    </w:rPr>
                    <w:t>-N</w:t>
                  </w:r>
                </w:p>
              </w:tc>
              <w:tc>
                <w:tcPr>
                  <w:tcW w:w="808" w:type="pct"/>
                  <w:tcBorders>
                    <w:tl2br w:val="nil"/>
                    <w:tr2bl w:val="nil"/>
                  </w:tcBorders>
                  <w:noWrap w:val="0"/>
                  <w:vAlign w:val="center"/>
                </w:tcPr>
                <w:p w14:paraId="646776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TP</w:t>
                  </w:r>
                </w:p>
              </w:tc>
            </w:tr>
            <w:tr w14:paraId="2CF22B0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Merge w:val="restart"/>
                  <w:tcBorders>
                    <w:tl2br w:val="nil"/>
                    <w:tr2bl w:val="nil"/>
                  </w:tcBorders>
                  <w:noWrap w:val="0"/>
                  <w:vAlign w:val="center"/>
                </w:tcPr>
                <w:p w14:paraId="0D74FE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胜岸港</w:t>
                  </w:r>
                </w:p>
              </w:tc>
              <w:tc>
                <w:tcPr>
                  <w:tcW w:w="609" w:type="pct"/>
                  <w:tcBorders>
                    <w:tl2br w:val="nil"/>
                    <w:tr2bl w:val="nil"/>
                  </w:tcBorders>
                  <w:noWrap w:val="0"/>
                  <w:vAlign w:val="center"/>
                </w:tcPr>
                <w:p w14:paraId="217654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W1</w:t>
                  </w:r>
                </w:p>
              </w:tc>
              <w:tc>
                <w:tcPr>
                  <w:tcW w:w="756" w:type="pct"/>
                  <w:tcBorders>
                    <w:tl2br w:val="nil"/>
                    <w:tr2bl w:val="nil"/>
                  </w:tcBorders>
                  <w:noWrap w:val="0"/>
                  <w:vAlign w:val="center"/>
                </w:tcPr>
                <w:p w14:paraId="50D6BE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范围</w:t>
                  </w:r>
                </w:p>
              </w:tc>
              <w:tc>
                <w:tcPr>
                  <w:tcW w:w="801" w:type="pct"/>
                  <w:tcBorders>
                    <w:tl2br w:val="nil"/>
                    <w:tr2bl w:val="nil"/>
                  </w:tcBorders>
                  <w:noWrap w:val="0"/>
                  <w:vAlign w:val="center"/>
                </w:tcPr>
                <w:p w14:paraId="40EFBB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7.9-8.1</w:t>
                  </w:r>
                </w:p>
              </w:tc>
              <w:tc>
                <w:tcPr>
                  <w:tcW w:w="678" w:type="pct"/>
                  <w:tcBorders>
                    <w:tl2br w:val="nil"/>
                    <w:tr2bl w:val="nil"/>
                  </w:tcBorders>
                  <w:noWrap w:val="0"/>
                  <w:vAlign w:val="center"/>
                </w:tcPr>
                <w:p w14:paraId="2F1B7F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8-24</w:t>
                  </w:r>
                </w:p>
              </w:tc>
              <w:tc>
                <w:tcPr>
                  <w:tcW w:w="747" w:type="pct"/>
                  <w:tcBorders>
                    <w:tl2br w:val="nil"/>
                    <w:tr2bl w:val="nil"/>
                  </w:tcBorders>
                  <w:noWrap w:val="0"/>
                  <w:vAlign w:val="center"/>
                </w:tcPr>
                <w:p w14:paraId="46BFB6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0.28-0.31</w:t>
                  </w:r>
                </w:p>
              </w:tc>
              <w:tc>
                <w:tcPr>
                  <w:tcW w:w="808" w:type="pct"/>
                  <w:tcBorders>
                    <w:tl2br w:val="nil"/>
                    <w:tr2bl w:val="nil"/>
                  </w:tcBorders>
                  <w:noWrap w:val="0"/>
                  <w:vAlign w:val="center"/>
                </w:tcPr>
                <w:p w14:paraId="5C08CE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0.03-0.05</w:t>
                  </w:r>
                </w:p>
              </w:tc>
            </w:tr>
            <w:tr w14:paraId="6471733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Merge w:val="continue"/>
                  <w:tcBorders>
                    <w:tl2br w:val="nil"/>
                    <w:tr2bl w:val="nil"/>
                  </w:tcBorders>
                  <w:noWrap w:val="0"/>
                  <w:vAlign w:val="center"/>
                </w:tcPr>
                <w:p w14:paraId="671709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rPr>
                  </w:pPr>
                </w:p>
              </w:tc>
              <w:tc>
                <w:tcPr>
                  <w:tcW w:w="609" w:type="pct"/>
                  <w:tcBorders>
                    <w:tl2br w:val="nil"/>
                    <w:tr2bl w:val="nil"/>
                  </w:tcBorders>
                  <w:noWrap w:val="0"/>
                  <w:vAlign w:val="center"/>
                </w:tcPr>
                <w:p w14:paraId="2DCE91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W2</w:t>
                  </w:r>
                </w:p>
              </w:tc>
              <w:tc>
                <w:tcPr>
                  <w:tcW w:w="756" w:type="pct"/>
                  <w:tcBorders>
                    <w:tl2br w:val="nil"/>
                    <w:tr2bl w:val="nil"/>
                  </w:tcBorders>
                  <w:noWrap w:val="0"/>
                  <w:vAlign w:val="center"/>
                </w:tcPr>
                <w:p w14:paraId="352C89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kern w:val="2"/>
                      <w:sz w:val="21"/>
                      <w:szCs w:val="21"/>
                      <w:highlight w:val="none"/>
                      <w:u w:val="none"/>
                      <w:vertAlign w:val="baseline"/>
                      <w:lang w:val="en-US" w:eastAsia="zh-CN" w:bidi="ar-SA"/>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范围</w:t>
                  </w:r>
                </w:p>
              </w:tc>
              <w:tc>
                <w:tcPr>
                  <w:tcW w:w="801" w:type="pct"/>
                  <w:tcBorders>
                    <w:tl2br w:val="nil"/>
                    <w:tr2bl w:val="nil"/>
                  </w:tcBorders>
                  <w:noWrap w:val="0"/>
                  <w:vAlign w:val="center"/>
                </w:tcPr>
                <w:p w14:paraId="1CCCDC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7.9-8.1</w:t>
                  </w:r>
                </w:p>
              </w:tc>
              <w:tc>
                <w:tcPr>
                  <w:tcW w:w="678" w:type="pct"/>
                  <w:tcBorders>
                    <w:tl2br w:val="nil"/>
                    <w:tr2bl w:val="nil"/>
                  </w:tcBorders>
                  <w:noWrap w:val="0"/>
                  <w:vAlign w:val="center"/>
                </w:tcPr>
                <w:p w14:paraId="798BA8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8-25</w:t>
                  </w:r>
                </w:p>
              </w:tc>
              <w:tc>
                <w:tcPr>
                  <w:tcW w:w="747" w:type="pct"/>
                  <w:tcBorders>
                    <w:tl2br w:val="nil"/>
                    <w:tr2bl w:val="nil"/>
                  </w:tcBorders>
                  <w:noWrap w:val="0"/>
                  <w:vAlign w:val="center"/>
                </w:tcPr>
                <w:p w14:paraId="2AD437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0.27-0.31</w:t>
                  </w:r>
                </w:p>
              </w:tc>
              <w:tc>
                <w:tcPr>
                  <w:tcW w:w="808" w:type="pct"/>
                  <w:tcBorders>
                    <w:tl2br w:val="nil"/>
                    <w:tr2bl w:val="nil"/>
                  </w:tcBorders>
                  <w:noWrap w:val="0"/>
                  <w:vAlign w:val="center"/>
                </w:tcPr>
                <w:p w14:paraId="4F4536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0.05-0.06</w:t>
                  </w:r>
                </w:p>
              </w:tc>
            </w:tr>
            <w:tr w14:paraId="6053B63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Merge w:val="continue"/>
                  <w:tcBorders>
                    <w:tl2br w:val="nil"/>
                    <w:tr2bl w:val="nil"/>
                  </w:tcBorders>
                  <w:noWrap w:val="0"/>
                  <w:vAlign w:val="center"/>
                </w:tcPr>
                <w:p w14:paraId="7637E7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rPr>
                  </w:pPr>
                </w:p>
              </w:tc>
              <w:tc>
                <w:tcPr>
                  <w:tcW w:w="609" w:type="pct"/>
                  <w:tcBorders>
                    <w:tl2br w:val="nil"/>
                    <w:tr2bl w:val="nil"/>
                  </w:tcBorders>
                  <w:noWrap w:val="0"/>
                  <w:vAlign w:val="center"/>
                </w:tcPr>
                <w:p w14:paraId="47132C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W3</w:t>
                  </w:r>
                </w:p>
              </w:tc>
              <w:tc>
                <w:tcPr>
                  <w:tcW w:w="756" w:type="pct"/>
                  <w:tcBorders>
                    <w:tl2br w:val="nil"/>
                    <w:tr2bl w:val="nil"/>
                  </w:tcBorders>
                  <w:noWrap w:val="0"/>
                  <w:vAlign w:val="center"/>
                </w:tcPr>
                <w:p w14:paraId="2FA4D4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kern w:val="2"/>
                      <w:sz w:val="21"/>
                      <w:szCs w:val="21"/>
                      <w:highlight w:val="none"/>
                      <w:u w:val="none"/>
                      <w:vertAlign w:val="baseline"/>
                      <w:lang w:val="en-US" w:eastAsia="zh-CN" w:bidi="ar-SA"/>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范围</w:t>
                  </w:r>
                </w:p>
              </w:tc>
              <w:tc>
                <w:tcPr>
                  <w:tcW w:w="801" w:type="pct"/>
                  <w:tcBorders>
                    <w:tl2br w:val="nil"/>
                    <w:tr2bl w:val="nil"/>
                  </w:tcBorders>
                  <w:noWrap w:val="0"/>
                  <w:vAlign w:val="center"/>
                </w:tcPr>
                <w:p w14:paraId="3238F8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7.9-8.0</w:t>
                  </w:r>
                </w:p>
              </w:tc>
              <w:tc>
                <w:tcPr>
                  <w:tcW w:w="678" w:type="pct"/>
                  <w:tcBorders>
                    <w:tl2br w:val="nil"/>
                    <w:tr2bl w:val="nil"/>
                  </w:tcBorders>
                  <w:noWrap w:val="0"/>
                  <w:vAlign w:val="center"/>
                </w:tcPr>
                <w:p w14:paraId="389D1C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8-24</w:t>
                  </w:r>
                </w:p>
              </w:tc>
              <w:tc>
                <w:tcPr>
                  <w:tcW w:w="747" w:type="pct"/>
                  <w:tcBorders>
                    <w:tl2br w:val="nil"/>
                    <w:tr2bl w:val="nil"/>
                  </w:tcBorders>
                  <w:noWrap w:val="0"/>
                  <w:vAlign w:val="center"/>
                </w:tcPr>
                <w:p w14:paraId="575389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0.27-0.31</w:t>
                  </w:r>
                </w:p>
              </w:tc>
              <w:tc>
                <w:tcPr>
                  <w:tcW w:w="808" w:type="pct"/>
                  <w:tcBorders>
                    <w:tl2br w:val="nil"/>
                    <w:tr2bl w:val="nil"/>
                  </w:tcBorders>
                  <w:noWrap w:val="0"/>
                  <w:vAlign w:val="center"/>
                </w:tcPr>
                <w:p w14:paraId="497D7B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0.04-0.06</w:t>
                  </w:r>
                </w:p>
              </w:tc>
            </w:tr>
            <w:tr w14:paraId="566806E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63" w:type="pct"/>
                  <w:gridSpan w:val="3"/>
                  <w:tcBorders>
                    <w:tl2br w:val="nil"/>
                    <w:tr2bl w:val="nil"/>
                  </w:tcBorders>
                  <w:noWrap w:val="0"/>
                  <w:vAlign w:val="center"/>
                </w:tcPr>
                <w:p w14:paraId="273A17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rPr>
                  </w:pPr>
                  <w:r>
                    <w:rPr>
                      <w:rFonts w:hint="default" w:ascii="Times New Roman" w:hAnsi="Times New Roman" w:eastAsia="仿宋" w:cs="Times New Roman"/>
                      <w:color w:val="auto"/>
                      <w:sz w:val="21"/>
                      <w:szCs w:val="21"/>
                      <w:highlight w:val="none"/>
                      <w:vertAlign w:val="baseline"/>
                      <w:lang w:val="en-US" w:eastAsia="zh-CN"/>
                    </w:rPr>
                    <w:t>Ⅲ类标准</w:t>
                  </w:r>
                </w:p>
              </w:tc>
              <w:tc>
                <w:tcPr>
                  <w:tcW w:w="801" w:type="pct"/>
                  <w:tcBorders>
                    <w:tl2br w:val="nil"/>
                    <w:tr2bl w:val="nil"/>
                  </w:tcBorders>
                  <w:noWrap w:val="0"/>
                  <w:vAlign w:val="center"/>
                </w:tcPr>
                <w:p w14:paraId="4C92B6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6-9</w:t>
                  </w:r>
                </w:p>
              </w:tc>
              <w:tc>
                <w:tcPr>
                  <w:tcW w:w="678" w:type="pct"/>
                  <w:tcBorders>
                    <w:tl2br w:val="nil"/>
                    <w:tr2bl w:val="nil"/>
                  </w:tcBorders>
                  <w:noWrap w:val="0"/>
                  <w:vAlign w:val="center"/>
                </w:tcPr>
                <w:p w14:paraId="35F339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rPr>
                    <w:t>≤</w:t>
                  </w:r>
                  <w:r>
                    <w:rPr>
                      <w:rFonts w:hint="eastAsia" w:eastAsia="仿宋" w:cs="Times New Roman"/>
                      <w:b w:val="0"/>
                      <w:bCs w:val="0"/>
                      <w:color w:val="auto"/>
                      <w:spacing w:val="-6"/>
                      <w:sz w:val="21"/>
                      <w:szCs w:val="21"/>
                      <w:highlight w:val="none"/>
                      <w:u w:val="none"/>
                      <w:vertAlign w:val="baseline"/>
                      <w:lang w:val="en-US" w:eastAsia="zh-CN"/>
                    </w:rPr>
                    <w:t>30</w:t>
                  </w:r>
                </w:p>
              </w:tc>
              <w:tc>
                <w:tcPr>
                  <w:tcW w:w="747" w:type="pct"/>
                  <w:tcBorders>
                    <w:tl2br w:val="nil"/>
                    <w:tr2bl w:val="nil"/>
                  </w:tcBorders>
                  <w:noWrap w:val="0"/>
                  <w:vAlign w:val="center"/>
                </w:tcPr>
                <w:p w14:paraId="1E9F3E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rPr>
                    <w:t>≤</w:t>
                  </w:r>
                  <w:r>
                    <w:rPr>
                      <w:rFonts w:hint="default" w:ascii="Times New Roman" w:hAnsi="Times New Roman" w:eastAsia="仿宋" w:cs="Times New Roman"/>
                      <w:b w:val="0"/>
                      <w:bCs w:val="0"/>
                      <w:color w:val="auto"/>
                      <w:spacing w:val="-6"/>
                      <w:sz w:val="21"/>
                      <w:szCs w:val="21"/>
                      <w:highlight w:val="none"/>
                      <w:u w:val="none"/>
                      <w:vertAlign w:val="baseline"/>
                      <w:lang w:val="en-US" w:eastAsia="zh-CN"/>
                    </w:rPr>
                    <w:t>1.</w:t>
                  </w:r>
                  <w:r>
                    <w:rPr>
                      <w:rFonts w:hint="eastAsia" w:eastAsia="仿宋" w:cs="Times New Roman"/>
                      <w:b w:val="0"/>
                      <w:bCs w:val="0"/>
                      <w:color w:val="auto"/>
                      <w:spacing w:val="-6"/>
                      <w:sz w:val="21"/>
                      <w:szCs w:val="21"/>
                      <w:highlight w:val="none"/>
                      <w:u w:val="none"/>
                      <w:vertAlign w:val="baseline"/>
                      <w:lang w:val="en-US" w:eastAsia="zh-CN"/>
                    </w:rPr>
                    <w:t>5</w:t>
                  </w:r>
                </w:p>
              </w:tc>
              <w:tc>
                <w:tcPr>
                  <w:tcW w:w="808" w:type="pct"/>
                  <w:tcBorders>
                    <w:tl2br w:val="nil"/>
                    <w:tr2bl w:val="nil"/>
                  </w:tcBorders>
                  <w:noWrap w:val="0"/>
                  <w:vAlign w:val="center"/>
                </w:tcPr>
                <w:p w14:paraId="757663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rPr>
                    <w:t>≤</w:t>
                  </w:r>
                  <w:r>
                    <w:rPr>
                      <w:rFonts w:hint="default" w:ascii="Times New Roman" w:hAnsi="Times New Roman" w:eastAsia="仿宋" w:cs="Times New Roman"/>
                      <w:b w:val="0"/>
                      <w:bCs w:val="0"/>
                      <w:color w:val="auto"/>
                      <w:spacing w:val="-6"/>
                      <w:sz w:val="21"/>
                      <w:szCs w:val="21"/>
                      <w:highlight w:val="none"/>
                      <w:u w:val="none"/>
                      <w:vertAlign w:val="baseline"/>
                      <w:lang w:val="en-US" w:eastAsia="zh-CN"/>
                    </w:rPr>
                    <w:t>0.</w:t>
                  </w:r>
                  <w:r>
                    <w:rPr>
                      <w:rFonts w:hint="eastAsia" w:eastAsia="仿宋" w:cs="Times New Roman"/>
                      <w:b w:val="0"/>
                      <w:bCs w:val="0"/>
                      <w:color w:val="auto"/>
                      <w:spacing w:val="-6"/>
                      <w:sz w:val="21"/>
                      <w:szCs w:val="21"/>
                      <w:highlight w:val="none"/>
                      <w:u w:val="none"/>
                      <w:vertAlign w:val="baseline"/>
                      <w:lang w:val="en-US" w:eastAsia="zh-CN"/>
                    </w:rPr>
                    <w:t>3</w:t>
                  </w:r>
                </w:p>
              </w:tc>
            </w:tr>
            <w:tr w14:paraId="424C043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63" w:type="pct"/>
                  <w:gridSpan w:val="3"/>
                  <w:tcBorders>
                    <w:tl2br w:val="nil"/>
                    <w:tr2bl w:val="nil"/>
                  </w:tcBorders>
                  <w:noWrap w:val="0"/>
                  <w:vAlign w:val="center"/>
                </w:tcPr>
                <w:p w14:paraId="69F6E3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eastAsia" w:eastAsia="仿宋" w:cs="Times New Roman"/>
                      <w:color w:val="auto"/>
                      <w:sz w:val="21"/>
                      <w:szCs w:val="21"/>
                      <w:highlight w:val="none"/>
                      <w:vertAlign w:val="baseline"/>
                      <w:lang w:val="en-US" w:eastAsia="zh-CN"/>
                    </w:rPr>
                    <w:t>达标情况</w:t>
                  </w:r>
                </w:p>
              </w:tc>
              <w:tc>
                <w:tcPr>
                  <w:tcW w:w="801" w:type="pct"/>
                  <w:tcBorders>
                    <w:tl2br w:val="nil"/>
                    <w:tr2bl w:val="nil"/>
                  </w:tcBorders>
                  <w:noWrap w:val="0"/>
                  <w:vAlign w:val="center"/>
                </w:tcPr>
                <w:p w14:paraId="1E21E0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达标</w:t>
                  </w:r>
                </w:p>
              </w:tc>
              <w:tc>
                <w:tcPr>
                  <w:tcW w:w="678" w:type="pct"/>
                  <w:tcBorders>
                    <w:tl2br w:val="nil"/>
                    <w:tr2bl w:val="nil"/>
                  </w:tcBorders>
                  <w:noWrap w:val="0"/>
                  <w:vAlign w:val="center"/>
                </w:tcPr>
                <w:p w14:paraId="27C50F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达标</w:t>
                  </w:r>
                </w:p>
              </w:tc>
              <w:tc>
                <w:tcPr>
                  <w:tcW w:w="747" w:type="pct"/>
                  <w:tcBorders>
                    <w:tl2br w:val="nil"/>
                    <w:tr2bl w:val="nil"/>
                  </w:tcBorders>
                  <w:noWrap w:val="0"/>
                  <w:vAlign w:val="center"/>
                </w:tcPr>
                <w:p w14:paraId="7272DC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达标</w:t>
                  </w:r>
                </w:p>
              </w:tc>
              <w:tc>
                <w:tcPr>
                  <w:tcW w:w="808" w:type="pct"/>
                  <w:tcBorders>
                    <w:tl2br w:val="nil"/>
                    <w:tr2bl w:val="nil"/>
                  </w:tcBorders>
                  <w:noWrap w:val="0"/>
                  <w:vAlign w:val="center"/>
                </w:tcPr>
                <w:p w14:paraId="14DF4F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达标</w:t>
                  </w:r>
                </w:p>
              </w:tc>
            </w:tr>
          </w:tbl>
          <w:p w14:paraId="05A76189">
            <w:pPr>
              <w:spacing w:line="360" w:lineRule="auto"/>
              <w:ind w:firstLine="456" w:firstLineChars="200"/>
              <w:rPr>
                <w:rFonts w:hint="default"/>
                <w:b w:val="0"/>
                <w:color w:val="auto"/>
                <w:sz w:val="24"/>
                <w:szCs w:val="24"/>
                <w:highlight w:val="none"/>
                <w:lang w:val="en-US" w:eastAsia="zh-CN"/>
              </w:rPr>
            </w:pPr>
            <w:r>
              <w:rPr>
                <w:rFonts w:hint="eastAsia" w:ascii="Times New Roman" w:hAnsi="Times New Roman" w:cs="Times New Roman"/>
                <w:b w:val="0"/>
                <w:bCs w:val="0"/>
                <w:color w:val="auto"/>
                <w:spacing w:val="-6"/>
                <w:sz w:val="24"/>
                <w:highlight w:val="none"/>
                <w:u w:val="none"/>
                <w:lang w:val="en-US" w:eastAsia="zh-CN"/>
              </w:rPr>
              <w:t>监测结果表明：纳污水体胜岸港各监测断面监测因子均满足《地表水环境质量标准》（GB 3838-2002）</w:t>
            </w:r>
            <w:r>
              <w:rPr>
                <w:rFonts w:hint="default" w:ascii="Times New Roman" w:hAnsi="Times New Roman" w:cs="Times New Roman"/>
                <w:b w:val="0"/>
                <w:bCs w:val="0"/>
                <w:color w:val="auto"/>
                <w:spacing w:val="-6"/>
                <w:sz w:val="24"/>
                <w:highlight w:val="none"/>
                <w:u w:val="none"/>
                <w:lang w:val="en-US" w:eastAsia="zh-CN"/>
              </w:rPr>
              <w:t>Ⅳ</w:t>
            </w:r>
            <w:r>
              <w:rPr>
                <w:rFonts w:hint="eastAsia" w:ascii="Times New Roman" w:hAnsi="Times New Roman" w:cs="Times New Roman"/>
                <w:b w:val="0"/>
                <w:bCs w:val="0"/>
                <w:color w:val="auto"/>
                <w:spacing w:val="-6"/>
                <w:sz w:val="24"/>
                <w:highlight w:val="none"/>
                <w:u w:val="none"/>
                <w:lang w:val="en-US" w:eastAsia="zh-CN"/>
              </w:rPr>
              <w:t>类标准。</w:t>
            </w:r>
          </w:p>
          <w:p w14:paraId="62935BD0">
            <w:pPr>
              <w:spacing w:line="360" w:lineRule="auto"/>
              <w:rPr>
                <w:b/>
                <w:color w:val="auto"/>
                <w:sz w:val="24"/>
                <w:szCs w:val="24"/>
                <w:highlight w:val="none"/>
              </w:rPr>
            </w:pPr>
            <w:r>
              <w:rPr>
                <w:rFonts w:hint="eastAsia"/>
                <w:b/>
                <w:color w:val="auto"/>
                <w:sz w:val="24"/>
                <w:szCs w:val="24"/>
                <w:highlight w:val="none"/>
                <w:lang w:val="en-US" w:eastAsia="zh-CN"/>
              </w:rPr>
              <w:t>3、</w:t>
            </w:r>
            <w:r>
              <w:rPr>
                <w:b/>
                <w:color w:val="auto"/>
                <w:sz w:val="24"/>
                <w:szCs w:val="24"/>
                <w:highlight w:val="none"/>
              </w:rPr>
              <w:t>声环境现状</w:t>
            </w:r>
          </w:p>
          <w:p w14:paraId="444CAEFA">
            <w:pPr>
              <w:keepNext w:val="0"/>
              <w:keepLines w:val="0"/>
              <w:pageBreakBefore w:val="0"/>
              <w:suppressLineNumbers w:val="0"/>
              <w:kinsoku/>
              <w:wordWrap/>
              <w:overflowPunct/>
              <w:topLinePunct w:val="0"/>
              <w:autoSpaceDE/>
              <w:autoSpaceDN/>
              <w:bidi w:val="0"/>
              <w:spacing w:before="0" w:beforeAutospacing="0" w:afterAutospacing="0" w:line="360" w:lineRule="auto"/>
              <w:ind w:left="0" w:right="105" w:rightChars="50" w:firstLine="480" w:firstLineChars="200"/>
              <w:textAlignment w:val="auto"/>
              <w:rPr>
                <w:rFonts w:hint="eastAsia" w:ascii="宋体" w:hAnsi="宋体" w:eastAsia="宋体" w:cs="宋体"/>
                <w:color w:val="auto"/>
                <w:sz w:val="24"/>
                <w:szCs w:val="24"/>
                <w:highlight w:val="none"/>
                <w:lang w:val="en-US"/>
              </w:rPr>
            </w:pPr>
            <w:r>
              <w:rPr>
                <w:rFonts w:hint="default" w:ascii="Times New Roman" w:hAnsi="Times New Roman" w:eastAsia="宋体" w:cs="Times New Roman"/>
                <w:color w:val="auto"/>
                <w:sz w:val="24"/>
                <w:szCs w:val="24"/>
                <w:highlight w:val="none"/>
              </w:rPr>
              <w:t>根据《2025年度苏州市生态环境状况》中相关资料，2025年，全市声环境质量总体保持稳定。全市昼间区域声环境质量和道路交通声环境质量略有下降。2025年，全市昼间区域噪声平均等效声级为54.8dB（A），同比上升0.1dB（A），处于区域环境噪声二级（较好）水平，评价同比持平。各地昼间噪声平均等效声级介于54.0~56.0dB（A）。依据《声环境质量标准》</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GB3096-2008</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评价，2025年，苏州市功能区声环境昼间、夜间平均达标率分别为94.3%和84.9%。4个县级市功能区声环境昼间、夜间达标率分别为98.0%~94.1%。苏州市区1~4a类功能区声环境昼间达标率分别为85.0%、93.6%、96.5%和99.3%，夜间达标率分别为43.1%、86.0%、93.3%、94.1%。4个县级市1~4a类功能区声环境昼间达标率分别为87.5%、100%、100%和100%，夜间达标率分别为79.2%、94.1%、100%和100%。</w:t>
            </w:r>
          </w:p>
          <w:p w14:paraId="21C39A54">
            <w:pPr>
              <w:spacing w:line="360" w:lineRule="auto"/>
              <w:ind w:firstLine="480" w:firstLineChars="200"/>
              <w:rPr>
                <w:rFonts w:hint="eastAsia"/>
                <w:color w:val="auto"/>
                <w:sz w:val="24"/>
                <w:szCs w:val="24"/>
                <w:highlight w:val="none"/>
                <w:lang w:val="en-US" w:eastAsia="zh-CN"/>
              </w:rPr>
            </w:pPr>
            <w:r>
              <w:rPr>
                <w:color w:val="auto"/>
                <w:sz w:val="24"/>
                <w:szCs w:val="24"/>
                <w:highlight w:val="none"/>
              </w:rPr>
              <w:t>本项目周边50m范围内无声环境敏感目标</w:t>
            </w:r>
            <w:r>
              <w:rPr>
                <w:rFonts w:hint="eastAsia"/>
                <w:color w:val="auto"/>
                <w:sz w:val="24"/>
                <w:szCs w:val="24"/>
                <w:highlight w:val="none"/>
              </w:rPr>
              <w:t>，</w:t>
            </w:r>
            <w:r>
              <w:rPr>
                <w:rFonts w:hint="eastAsia"/>
                <w:color w:val="auto"/>
                <w:sz w:val="24"/>
                <w:szCs w:val="24"/>
                <w:highlight w:val="none"/>
                <w:lang w:val="en-US" w:eastAsia="zh-CN"/>
              </w:rPr>
              <w:t>无需进行现状监测。</w:t>
            </w:r>
          </w:p>
          <w:p w14:paraId="708346BA">
            <w:pPr>
              <w:spacing w:line="360" w:lineRule="auto"/>
              <w:ind w:firstLine="480" w:firstLineChars="200"/>
              <w:rPr>
                <w:color w:val="auto"/>
                <w:sz w:val="24"/>
                <w:szCs w:val="24"/>
                <w:highlight w:val="none"/>
              </w:rPr>
            </w:pPr>
            <w:r>
              <w:rPr>
                <w:rFonts w:hint="eastAsia"/>
                <w:color w:val="auto"/>
                <w:sz w:val="24"/>
                <w:szCs w:val="24"/>
                <w:highlight w:val="none"/>
              </w:rPr>
              <w:t>根据《苏州市市区声环境功能区划分规定》（2018年修订版）</w:t>
            </w:r>
            <w:r>
              <w:rPr>
                <w:rFonts w:hint="eastAsia"/>
                <w:color w:val="auto"/>
                <w:sz w:val="24"/>
                <w:szCs w:val="24"/>
                <w:highlight w:val="none"/>
                <w:lang w:eastAsia="zh-CN"/>
              </w:rPr>
              <w:t>“</w:t>
            </w:r>
            <w:r>
              <w:rPr>
                <w:rFonts w:hint="eastAsia"/>
                <w:color w:val="auto"/>
                <w:sz w:val="24"/>
                <w:szCs w:val="24"/>
                <w:highlight w:val="none"/>
              </w:rPr>
              <w:t>第六项，第4条，独立于村庄、集镇之外的工业、仓储集中区执行3类声环境功能区要求</w:t>
            </w:r>
            <w:r>
              <w:rPr>
                <w:rFonts w:hint="eastAsia"/>
                <w:color w:val="auto"/>
                <w:sz w:val="24"/>
                <w:szCs w:val="24"/>
                <w:highlight w:val="none"/>
                <w:lang w:eastAsia="zh-CN"/>
              </w:rPr>
              <w:t>”</w:t>
            </w:r>
            <w:r>
              <w:rPr>
                <w:rFonts w:hint="eastAsia"/>
                <w:color w:val="auto"/>
                <w:sz w:val="24"/>
                <w:szCs w:val="24"/>
                <w:highlight w:val="none"/>
              </w:rPr>
              <w:t>，本项目位于</w:t>
            </w:r>
            <w:r>
              <w:rPr>
                <w:rFonts w:hint="eastAsia"/>
                <w:color w:val="auto"/>
                <w:sz w:val="24"/>
                <w:szCs w:val="24"/>
                <w:highlight w:val="none"/>
                <w:lang w:val="en-US" w:eastAsia="zh-CN"/>
              </w:rPr>
              <w:t>苏州市漕湖街道永昌路28号A栋11单元</w:t>
            </w:r>
            <w:r>
              <w:rPr>
                <w:rFonts w:hint="eastAsia"/>
                <w:color w:val="auto"/>
                <w:sz w:val="24"/>
                <w:szCs w:val="24"/>
                <w:highlight w:val="none"/>
              </w:rPr>
              <w:t>，</w:t>
            </w:r>
            <w:r>
              <w:rPr>
                <w:rFonts w:hint="eastAsia"/>
                <w:color w:val="auto"/>
                <w:sz w:val="24"/>
                <w:szCs w:val="24"/>
                <w:highlight w:val="none"/>
                <w:lang w:val="en-US" w:eastAsia="zh-CN"/>
              </w:rPr>
              <w:t>属于相城经济技术开发区（相城经济技术开发区二期（不包括漕湖）），为工业集中区，以工业生产为主要功能</w:t>
            </w:r>
            <w:r>
              <w:rPr>
                <w:rFonts w:hint="eastAsia"/>
                <w:color w:val="auto"/>
                <w:sz w:val="24"/>
                <w:szCs w:val="24"/>
                <w:highlight w:val="none"/>
              </w:rPr>
              <w:t>，执行《声环境质量标准》（GB3096-2008）3类标准，</w:t>
            </w:r>
            <w:r>
              <w:rPr>
                <w:color w:val="auto"/>
                <w:sz w:val="24"/>
                <w:szCs w:val="24"/>
                <w:highlight w:val="none"/>
              </w:rPr>
              <w:t>具体见</w:t>
            </w:r>
            <w:r>
              <w:rPr>
                <w:rFonts w:hint="eastAsia"/>
                <w:color w:val="auto"/>
                <w:sz w:val="24"/>
                <w:szCs w:val="24"/>
                <w:highlight w:val="none"/>
                <w:lang w:val="en-US" w:eastAsia="zh-CN"/>
              </w:rPr>
              <w:t>下表</w:t>
            </w:r>
            <w:r>
              <w:rPr>
                <w:color w:val="auto"/>
                <w:sz w:val="24"/>
                <w:szCs w:val="24"/>
                <w:highlight w:val="none"/>
              </w:rPr>
              <w:t>。</w:t>
            </w:r>
          </w:p>
          <w:p w14:paraId="69711448">
            <w:pPr>
              <w:numPr>
                <w:ilvl w:val="0"/>
                <w:numId w:val="5"/>
              </w:numPr>
              <w:adjustRightInd w:val="0"/>
              <w:snapToGrid w:val="0"/>
              <w:ind w:left="0" w:leftChars="0" w:firstLine="0" w:firstLineChars="0"/>
              <w:jc w:val="center"/>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声环境质量标准</w:t>
            </w:r>
          </w:p>
          <w:tbl>
            <w:tblPr>
              <w:tblStyle w:val="22"/>
              <w:tblW w:w="5000"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208"/>
              <w:gridCol w:w="1514"/>
              <w:gridCol w:w="1906"/>
              <w:gridCol w:w="4636"/>
            </w:tblGrid>
            <w:tr w14:paraId="6827846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2" w:type="pct"/>
                  <w:tcBorders>
                    <w:tl2br w:val="nil"/>
                    <w:tr2bl w:val="nil"/>
                  </w:tcBorders>
                  <w:vAlign w:val="center"/>
                </w:tcPr>
                <w:p w14:paraId="16FF25AC">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类别</w:t>
                  </w:r>
                </w:p>
              </w:tc>
              <w:tc>
                <w:tcPr>
                  <w:tcW w:w="817" w:type="pct"/>
                  <w:tcBorders>
                    <w:tl2br w:val="nil"/>
                    <w:tr2bl w:val="nil"/>
                  </w:tcBorders>
                  <w:vAlign w:val="center"/>
                </w:tcPr>
                <w:p w14:paraId="57268ABD">
                  <w:pPr>
                    <w:pStyle w:val="29"/>
                    <w:rPr>
                      <w:rFonts w:hint="default" w:ascii="Times New Roman" w:hAnsi="Times New Roman" w:eastAsia="仿宋" w:cs="Times New Roman"/>
                      <w:b/>
                      <w:color w:val="auto"/>
                      <w:sz w:val="21"/>
                      <w:szCs w:val="21"/>
                      <w:highlight w:val="none"/>
                      <w:lang w:eastAsia="zh-CN"/>
                    </w:rPr>
                  </w:pPr>
                  <w:r>
                    <w:rPr>
                      <w:rFonts w:hint="default" w:ascii="Times New Roman" w:hAnsi="Times New Roman" w:eastAsia="仿宋" w:cs="Times New Roman"/>
                      <w:b/>
                      <w:color w:val="auto"/>
                      <w:sz w:val="21"/>
                      <w:szCs w:val="21"/>
                      <w:highlight w:val="none"/>
                    </w:rPr>
                    <w:t>昼间dB</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lang w:val="en-US" w:eastAsia="zh-CN"/>
                    </w:rPr>
                    <w:t>A</w:t>
                  </w:r>
                  <w:r>
                    <w:rPr>
                      <w:rFonts w:hint="default" w:ascii="Times New Roman" w:hAnsi="Times New Roman" w:eastAsia="仿宋" w:cs="Times New Roman"/>
                      <w:b/>
                      <w:color w:val="auto"/>
                      <w:sz w:val="21"/>
                      <w:szCs w:val="21"/>
                      <w:highlight w:val="none"/>
                      <w:lang w:eastAsia="zh-CN"/>
                    </w:rPr>
                    <w:t>）</w:t>
                  </w:r>
                </w:p>
              </w:tc>
              <w:tc>
                <w:tcPr>
                  <w:tcW w:w="1028" w:type="pct"/>
                  <w:tcBorders>
                    <w:tl2br w:val="nil"/>
                    <w:tr2bl w:val="nil"/>
                  </w:tcBorders>
                  <w:vAlign w:val="center"/>
                </w:tcPr>
                <w:p w14:paraId="22295539">
                  <w:pPr>
                    <w:pStyle w:val="29"/>
                    <w:rPr>
                      <w:rFonts w:hint="default" w:ascii="Times New Roman" w:hAnsi="Times New Roman" w:eastAsia="仿宋" w:cs="Times New Roman"/>
                      <w:b/>
                      <w:color w:val="auto"/>
                      <w:sz w:val="21"/>
                      <w:szCs w:val="21"/>
                      <w:highlight w:val="none"/>
                      <w:lang w:eastAsia="zh-CN"/>
                    </w:rPr>
                  </w:pPr>
                  <w:r>
                    <w:rPr>
                      <w:rFonts w:hint="default" w:ascii="Times New Roman" w:hAnsi="Times New Roman" w:eastAsia="仿宋" w:cs="Times New Roman"/>
                      <w:b/>
                      <w:color w:val="auto"/>
                      <w:sz w:val="21"/>
                      <w:szCs w:val="21"/>
                      <w:highlight w:val="none"/>
                    </w:rPr>
                    <w:t>夜间dB</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lang w:val="en-US" w:eastAsia="zh-CN"/>
                    </w:rPr>
                    <w:t>A</w:t>
                  </w:r>
                  <w:r>
                    <w:rPr>
                      <w:rFonts w:hint="default" w:ascii="Times New Roman" w:hAnsi="Times New Roman" w:eastAsia="仿宋" w:cs="Times New Roman"/>
                      <w:b/>
                      <w:color w:val="auto"/>
                      <w:sz w:val="21"/>
                      <w:szCs w:val="21"/>
                      <w:highlight w:val="none"/>
                      <w:lang w:eastAsia="zh-CN"/>
                    </w:rPr>
                    <w:t>）</w:t>
                  </w:r>
                </w:p>
              </w:tc>
              <w:tc>
                <w:tcPr>
                  <w:tcW w:w="2501" w:type="pct"/>
                  <w:tcBorders>
                    <w:tl2br w:val="nil"/>
                    <w:tr2bl w:val="nil"/>
                  </w:tcBorders>
                  <w:vAlign w:val="center"/>
                </w:tcPr>
                <w:p w14:paraId="1FA8C61E">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标准</w:t>
                  </w:r>
                </w:p>
              </w:tc>
            </w:tr>
            <w:tr w14:paraId="1491FB0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2" w:type="pct"/>
                  <w:tcBorders>
                    <w:tl2br w:val="nil"/>
                    <w:tr2bl w:val="nil"/>
                  </w:tcBorders>
                  <w:vAlign w:val="center"/>
                </w:tcPr>
                <w:p w14:paraId="3067AC6A">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标准限值</w:t>
                  </w:r>
                </w:p>
              </w:tc>
              <w:tc>
                <w:tcPr>
                  <w:tcW w:w="817" w:type="pct"/>
                  <w:tcBorders>
                    <w:tl2br w:val="nil"/>
                    <w:tr2bl w:val="nil"/>
                  </w:tcBorders>
                  <w:vAlign w:val="center"/>
                </w:tcPr>
                <w:p w14:paraId="3FE3FB1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65</w:t>
                  </w:r>
                </w:p>
              </w:tc>
              <w:tc>
                <w:tcPr>
                  <w:tcW w:w="1028" w:type="pct"/>
                  <w:tcBorders>
                    <w:tl2br w:val="nil"/>
                    <w:tr2bl w:val="nil"/>
                  </w:tcBorders>
                  <w:vAlign w:val="center"/>
                </w:tcPr>
                <w:p w14:paraId="39F676D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55</w:t>
                  </w:r>
                </w:p>
              </w:tc>
              <w:tc>
                <w:tcPr>
                  <w:tcW w:w="2501" w:type="pct"/>
                  <w:tcBorders>
                    <w:tl2br w:val="nil"/>
                    <w:tr2bl w:val="nil"/>
                  </w:tcBorders>
                  <w:vAlign w:val="center"/>
                </w:tcPr>
                <w:p w14:paraId="54023343">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《声环境质量标准》（GB</w:t>
                  </w:r>
                  <w:r>
                    <w:rPr>
                      <w:rFonts w:hint="eastAsia"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rPr>
                    <w:t>3096-2008）3类标准</w:t>
                  </w:r>
                </w:p>
              </w:tc>
            </w:tr>
          </w:tbl>
          <w:p w14:paraId="76DA49E1">
            <w:pPr>
              <w:spacing w:line="360" w:lineRule="auto"/>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地下水、土壤环境现状</w:t>
            </w:r>
          </w:p>
          <w:p w14:paraId="5911A754">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利用已建厂房进行建设，厂区内地面全部硬化，不存在地下水污染途径，根据《建设项目环境影响报告表编制技术指南（污染影响类）》（2021年4月1日起实施）文件要求，地下水、土壤环境原则上不开展环境质量现状调查。</w:t>
            </w:r>
          </w:p>
          <w:p w14:paraId="5E25F16E">
            <w:pPr>
              <w:spacing w:line="360" w:lineRule="auto"/>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生态环境现状</w:t>
            </w:r>
          </w:p>
          <w:p w14:paraId="5CF3AF1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本项目位于</w:t>
            </w:r>
            <w:r>
              <w:rPr>
                <w:rFonts w:hint="eastAsia"/>
                <w:color w:val="auto"/>
                <w:sz w:val="24"/>
                <w:szCs w:val="24"/>
                <w:highlight w:val="none"/>
              </w:rPr>
              <w:t>苏州市漕湖街道永昌路28号A栋11单元</w:t>
            </w:r>
            <w:r>
              <w:rPr>
                <w:rFonts w:hint="default" w:ascii="Times New Roman" w:hAnsi="Times New Roman" w:eastAsia="宋体" w:cs="Times New Roman"/>
                <w:color w:val="auto"/>
                <w:sz w:val="24"/>
                <w:szCs w:val="24"/>
                <w:highlight w:val="none"/>
              </w:rPr>
              <w:t>，利用现有已建厂房进行建设，无需开展生态</w:t>
            </w:r>
            <w:r>
              <w:rPr>
                <w:rFonts w:hint="eastAsia" w:cs="Times New Roman"/>
                <w:color w:val="auto"/>
                <w:sz w:val="24"/>
                <w:szCs w:val="24"/>
                <w:highlight w:val="none"/>
                <w:lang w:val="en-US" w:eastAsia="zh-CN"/>
              </w:rPr>
              <w:t>环境</w:t>
            </w:r>
            <w:r>
              <w:rPr>
                <w:rFonts w:hint="default" w:ascii="Times New Roman" w:hAnsi="Times New Roman" w:eastAsia="宋体" w:cs="Times New Roman"/>
                <w:color w:val="auto"/>
                <w:sz w:val="24"/>
                <w:szCs w:val="24"/>
                <w:highlight w:val="none"/>
              </w:rPr>
              <w:t>现状调查。</w:t>
            </w:r>
          </w:p>
        </w:tc>
      </w:tr>
      <w:tr w14:paraId="5E7288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7" w:type="pct"/>
            <w:vAlign w:val="center"/>
          </w:tcPr>
          <w:p w14:paraId="24F07253">
            <w:pPr>
              <w:adjustRightInd w:val="0"/>
              <w:snapToGrid w:val="0"/>
              <w:jc w:val="center"/>
              <w:rPr>
                <w:color w:val="auto"/>
                <w:kern w:val="0"/>
                <w:szCs w:val="21"/>
                <w:highlight w:val="none"/>
              </w:rPr>
            </w:pPr>
            <w:r>
              <w:rPr>
                <w:color w:val="auto"/>
                <w:kern w:val="0"/>
                <w:sz w:val="24"/>
                <w:szCs w:val="24"/>
                <w:highlight w:val="none"/>
              </w:rPr>
              <w:t>环境保护目标</w:t>
            </w:r>
          </w:p>
        </w:tc>
        <w:tc>
          <w:tcPr>
            <w:tcW w:w="4772" w:type="pct"/>
          </w:tcPr>
          <w:p w14:paraId="490851A8">
            <w:pPr>
              <w:spacing w:line="360" w:lineRule="auto"/>
              <w:rPr>
                <w:rFonts w:hAnsi="宋体"/>
                <w:b/>
                <w:bCs/>
                <w:color w:val="auto"/>
                <w:sz w:val="24"/>
                <w:szCs w:val="24"/>
                <w:highlight w:val="none"/>
              </w:rPr>
            </w:pPr>
            <w:r>
              <w:rPr>
                <w:rFonts w:hint="eastAsia" w:hAnsi="宋体"/>
                <w:b/>
                <w:bCs/>
                <w:color w:val="auto"/>
                <w:sz w:val="24"/>
                <w:szCs w:val="24"/>
                <w:highlight w:val="none"/>
                <w:lang w:val="en-US" w:eastAsia="zh-CN"/>
              </w:rPr>
              <w:t>1、</w:t>
            </w:r>
            <w:r>
              <w:rPr>
                <w:rFonts w:hint="eastAsia" w:hAnsi="宋体"/>
                <w:b/>
                <w:bCs/>
                <w:color w:val="auto"/>
                <w:sz w:val="24"/>
                <w:szCs w:val="24"/>
                <w:highlight w:val="none"/>
              </w:rPr>
              <w:t>大气环境保护目标</w:t>
            </w:r>
          </w:p>
          <w:p w14:paraId="4D7B74F6">
            <w:pPr>
              <w:spacing w:line="360" w:lineRule="auto"/>
              <w:ind w:firstLine="480" w:firstLineChars="200"/>
              <w:jc w:val="left"/>
              <w:rPr>
                <w:rFonts w:hint="eastAsia" w:ascii="Times New Roman" w:hAnsi="Times New Roman" w:eastAsia="宋体" w:cs="Times New Roman"/>
                <w:color w:val="auto"/>
                <w:kern w:val="21"/>
                <w:sz w:val="24"/>
                <w:szCs w:val="24"/>
                <w:highlight w:val="none"/>
                <w:lang w:eastAsia="zh-CN"/>
              </w:rPr>
            </w:pPr>
            <w:r>
              <w:rPr>
                <w:rFonts w:hint="eastAsia" w:ascii="Times New Roman" w:hAnsi="Times New Roman" w:eastAsia="宋体" w:cs="Times New Roman"/>
                <w:color w:val="auto"/>
                <w:kern w:val="21"/>
                <w:sz w:val="24"/>
                <w:szCs w:val="24"/>
                <w:highlight w:val="none"/>
              </w:rPr>
              <w:t>项目所在地执行《环境空气质量标准》（GB 3095-2012）</w:t>
            </w:r>
            <w:r>
              <w:rPr>
                <w:rFonts w:hint="eastAsia" w:cs="Times New Roman"/>
                <w:color w:val="auto"/>
                <w:kern w:val="21"/>
                <w:sz w:val="24"/>
                <w:szCs w:val="24"/>
                <w:highlight w:val="none"/>
                <w:lang w:eastAsia="zh-CN"/>
              </w:rPr>
              <w:t>（</w:t>
            </w:r>
            <w:r>
              <w:rPr>
                <w:rFonts w:hint="eastAsia" w:cs="Times New Roman"/>
                <w:color w:val="auto"/>
                <w:kern w:val="21"/>
                <w:sz w:val="24"/>
                <w:szCs w:val="24"/>
                <w:highlight w:val="none"/>
                <w:lang w:val="en-US" w:eastAsia="zh-CN"/>
              </w:rPr>
              <w:t>含2018年修改单</w:t>
            </w:r>
            <w:r>
              <w:rPr>
                <w:rFonts w:hint="eastAsia" w:cs="Times New Roman"/>
                <w:color w:val="auto"/>
                <w:kern w:val="21"/>
                <w:sz w:val="24"/>
                <w:szCs w:val="24"/>
                <w:highlight w:val="none"/>
                <w:lang w:eastAsia="zh-CN"/>
              </w:rPr>
              <w:t>）</w:t>
            </w:r>
            <w:r>
              <w:rPr>
                <w:rFonts w:hint="eastAsia" w:ascii="Times New Roman" w:hAnsi="Times New Roman" w:eastAsia="宋体" w:cs="Times New Roman"/>
                <w:color w:val="auto"/>
                <w:kern w:val="21"/>
                <w:sz w:val="24"/>
                <w:szCs w:val="24"/>
                <w:highlight w:val="none"/>
              </w:rPr>
              <w:t>二级标准，项目周边500m环境敏感点</w:t>
            </w:r>
            <w:r>
              <w:rPr>
                <w:rFonts w:hint="eastAsia" w:cs="Times New Roman"/>
                <w:color w:val="auto"/>
                <w:kern w:val="21"/>
                <w:sz w:val="24"/>
                <w:szCs w:val="24"/>
                <w:highlight w:val="none"/>
                <w:lang w:val="en-US" w:eastAsia="zh-CN"/>
              </w:rPr>
              <w:t>见下表</w:t>
            </w:r>
            <w:r>
              <w:rPr>
                <w:rFonts w:hint="eastAsia" w:ascii="Times New Roman" w:hAnsi="Times New Roman" w:eastAsia="宋体" w:cs="Times New Roman"/>
                <w:color w:val="auto"/>
                <w:kern w:val="21"/>
                <w:sz w:val="24"/>
                <w:szCs w:val="24"/>
                <w:highlight w:val="none"/>
                <w:lang w:eastAsia="zh-CN"/>
              </w:rPr>
              <w:t>。</w:t>
            </w:r>
          </w:p>
          <w:p w14:paraId="5A85FEF9">
            <w:pPr>
              <w:numPr>
                <w:ilvl w:val="0"/>
                <w:numId w:val="5"/>
              </w:numPr>
              <w:adjustRightInd w:val="0"/>
              <w:snapToGrid w:val="0"/>
              <w:ind w:left="0" w:leftChars="0" w:firstLine="0" w:firstLineChars="0"/>
              <w:jc w:val="center"/>
              <w:rPr>
                <w:rFonts w:hint="eastAsia"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建设项目主要环境保护目标一览表</w:t>
            </w:r>
          </w:p>
          <w:tbl>
            <w:tblPr>
              <w:tblStyle w:val="22"/>
              <w:tblW w:w="4996"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534"/>
              <w:gridCol w:w="882"/>
              <w:gridCol w:w="777"/>
              <w:gridCol w:w="1489"/>
              <w:gridCol w:w="902"/>
              <w:gridCol w:w="804"/>
              <w:gridCol w:w="865"/>
              <w:gridCol w:w="952"/>
              <w:gridCol w:w="1052"/>
            </w:tblGrid>
            <w:tr w14:paraId="38E55A2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pct"/>
                  <w:vMerge w:val="restart"/>
                  <w:tcBorders>
                    <w:tl2br w:val="nil"/>
                    <w:tr2bl w:val="nil"/>
                  </w:tcBorders>
                  <w:noWrap w:val="0"/>
                  <w:vAlign w:val="center"/>
                </w:tcPr>
                <w:p w14:paraId="79A29333">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环境要素</w:t>
                  </w:r>
                </w:p>
              </w:tc>
              <w:tc>
                <w:tcPr>
                  <w:tcW w:w="897" w:type="pct"/>
                  <w:gridSpan w:val="2"/>
                  <w:tcBorders>
                    <w:tl2br w:val="nil"/>
                    <w:tr2bl w:val="nil"/>
                  </w:tcBorders>
                  <w:noWrap w:val="0"/>
                  <w:vAlign w:val="center"/>
                </w:tcPr>
                <w:p w14:paraId="2A28C877">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坐标</w:t>
                  </w:r>
                </w:p>
              </w:tc>
              <w:tc>
                <w:tcPr>
                  <w:tcW w:w="804" w:type="pct"/>
                  <w:vMerge w:val="restart"/>
                  <w:tcBorders>
                    <w:tl2br w:val="nil"/>
                    <w:tr2bl w:val="nil"/>
                  </w:tcBorders>
                  <w:noWrap w:val="0"/>
                  <w:vAlign w:val="center"/>
                </w:tcPr>
                <w:p w14:paraId="4F7FAB81">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名称</w:t>
                  </w:r>
                </w:p>
              </w:tc>
              <w:tc>
                <w:tcPr>
                  <w:tcW w:w="487" w:type="pct"/>
                  <w:vMerge w:val="restart"/>
                  <w:tcBorders>
                    <w:tl2br w:val="nil"/>
                    <w:tr2bl w:val="nil"/>
                  </w:tcBorders>
                  <w:noWrap w:val="0"/>
                  <w:vAlign w:val="center"/>
                </w:tcPr>
                <w:p w14:paraId="3ABEC278">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保护对象</w:t>
                  </w:r>
                </w:p>
              </w:tc>
              <w:tc>
                <w:tcPr>
                  <w:tcW w:w="434" w:type="pct"/>
                  <w:vMerge w:val="restart"/>
                  <w:tcBorders>
                    <w:tl2br w:val="nil"/>
                    <w:tr2bl w:val="nil"/>
                  </w:tcBorders>
                  <w:noWrap w:val="0"/>
                  <w:vAlign w:val="center"/>
                </w:tcPr>
                <w:p w14:paraId="479750F7">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保护内容</w:t>
                  </w:r>
                </w:p>
              </w:tc>
              <w:tc>
                <w:tcPr>
                  <w:tcW w:w="467" w:type="pct"/>
                  <w:vMerge w:val="restart"/>
                  <w:tcBorders>
                    <w:tl2br w:val="nil"/>
                    <w:tr2bl w:val="nil"/>
                  </w:tcBorders>
                  <w:noWrap w:val="0"/>
                  <w:vAlign w:val="center"/>
                </w:tcPr>
                <w:p w14:paraId="33B951C6">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环境功能区</w:t>
                  </w:r>
                </w:p>
              </w:tc>
              <w:tc>
                <w:tcPr>
                  <w:tcW w:w="514" w:type="pct"/>
                  <w:vMerge w:val="restart"/>
                  <w:tcBorders>
                    <w:tl2br w:val="nil"/>
                    <w:tr2bl w:val="nil"/>
                  </w:tcBorders>
                  <w:noWrap w:val="0"/>
                  <w:vAlign w:val="center"/>
                </w:tcPr>
                <w:p w14:paraId="10B6323F">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相对厂址方位</w:t>
                  </w:r>
                </w:p>
              </w:tc>
              <w:tc>
                <w:tcPr>
                  <w:tcW w:w="566" w:type="pct"/>
                  <w:vMerge w:val="restart"/>
                  <w:tcBorders>
                    <w:tl2br w:val="nil"/>
                    <w:tr2bl w:val="nil"/>
                  </w:tcBorders>
                  <w:noWrap w:val="0"/>
                  <w:vAlign w:val="center"/>
                </w:tcPr>
                <w:p w14:paraId="7A077D28">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相对厂界距离</w:t>
                  </w:r>
                </w:p>
              </w:tc>
            </w:tr>
            <w:tr w14:paraId="44C850F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pct"/>
                  <w:vMerge w:val="continue"/>
                  <w:tcBorders>
                    <w:tl2br w:val="nil"/>
                    <w:tr2bl w:val="nil"/>
                  </w:tcBorders>
                  <w:noWrap w:val="0"/>
                  <w:vAlign w:val="center"/>
                </w:tcPr>
                <w:p w14:paraId="44844C50">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p>
              </w:tc>
              <w:tc>
                <w:tcPr>
                  <w:tcW w:w="477" w:type="pct"/>
                  <w:tcBorders>
                    <w:tl2br w:val="nil"/>
                    <w:tr2bl w:val="nil"/>
                  </w:tcBorders>
                  <w:noWrap w:val="0"/>
                  <w:vAlign w:val="center"/>
                </w:tcPr>
                <w:p w14:paraId="6268961E">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X</w:t>
                  </w:r>
                </w:p>
              </w:tc>
              <w:tc>
                <w:tcPr>
                  <w:tcW w:w="419" w:type="pct"/>
                  <w:tcBorders>
                    <w:tl2br w:val="nil"/>
                    <w:tr2bl w:val="nil"/>
                  </w:tcBorders>
                  <w:noWrap w:val="0"/>
                  <w:vAlign w:val="center"/>
                </w:tcPr>
                <w:p w14:paraId="62FEA066">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Y</w:t>
                  </w:r>
                </w:p>
              </w:tc>
              <w:tc>
                <w:tcPr>
                  <w:tcW w:w="804" w:type="pct"/>
                  <w:vMerge w:val="continue"/>
                  <w:tcBorders>
                    <w:tl2br w:val="nil"/>
                    <w:tr2bl w:val="nil"/>
                  </w:tcBorders>
                  <w:noWrap w:val="0"/>
                  <w:vAlign w:val="center"/>
                </w:tcPr>
                <w:p w14:paraId="7C355DC3">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p>
              </w:tc>
              <w:tc>
                <w:tcPr>
                  <w:tcW w:w="487" w:type="pct"/>
                  <w:vMerge w:val="continue"/>
                  <w:tcBorders>
                    <w:tl2br w:val="nil"/>
                    <w:tr2bl w:val="nil"/>
                  </w:tcBorders>
                  <w:noWrap w:val="0"/>
                  <w:vAlign w:val="center"/>
                </w:tcPr>
                <w:p w14:paraId="3334D58D">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p>
              </w:tc>
              <w:tc>
                <w:tcPr>
                  <w:tcW w:w="434" w:type="pct"/>
                  <w:vMerge w:val="continue"/>
                  <w:tcBorders>
                    <w:tl2br w:val="nil"/>
                    <w:tr2bl w:val="nil"/>
                  </w:tcBorders>
                  <w:noWrap w:val="0"/>
                  <w:vAlign w:val="center"/>
                </w:tcPr>
                <w:p w14:paraId="56AAD718">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p>
              </w:tc>
              <w:tc>
                <w:tcPr>
                  <w:tcW w:w="467" w:type="pct"/>
                  <w:vMerge w:val="continue"/>
                  <w:tcBorders>
                    <w:tl2br w:val="nil"/>
                    <w:tr2bl w:val="nil"/>
                  </w:tcBorders>
                  <w:noWrap w:val="0"/>
                  <w:vAlign w:val="center"/>
                </w:tcPr>
                <w:p w14:paraId="15B320CD">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p>
              </w:tc>
              <w:tc>
                <w:tcPr>
                  <w:tcW w:w="514" w:type="pct"/>
                  <w:vMerge w:val="continue"/>
                  <w:tcBorders>
                    <w:tl2br w:val="nil"/>
                    <w:tr2bl w:val="nil"/>
                  </w:tcBorders>
                  <w:noWrap w:val="0"/>
                  <w:vAlign w:val="center"/>
                </w:tcPr>
                <w:p w14:paraId="7AB4A3BF">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p>
              </w:tc>
              <w:tc>
                <w:tcPr>
                  <w:tcW w:w="566" w:type="pct"/>
                  <w:vMerge w:val="continue"/>
                  <w:tcBorders>
                    <w:tl2br w:val="nil"/>
                    <w:tr2bl w:val="nil"/>
                  </w:tcBorders>
                  <w:noWrap w:val="0"/>
                  <w:vAlign w:val="center"/>
                </w:tcPr>
                <w:p w14:paraId="7E774491">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b/>
                      <w:color w:val="auto"/>
                      <w:sz w:val="21"/>
                      <w:szCs w:val="21"/>
                      <w:highlight w:val="none"/>
                    </w:rPr>
                  </w:pPr>
                </w:p>
              </w:tc>
            </w:tr>
            <w:tr w14:paraId="442F04A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pct"/>
                  <w:tcBorders>
                    <w:tl2br w:val="nil"/>
                    <w:tr2bl w:val="nil"/>
                  </w:tcBorders>
                  <w:noWrap w:val="0"/>
                  <w:vAlign w:val="center"/>
                </w:tcPr>
                <w:p w14:paraId="43B1637A">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空气环境（厂界外500m）</w:t>
                  </w:r>
                </w:p>
              </w:tc>
              <w:tc>
                <w:tcPr>
                  <w:tcW w:w="477" w:type="pct"/>
                  <w:tcBorders>
                    <w:tl2br w:val="nil"/>
                    <w:tr2bl w:val="nil"/>
                  </w:tcBorders>
                  <w:noWrap w:val="0"/>
                  <w:vAlign w:val="center"/>
                </w:tcPr>
                <w:p w14:paraId="413CE16B">
                  <w:pPr>
                    <w:keepNext w:val="0"/>
                    <w:keepLines w:val="0"/>
                    <w:widowControl/>
                    <w:suppressLineNumbers w:val="0"/>
                    <w:adjustRightInd w:val="0"/>
                    <w:snapToGrid w:val="0"/>
                    <w:spacing w:before="48" w:beforeLines="20" w:beforeAutospacing="0" w:after="48" w:afterLines="20" w:afterAutospacing="0"/>
                    <w:ind w:left="0" w:right="2" w:rightChars="1"/>
                    <w:jc w:val="center"/>
                    <w:rPr>
                      <w:rFonts w:hint="default" w:ascii="Times New Roman" w:hAnsi="Times New Roman" w:eastAsia="仿宋" w:cs="Times New Roman"/>
                      <w:bCs/>
                      <w:color w:val="auto"/>
                      <w:kern w:val="0"/>
                      <w:sz w:val="21"/>
                      <w:szCs w:val="21"/>
                      <w:highlight w:val="none"/>
                      <w:lang w:val="en-US" w:eastAsia="zh-CN"/>
                    </w:rPr>
                  </w:pPr>
                  <w:r>
                    <w:rPr>
                      <w:rFonts w:hint="default" w:ascii="Times New Roman" w:hAnsi="Times New Roman" w:eastAsia="仿宋" w:cs="Times New Roman"/>
                      <w:bCs/>
                      <w:color w:val="auto"/>
                      <w:kern w:val="0"/>
                      <w:sz w:val="21"/>
                      <w:szCs w:val="21"/>
                      <w:highlight w:val="none"/>
                      <w:lang w:val="en-US" w:eastAsia="zh-CN"/>
                    </w:rPr>
                    <w:t>297</w:t>
                  </w:r>
                </w:p>
              </w:tc>
              <w:tc>
                <w:tcPr>
                  <w:tcW w:w="419" w:type="pct"/>
                  <w:tcBorders>
                    <w:tl2br w:val="nil"/>
                    <w:tr2bl w:val="nil"/>
                  </w:tcBorders>
                  <w:noWrap w:val="0"/>
                  <w:vAlign w:val="center"/>
                </w:tcPr>
                <w:p w14:paraId="1E2D9889">
                  <w:pPr>
                    <w:keepNext w:val="0"/>
                    <w:keepLines w:val="0"/>
                    <w:widowControl/>
                    <w:suppressLineNumbers w:val="0"/>
                    <w:adjustRightInd w:val="0"/>
                    <w:snapToGrid w:val="0"/>
                    <w:spacing w:before="48" w:beforeLines="20" w:beforeAutospacing="0" w:after="48" w:afterLines="20" w:afterAutospacing="0"/>
                    <w:ind w:left="0" w:right="2" w:rightChars="1"/>
                    <w:jc w:val="center"/>
                    <w:rPr>
                      <w:rFonts w:hint="default" w:ascii="Times New Roman" w:hAnsi="Times New Roman" w:eastAsia="仿宋" w:cs="Times New Roman"/>
                      <w:bCs/>
                      <w:color w:val="auto"/>
                      <w:kern w:val="0"/>
                      <w:sz w:val="21"/>
                      <w:szCs w:val="21"/>
                      <w:highlight w:val="none"/>
                      <w:lang w:val="en-US" w:eastAsia="zh-CN"/>
                    </w:rPr>
                  </w:pPr>
                  <w:r>
                    <w:rPr>
                      <w:rFonts w:hint="default" w:ascii="Times New Roman" w:hAnsi="Times New Roman" w:eastAsia="仿宋" w:cs="Times New Roman"/>
                      <w:bCs/>
                      <w:color w:val="auto"/>
                      <w:kern w:val="0"/>
                      <w:sz w:val="21"/>
                      <w:szCs w:val="21"/>
                      <w:highlight w:val="none"/>
                      <w:lang w:val="en-US" w:eastAsia="zh-CN"/>
                    </w:rPr>
                    <w:t>27</w:t>
                  </w:r>
                </w:p>
              </w:tc>
              <w:tc>
                <w:tcPr>
                  <w:tcW w:w="804" w:type="pct"/>
                  <w:tcBorders>
                    <w:tl2br w:val="nil"/>
                    <w:tr2bl w:val="nil"/>
                  </w:tcBorders>
                  <w:noWrap w:val="0"/>
                  <w:vAlign w:val="center"/>
                </w:tcPr>
                <w:p w14:paraId="311A91C5">
                  <w:pPr>
                    <w:keepNext w:val="0"/>
                    <w:keepLines w:val="0"/>
                    <w:suppressLineNumbers w:val="0"/>
                    <w:spacing w:before="0" w:beforeAutospacing="0" w:after="0" w:afterAutospacing="0" w:line="320" w:lineRule="exact"/>
                    <w:ind w:left="0" w:right="0"/>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漕湖产业园青年公寓-A区</w:t>
                  </w:r>
                </w:p>
              </w:tc>
              <w:tc>
                <w:tcPr>
                  <w:tcW w:w="487" w:type="pct"/>
                  <w:tcBorders>
                    <w:tl2br w:val="nil"/>
                    <w:tr2bl w:val="nil"/>
                  </w:tcBorders>
                  <w:noWrap w:val="0"/>
                  <w:vAlign w:val="center"/>
                </w:tcPr>
                <w:p w14:paraId="2D7AF518">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居住区</w:t>
                  </w:r>
                </w:p>
              </w:tc>
              <w:tc>
                <w:tcPr>
                  <w:tcW w:w="434" w:type="pct"/>
                  <w:tcBorders>
                    <w:tl2br w:val="nil"/>
                    <w:tr2bl w:val="nil"/>
                  </w:tcBorders>
                  <w:noWrap w:val="0"/>
                  <w:vAlign w:val="center"/>
                </w:tcPr>
                <w:p w14:paraId="5337B3FE">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居民</w:t>
                  </w:r>
                </w:p>
              </w:tc>
              <w:tc>
                <w:tcPr>
                  <w:tcW w:w="467" w:type="pct"/>
                  <w:tcBorders>
                    <w:tl2br w:val="nil"/>
                    <w:tr2bl w:val="nil"/>
                  </w:tcBorders>
                  <w:noWrap w:val="0"/>
                  <w:vAlign w:val="center"/>
                </w:tcPr>
                <w:p w14:paraId="7CE865FF">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二类区</w:t>
                  </w:r>
                </w:p>
              </w:tc>
              <w:tc>
                <w:tcPr>
                  <w:tcW w:w="514" w:type="pct"/>
                  <w:tcBorders>
                    <w:tl2br w:val="nil"/>
                    <w:tr2bl w:val="nil"/>
                  </w:tcBorders>
                  <w:noWrap w:val="0"/>
                  <w:vAlign w:val="center"/>
                </w:tcPr>
                <w:p w14:paraId="3871E894">
                  <w:pPr>
                    <w:keepNext w:val="0"/>
                    <w:keepLines w:val="0"/>
                    <w:suppressLineNumbers w:val="0"/>
                    <w:overflowPunct w:val="0"/>
                    <w:adjustRightInd w:val="0"/>
                    <w:snapToGrid w:val="0"/>
                    <w:spacing w:before="0" w:beforeAutospacing="0" w:after="0" w:afterAutospacing="0"/>
                    <w:ind w:left="0" w:right="0"/>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西南</w:t>
                  </w:r>
                </w:p>
              </w:tc>
              <w:tc>
                <w:tcPr>
                  <w:tcW w:w="566" w:type="pct"/>
                  <w:tcBorders>
                    <w:tl2br w:val="nil"/>
                    <w:tr2bl w:val="nil"/>
                  </w:tcBorders>
                  <w:noWrap w:val="0"/>
                  <w:vAlign w:val="center"/>
                </w:tcPr>
                <w:p w14:paraId="6574BF04">
                  <w:pPr>
                    <w:keepNext w:val="0"/>
                    <w:keepLines w:val="0"/>
                    <w:suppressLineNumbers w:val="0"/>
                    <w:overflowPunct w:val="0"/>
                    <w:adjustRightInd w:val="0"/>
                    <w:snapToGrid w:val="0"/>
                    <w:spacing w:before="0" w:beforeAutospacing="0" w:after="0" w:afterAutospacing="0"/>
                    <w:ind w:left="0" w:right="0"/>
                    <w:jc w:val="center"/>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val="en-US" w:eastAsia="zh-CN"/>
                    </w:rPr>
                    <w:t>约380</w:t>
                  </w:r>
                  <w:r>
                    <w:rPr>
                      <w:rFonts w:hint="default" w:ascii="Times New Roman" w:hAnsi="Times New Roman" w:eastAsia="仿宋" w:cs="Times New Roman"/>
                      <w:color w:val="auto"/>
                      <w:sz w:val="21"/>
                      <w:szCs w:val="21"/>
                      <w:highlight w:val="none"/>
                    </w:rPr>
                    <w:t>m</w:t>
                  </w:r>
                </w:p>
              </w:tc>
            </w:tr>
            <w:tr w14:paraId="4ED7B78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9"/>
                  <w:tcBorders>
                    <w:tl2br w:val="nil"/>
                    <w:tr2bl w:val="nil"/>
                  </w:tcBorders>
                  <w:noWrap w:val="0"/>
                  <w:vAlign w:val="center"/>
                </w:tcPr>
                <w:p w14:paraId="16ECAE8D">
                  <w:pPr>
                    <w:keepNext w:val="0"/>
                    <w:keepLines w:val="0"/>
                    <w:suppressLineNumbers w:val="0"/>
                    <w:overflowPunct w:val="0"/>
                    <w:adjustRightInd w:val="0"/>
                    <w:snapToGrid w:val="0"/>
                    <w:spacing w:before="0" w:beforeAutospacing="0" w:after="0" w:afterAutospacing="0"/>
                    <w:ind w:left="0" w:right="0"/>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以企业</w:t>
                  </w:r>
                  <w:r>
                    <w:rPr>
                      <w:rFonts w:hint="eastAsia" w:eastAsia="仿宋" w:cs="Times New Roman"/>
                      <w:color w:val="auto"/>
                      <w:sz w:val="21"/>
                      <w:szCs w:val="21"/>
                      <w:highlight w:val="none"/>
                      <w:lang w:val="en-US" w:eastAsia="zh-CN"/>
                    </w:rPr>
                    <w:t>西南角</w:t>
                  </w:r>
                  <w:r>
                    <w:rPr>
                      <w:rFonts w:hint="default" w:ascii="Times New Roman" w:hAnsi="Times New Roman" w:eastAsia="仿宋" w:cs="Times New Roman"/>
                      <w:color w:val="auto"/>
                      <w:sz w:val="21"/>
                      <w:szCs w:val="21"/>
                      <w:highlight w:val="none"/>
                      <w:lang w:val="en-US" w:eastAsia="zh-CN"/>
                    </w:rPr>
                    <w:t>为坐标原点（0，0）</w:t>
                  </w:r>
                </w:p>
              </w:tc>
            </w:tr>
          </w:tbl>
          <w:p w14:paraId="49FF8340">
            <w:pPr>
              <w:spacing w:line="360" w:lineRule="auto"/>
              <w:rPr>
                <w:b/>
                <w:bCs/>
                <w:color w:val="auto"/>
                <w:kern w:val="21"/>
                <w:sz w:val="24"/>
                <w:szCs w:val="24"/>
                <w:highlight w:val="none"/>
              </w:rPr>
            </w:pPr>
            <w:r>
              <w:rPr>
                <w:rFonts w:hint="eastAsia"/>
                <w:b/>
                <w:bCs/>
                <w:color w:val="auto"/>
                <w:kern w:val="21"/>
                <w:sz w:val="24"/>
                <w:szCs w:val="24"/>
                <w:highlight w:val="none"/>
                <w:lang w:val="en-US" w:eastAsia="zh-CN"/>
              </w:rPr>
              <w:t>2、</w:t>
            </w:r>
            <w:r>
              <w:rPr>
                <w:b/>
                <w:bCs/>
                <w:color w:val="auto"/>
                <w:kern w:val="21"/>
                <w:sz w:val="24"/>
                <w:szCs w:val="24"/>
                <w:highlight w:val="none"/>
              </w:rPr>
              <w:t>声环境</w:t>
            </w:r>
            <w:r>
              <w:rPr>
                <w:rFonts w:hint="eastAsia"/>
                <w:b/>
                <w:bCs/>
                <w:color w:val="auto"/>
                <w:kern w:val="21"/>
                <w:sz w:val="24"/>
                <w:szCs w:val="24"/>
                <w:highlight w:val="none"/>
              </w:rPr>
              <w:t>保护目标</w:t>
            </w:r>
          </w:p>
          <w:p w14:paraId="26B81500">
            <w:pPr>
              <w:spacing w:line="360" w:lineRule="auto"/>
              <w:ind w:firstLine="480" w:firstLineChars="200"/>
              <w:jc w:val="left"/>
              <w:rPr>
                <w:color w:val="auto"/>
                <w:kern w:val="21"/>
                <w:sz w:val="24"/>
                <w:szCs w:val="24"/>
                <w:highlight w:val="none"/>
              </w:rPr>
            </w:pPr>
            <w:r>
              <w:rPr>
                <w:rFonts w:hint="eastAsia"/>
                <w:color w:val="auto"/>
                <w:kern w:val="21"/>
                <w:sz w:val="24"/>
                <w:szCs w:val="24"/>
                <w:highlight w:val="none"/>
              </w:rPr>
              <w:t>本项目厂界外50米范围内无声环境保护目标。</w:t>
            </w:r>
          </w:p>
          <w:p w14:paraId="1A2BCEB7">
            <w:pPr>
              <w:spacing w:line="360" w:lineRule="auto"/>
              <w:rPr>
                <w:b/>
                <w:bCs/>
                <w:color w:val="auto"/>
                <w:kern w:val="21"/>
                <w:sz w:val="24"/>
                <w:szCs w:val="24"/>
                <w:highlight w:val="none"/>
              </w:rPr>
            </w:pPr>
            <w:r>
              <w:rPr>
                <w:rFonts w:hint="eastAsia"/>
                <w:b/>
                <w:bCs/>
                <w:color w:val="auto"/>
                <w:kern w:val="21"/>
                <w:sz w:val="24"/>
                <w:szCs w:val="24"/>
                <w:highlight w:val="none"/>
                <w:lang w:val="en-US" w:eastAsia="zh-CN"/>
              </w:rPr>
              <w:t>3、</w:t>
            </w:r>
            <w:r>
              <w:rPr>
                <w:b/>
                <w:bCs/>
                <w:color w:val="auto"/>
                <w:kern w:val="21"/>
                <w:sz w:val="24"/>
                <w:szCs w:val="24"/>
                <w:highlight w:val="none"/>
              </w:rPr>
              <w:t>地下水环境</w:t>
            </w:r>
            <w:r>
              <w:rPr>
                <w:rFonts w:hint="eastAsia"/>
                <w:b/>
                <w:bCs/>
                <w:color w:val="auto"/>
                <w:kern w:val="21"/>
                <w:sz w:val="24"/>
                <w:szCs w:val="24"/>
                <w:highlight w:val="none"/>
              </w:rPr>
              <w:t>保护目标</w:t>
            </w:r>
          </w:p>
          <w:p w14:paraId="1C8D1C91">
            <w:pPr>
              <w:spacing w:line="360" w:lineRule="auto"/>
              <w:ind w:firstLine="480" w:firstLineChars="200"/>
              <w:rPr>
                <w:color w:val="auto"/>
                <w:kern w:val="21"/>
                <w:sz w:val="24"/>
                <w:szCs w:val="24"/>
                <w:highlight w:val="none"/>
              </w:rPr>
            </w:pPr>
            <w:r>
              <w:rPr>
                <w:color w:val="auto"/>
                <w:kern w:val="21"/>
                <w:sz w:val="24"/>
                <w:szCs w:val="24"/>
                <w:highlight w:val="none"/>
              </w:rPr>
              <w:t>本项目厂界外500米范围内没有地下水集中式饮用水水源和热水、矿泉水、温泉等特殊地下水资源。</w:t>
            </w:r>
          </w:p>
          <w:p w14:paraId="60F961B7">
            <w:pPr>
              <w:spacing w:line="360" w:lineRule="auto"/>
              <w:rPr>
                <w:b/>
                <w:bCs/>
                <w:color w:val="auto"/>
                <w:kern w:val="21"/>
                <w:sz w:val="24"/>
                <w:szCs w:val="24"/>
                <w:highlight w:val="none"/>
              </w:rPr>
            </w:pPr>
            <w:r>
              <w:rPr>
                <w:rFonts w:hint="eastAsia"/>
                <w:b/>
                <w:bCs/>
                <w:color w:val="auto"/>
                <w:kern w:val="21"/>
                <w:sz w:val="24"/>
                <w:szCs w:val="24"/>
                <w:highlight w:val="none"/>
                <w:lang w:val="en-US" w:eastAsia="zh-CN"/>
              </w:rPr>
              <w:t>4、</w:t>
            </w:r>
            <w:r>
              <w:rPr>
                <w:rFonts w:hint="eastAsia"/>
                <w:b/>
                <w:bCs/>
                <w:color w:val="auto"/>
                <w:kern w:val="21"/>
                <w:sz w:val="24"/>
                <w:szCs w:val="24"/>
                <w:highlight w:val="none"/>
              </w:rPr>
              <w:t>生态环境保护目标</w:t>
            </w:r>
          </w:p>
          <w:p w14:paraId="0AB54640">
            <w:pPr>
              <w:adjustRightInd w:val="0"/>
              <w:snapToGrid w:val="0"/>
              <w:spacing w:line="360" w:lineRule="auto"/>
              <w:ind w:firstLine="480" w:firstLineChars="200"/>
              <w:rPr>
                <w:rFonts w:hint="eastAsia"/>
                <w:color w:val="auto"/>
                <w:kern w:val="21"/>
                <w:sz w:val="24"/>
                <w:szCs w:val="24"/>
                <w:highlight w:val="none"/>
              </w:rPr>
            </w:pPr>
            <w:r>
              <w:rPr>
                <w:rFonts w:hint="eastAsia"/>
                <w:color w:val="auto"/>
                <w:kern w:val="21"/>
                <w:sz w:val="24"/>
                <w:szCs w:val="24"/>
                <w:highlight w:val="none"/>
              </w:rPr>
              <w:t>本项目用地范围内无生态环境保护目标。</w:t>
            </w:r>
          </w:p>
        </w:tc>
      </w:tr>
      <w:tr w14:paraId="656709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88" w:hRule="atLeast"/>
          <w:jc w:val="center"/>
        </w:trPr>
        <w:tc>
          <w:tcPr>
            <w:tcW w:w="227" w:type="pct"/>
            <w:tcMar>
              <w:left w:w="28" w:type="dxa"/>
              <w:right w:w="28" w:type="dxa"/>
            </w:tcMar>
            <w:vAlign w:val="center"/>
          </w:tcPr>
          <w:p w14:paraId="0E0FBE81">
            <w:pPr>
              <w:adjustRightInd w:val="0"/>
              <w:snapToGrid w:val="0"/>
              <w:jc w:val="center"/>
              <w:rPr>
                <w:color w:val="auto"/>
                <w:kern w:val="0"/>
                <w:szCs w:val="21"/>
                <w:highlight w:val="none"/>
              </w:rPr>
            </w:pPr>
            <w:r>
              <w:rPr>
                <w:color w:val="auto"/>
                <w:kern w:val="0"/>
                <w:sz w:val="24"/>
                <w:szCs w:val="24"/>
                <w:highlight w:val="none"/>
              </w:rPr>
              <w:t>污染物排放控制标准</w:t>
            </w:r>
          </w:p>
        </w:tc>
        <w:tc>
          <w:tcPr>
            <w:tcW w:w="4772" w:type="pct"/>
          </w:tcPr>
          <w:p w14:paraId="0BA20E7E">
            <w:pPr>
              <w:adjustRightInd w:val="0"/>
              <w:snapToGrid w:val="0"/>
              <w:spacing w:line="360" w:lineRule="auto"/>
              <w:rPr>
                <w:b/>
                <w:bCs/>
                <w:color w:val="auto"/>
                <w:kern w:val="0"/>
                <w:sz w:val="24"/>
                <w:szCs w:val="24"/>
                <w:highlight w:val="none"/>
              </w:rPr>
            </w:pPr>
            <w:r>
              <w:rPr>
                <w:rFonts w:hint="eastAsia"/>
                <w:b/>
                <w:bCs/>
                <w:color w:val="auto"/>
                <w:kern w:val="0"/>
                <w:sz w:val="24"/>
                <w:szCs w:val="24"/>
                <w:highlight w:val="none"/>
                <w:lang w:val="en-US" w:eastAsia="zh-CN"/>
              </w:rPr>
              <w:t>1、</w:t>
            </w:r>
            <w:r>
              <w:rPr>
                <w:b/>
                <w:bCs/>
                <w:color w:val="auto"/>
                <w:kern w:val="0"/>
                <w:sz w:val="24"/>
                <w:szCs w:val="24"/>
                <w:highlight w:val="none"/>
              </w:rPr>
              <w:t>废水排放标准</w:t>
            </w:r>
          </w:p>
          <w:p w14:paraId="41AC5C28">
            <w:pPr>
              <w:adjustRightInd w:val="0"/>
              <w:snapToGrid w:val="0"/>
              <w:spacing w:line="360" w:lineRule="auto"/>
              <w:ind w:firstLine="480" w:firstLineChars="200"/>
              <w:rPr>
                <w:color w:val="auto"/>
                <w:kern w:val="0"/>
                <w:sz w:val="24"/>
                <w:szCs w:val="24"/>
                <w:highlight w:val="none"/>
              </w:rPr>
            </w:pPr>
            <w:r>
              <w:rPr>
                <w:rFonts w:hint="eastAsia"/>
                <w:color w:val="auto"/>
                <w:kern w:val="0"/>
                <w:sz w:val="24"/>
                <w:szCs w:val="24"/>
                <w:highlight w:val="none"/>
              </w:rPr>
              <w:t>本项目生活污水经市政管网接入漕湖污水处理厂处理，尾水排入胜岸港。</w:t>
            </w:r>
            <w:r>
              <w:rPr>
                <w:rFonts w:hint="eastAsia"/>
                <w:color w:val="auto"/>
                <w:sz w:val="24"/>
                <w:highlight w:val="none"/>
                <w:lang w:eastAsia="zh-CN"/>
              </w:rPr>
              <w:t>废水接管水质执行漕湖污水处理厂接管标准；尾水排放的COD、氨氮、总氮、总磷执行《关于高质量推进城乡生活污水治理三年行动计划的实施意见》中附件1苏州特别排放限值标准，其他未作规定的项目执行《城镇污水处理厂污染物排放标准》（DB32/4440-2022）中表1标准</w:t>
            </w:r>
            <w:r>
              <w:rPr>
                <w:rFonts w:hint="eastAsia"/>
                <w:color w:val="auto"/>
                <w:sz w:val="24"/>
                <w:highlight w:val="none"/>
              </w:rPr>
              <w:t>。项目污水排放标准具体见下表</w:t>
            </w:r>
            <w:r>
              <w:rPr>
                <w:color w:val="auto"/>
                <w:kern w:val="0"/>
                <w:sz w:val="24"/>
                <w:szCs w:val="24"/>
                <w:highlight w:val="none"/>
              </w:rPr>
              <w:t>。</w:t>
            </w:r>
          </w:p>
          <w:p w14:paraId="3A0A2AE2">
            <w:pPr>
              <w:numPr>
                <w:ilvl w:val="0"/>
                <w:numId w:val="5"/>
              </w:numPr>
              <w:adjustRightInd w:val="0"/>
              <w:snapToGrid w:val="0"/>
              <w:ind w:left="0" w:leftChars="0" w:firstLine="0" w:firstLineChars="0"/>
              <w:jc w:val="center"/>
              <w:rPr>
                <w:rFonts w:hint="eastAsia"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污水排放标准</w:t>
            </w:r>
          </w:p>
          <w:tbl>
            <w:tblPr>
              <w:tblStyle w:val="22"/>
              <w:tblW w:w="5000" w:type="pct"/>
              <w:tblInd w:w="-15"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4271"/>
              <w:gridCol w:w="1164"/>
              <w:gridCol w:w="952"/>
              <w:gridCol w:w="1023"/>
              <w:gridCol w:w="965"/>
            </w:tblGrid>
            <w:tr w14:paraId="7551BB2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tcBorders>
                    <w:tl2br w:val="nil"/>
                    <w:tr2bl w:val="nil"/>
                  </w:tcBorders>
                  <w:vAlign w:val="center"/>
                </w:tcPr>
                <w:p w14:paraId="3DEA15A7">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排放口名称</w:t>
                  </w:r>
                </w:p>
              </w:tc>
              <w:tc>
                <w:tcPr>
                  <w:tcW w:w="2305" w:type="pct"/>
                  <w:tcBorders>
                    <w:tl2br w:val="nil"/>
                    <w:tr2bl w:val="nil"/>
                  </w:tcBorders>
                  <w:vAlign w:val="center"/>
                </w:tcPr>
                <w:p w14:paraId="0F023593">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执行标准</w:t>
                  </w:r>
                </w:p>
              </w:tc>
              <w:tc>
                <w:tcPr>
                  <w:tcW w:w="628" w:type="pct"/>
                  <w:tcBorders>
                    <w:tl2br w:val="nil"/>
                    <w:tr2bl w:val="nil"/>
                  </w:tcBorders>
                  <w:vAlign w:val="center"/>
                </w:tcPr>
                <w:p w14:paraId="54F5C26B">
                  <w:pPr>
                    <w:pStyle w:val="29"/>
                    <w:rPr>
                      <w:rFonts w:hint="default" w:ascii="Times New Roman" w:hAnsi="Times New Roman" w:eastAsia="仿宋" w:cs="Times New Roman"/>
                      <w:b/>
                      <w:color w:val="auto"/>
                      <w:sz w:val="21"/>
                      <w:szCs w:val="21"/>
                      <w:highlight w:val="none"/>
                      <w:lang w:val="en-US" w:eastAsia="zh-CN"/>
                    </w:rPr>
                  </w:pPr>
                  <w:r>
                    <w:rPr>
                      <w:rFonts w:hint="default" w:ascii="Times New Roman" w:hAnsi="Times New Roman" w:eastAsia="仿宋" w:cs="Times New Roman"/>
                      <w:b/>
                      <w:color w:val="auto"/>
                      <w:sz w:val="21"/>
                      <w:szCs w:val="21"/>
                      <w:highlight w:val="none"/>
                      <w:lang w:val="en-US" w:eastAsia="zh-CN"/>
                    </w:rPr>
                    <w:t>取值表号及级别</w:t>
                  </w:r>
                </w:p>
              </w:tc>
              <w:tc>
                <w:tcPr>
                  <w:tcW w:w="514" w:type="pct"/>
                  <w:tcBorders>
                    <w:tl2br w:val="nil"/>
                    <w:tr2bl w:val="nil"/>
                  </w:tcBorders>
                  <w:vAlign w:val="center"/>
                </w:tcPr>
                <w:p w14:paraId="1CD31408">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污染物名称</w:t>
                  </w:r>
                </w:p>
              </w:tc>
              <w:tc>
                <w:tcPr>
                  <w:tcW w:w="552" w:type="pct"/>
                  <w:tcBorders>
                    <w:tl2br w:val="nil"/>
                    <w:tr2bl w:val="nil"/>
                  </w:tcBorders>
                  <w:vAlign w:val="center"/>
                </w:tcPr>
                <w:p w14:paraId="54FA4360">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标准限值</w:t>
                  </w:r>
                </w:p>
              </w:tc>
              <w:tc>
                <w:tcPr>
                  <w:tcW w:w="518" w:type="pct"/>
                  <w:tcBorders>
                    <w:tl2br w:val="nil"/>
                    <w:tr2bl w:val="nil"/>
                  </w:tcBorders>
                  <w:vAlign w:val="center"/>
                </w:tcPr>
                <w:p w14:paraId="2A0C9AA7">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单位</w:t>
                  </w:r>
                </w:p>
              </w:tc>
            </w:tr>
            <w:tr w14:paraId="67BFA9A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restart"/>
                  <w:tcBorders>
                    <w:tl2br w:val="nil"/>
                    <w:tr2bl w:val="nil"/>
                  </w:tcBorders>
                  <w:vAlign w:val="center"/>
                </w:tcPr>
                <w:p w14:paraId="5A7AF55A">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项目排放口</w:t>
                  </w:r>
                </w:p>
              </w:tc>
              <w:tc>
                <w:tcPr>
                  <w:tcW w:w="2305" w:type="pct"/>
                  <w:vMerge w:val="restart"/>
                  <w:tcBorders>
                    <w:tl2br w:val="nil"/>
                    <w:tr2bl w:val="nil"/>
                  </w:tcBorders>
                  <w:vAlign w:val="center"/>
                </w:tcPr>
                <w:p w14:paraId="3A7C8A54">
                  <w:pPr>
                    <w:pStyle w:val="29"/>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eastAsia="zh-CN"/>
                    </w:rPr>
                    <w:t>漕湖污水处理厂</w:t>
                  </w:r>
                  <w:r>
                    <w:rPr>
                      <w:rFonts w:hint="default" w:ascii="Times New Roman" w:hAnsi="Times New Roman" w:eastAsia="仿宋" w:cs="Times New Roman"/>
                      <w:color w:val="auto"/>
                      <w:sz w:val="21"/>
                      <w:szCs w:val="21"/>
                      <w:highlight w:val="none"/>
                    </w:rPr>
                    <w:t>接管标准</w:t>
                  </w:r>
                </w:p>
              </w:tc>
              <w:tc>
                <w:tcPr>
                  <w:tcW w:w="628" w:type="pct"/>
                  <w:vMerge w:val="restart"/>
                  <w:tcBorders>
                    <w:tl2br w:val="nil"/>
                    <w:tr2bl w:val="nil"/>
                  </w:tcBorders>
                  <w:vAlign w:val="center"/>
                </w:tcPr>
                <w:p w14:paraId="6BB460C1">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w:t>
                  </w:r>
                </w:p>
              </w:tc>
              <w:tc>
                <w:tcPr>
                  <w:tcW w:w="514" w:type="pct"/>
                  <w:tcBorders>
                    <w:tl2br w:val="nil"/>
                    <w:tr2bl w:val="nil"/>
                  </w:tcBorders>
                  <w:vAlign w:val="center"/>
                </w:tcPr>
                <w:p w14:paraId="572CDF31">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pH</w:t>
                  </w:r>
                </w:p>
              </w:tc>
              <w:tc>
                <w:tcPr>
                  <w:tcW w:w="552" w:type="pct"/>
                  <w:tcBorders>
                    <w:tl2br w:val="nil"/>
                    <w:tr2bl w:val="nil"/>
                  </w:tcBorders>
                  <w:vAlign w:val="center"/>
                </w:tcPr>
                <w:p w14:paraId="6D2AC74A">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6~9</w:t>
                  </w:r>
                </w:p>
              </w:tc>
              <w:tc>
                <w:tcPr>
                  <w:tcW w:w="518" w:type="pct"/>
                  <w:tcBorders>
                    <w:tl2br w:val="nil"/>
                    <w:tr2bl w:val="nil"/>
                  </w:tcBorders>
                  <w:vAlign w:val="center"/>
                </w:tcPr>
                <w:p w14:paraId="2FC09392">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无量纲</w:t>
                  </w:r>
                </w:p>
              </w:tc>
            </w:tr>
            <w:tr w14:paraId="1034D29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l2br w:val="nil"/>
                    <w:tr2bl w:val="nil"/>
                  </w:tcBorders>
                  <w:vAlign w:val="center"/>
                </w:tcPr>
                <w:p w14:paraId="4C7AD0CA">
                  <w:pPr>
                    <w:pStyle w:val="29"/>
                    <w:rPr>
                      <w:rFonts w:hint="default" w:ascii="Times New Roman" w:hAnsi="Times New Roman" w:eastAsia="仿宋" w:cs="Times New Roman"/>
                      <w:color w:val="auto"/>
                      <w:sz w:val="21"/>
                      <w:szCs w:val="21"/>
                      <w:highlight w:val="none"/>
                    </w:rPr>
                  </w:pPr>
                </w:p>
              </w:tc>
              <w:tc>
                <w:tcPr>
                  <w:tcW w:w="2305" w:type="pct"/>
                  <w:vMerge w:val="continue"/>
                  <w:tcBorders>
                    <w:tl2br w:val="nil"/>
                    <w:tr2bl w:val="nil"/>
                  </w:tcBorders>
                  <w:vAlign w:val="center"/>
                </w:tcPr>
                <w:p w14:paraId="2696DBB9">
                  <w:pPr>
                    <w:pStyle w:val="29"/>
                    <w:rPr>
                      <w:rFonts w:hint="default" w:ascii="Times New Roman" w:hAnsi="Times New Roman" w:eastAsia="仿宋" w:cs="Times New Roman"/>
                      <w:color w:val="auto"/>
                      <w:sz w:val="21"/>
                      <w:szCs w:val="21"/>
                      <w:highlight w:val="none"/>
                    </w:rPr>
                  </w:pPr>
                </w:p>
              </w:tc>
              <w:tc>
                <w:tcPr>
                  <w:tcW w:w="628" w:type="pct"/>
                  <w:vMerge w:val="continue"/>
                  <w:tcBorders>
                    <w:tl2br w:val="nil"/>
                    <w:tr2bl w:val="nil"/>
                  </w:tcBorders>
                  <w:vAlign w:val="center"/>
                </w:tcPr>
                <w:p w14:paraId="51D1644E">
                  <w:pPr>
                    <w:pStyle w:val="29"/>
                    <w:rPr>
                      <w:rFonts w:hint="default" w:ascii="Times New Roman" w:hAnsi="Times New Roman" w:eastAsia="仿宋" w:cs="Times New Roman"/>
                      <w:color w:val="auto"/>
                      <w:sz w:val="21"/>
                      <w:szCs w:val="21"/>
                      <w:highlight w:val="none"/>
                    </w:rPr>
                  </w:pPr>
                </w:p>
              </w:tc>
              <w:tc>
                <w:tcPr>
                  <w:tcW w:w="514" w:type="pct"/>
                  <w:tcBorders>
                    <w:tl2br w:val="nil"/>
                    <w:tr2bl w:val="nil"/>
                  </w:tcBorders>
                  <w:vAlign w:val="center"/>
                </w:tcPr>
                <w:p w14:paraId="039717D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COD</w:t>
                  </w:r>
                </w:p>
              </w:tc>
              <w:tc>
                <w:tcPr>
                  <w:tcW w:w="552" w:type="pct"/>
                  <w:tcBorders>
                    <w:tl2br w:val="nil"/>
                    <w:tr2bl w:val="nil"/>
                  </w:tcBorders>
                  <w:vAlign w:val="center"/>
                </w:tcPr>
                <w:p w14:paraId="7E2A3E08">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400</w:t>
                  </w:r>
                </w:p>
              </w:tc>
              <w:tc>
                <w:tcPr>
                  <w:tcW w:w="518" w:type="pct"/>
                  <w:tcBorders>
                    <w:tl2br w:val="nil"/>
                    <w:tr2bl w:val="nil"/>
                  </w:tcBorders>
                  <w:vAlign w:val="center"/>
                </w:tcPr>
                <w:p w14:paraId="522B20EE">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mg/L</w:t>
                  </w:r>
                </w:p>
              </w:tc>
            </w:tr>
            <w:tr w14:paraId="0A7CE58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l2br w:val="nil"/>
                    <w:tr2bl w:val="nil"/>
                  </w:tcBorders>
                  <w:vAlign w:val="center"/>
                </w:tcPr>
                <w:p w14:paraId="43EE0416">
                  <w:pPr>
                    <w:pStyle w:val="29"/>
                    <w:rPr>
                      <w:rFonts w:hint="default" w:ascii="Times New Roman" w:hAnsi="Times New Roman" w:eastAsia="仿宋" w:cs="Times New Roman"/>
                      <w:color w:val="auto"/>
                      <w:sz w:val="21"/>
                      <w:szCs w:val="21"/>
                      <w:highlight w:val="none"/>
                    </w:rPr>
                  </w:pPr>
                </w:p>
              </w:tc>
              <w:tc>
                <w:tcPr>
                  <w:tcW w:w="2305" w:type="pct"/>
                  <w:vMerge w:val="continue"/>
                  <w:tcBorders>
                    <w:tl2br w:val="nil"/>
                    <w:tr2bl w:val="nil"/>
                  </w:tcBorders>
                  <w:vAlign w:val="center"/>
                </w:tcPr>
                <w:p w14:paraId="15303897">
                  <w:pPr>
                    <w:pStyle w:val="29"/>
                    <w:rPr>
                      <w:rFonts w:hint="default" w:ascii="Times New Roman" w:hAnsi="Times New Roman" w:eastAsia="仿宋" w:cs="Times New Roman"/>
                      <w:color w:val="auto"/>
                      <w:sz w:val="21"/>
                      <w:szCs w:val="21"/>
                      <w:highlight w:val="none"/>
                    </w:rPr>
                  </w:pPr>
                </w:p>
              </w:tc>
              <w:tc>
                <w:tcPr>
                  <w:tcW w:w="628" w:type="pct"/>
                  <w:vMerge w:val="continue"/>
                  <w:tcBorders>
                    <w:tl2br w:val="nil"/>
                    <w:tr2bl w:val="nil"/>
                  </w:tcBorders>
                  <w:vAlign w:val="center"/>
                </w:tcPr>
                <w:p w14:paraId="058002AD">
                  <w:pPr>
                    <w:pStyle w:val="29"/>
                    <w:rPr>
                      <w:rFonts w:hint="default" w:ascii="Times New Roman" w:hAnsi="Times New Roman" w:eastAsia="仿宋" w:cs="Times New Roman"/>
                      <w:color w:val="auto"/>
                      <w:sz w:val="21"/>
                      <w:szCs w:val="21"/>
                      <w:highlight w:val="none"/>
                    </w:rPr>
                  </w:pPr>
                </w:p>
              </w:tc>
              <w:tc>
                <w:tcPr>
                  <w:tcW w:w="514" w:type="pct"/>
                  <w:tcBorders>
                    <w:tl2br w:val="nil"/>
                    <w:tr2bl w:val="nil"/>
                  </w:tcBorders>
                  <w:vAlign w:val="center"/>
                </w:tcPr>
                <w:p w14:paraId="798AE07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SS</w:t>
                  </w:r>
                </w:p>
              </w:tc>
              <w:tc>
                <w:tcPr>
                  <w:tcW w:w="552" w:type="pct"/>
                  <w:tcBorders>
                    <w:tl2br w:val="nil"/>
                    <w:tr2bl w:val="nil"/>
                  </w:tcBorders>
                  <w:vAlign w:val="center"/>
                </w:tcPr>
                <w:p w14:paraId="199A12A6">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200</w:t>
                  </w:r>
                </w:p>
              </w:tc>
              <w:tc>
                <w:tcPr>
                  <w:tcW w:w="518" w:type="pct"/>
                  <w:tcBorders>
                    <w:tl2br w:val="nil"/>
                    <w:tr2bl w:val="nil"/>
                  </w:tcBorders>
                  <w:vAlign w:val="center"/>
                </w:tcPr>
                <w:p w14:paraId="03FAD6DD">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mg/L</w:t>
                  </w:r>
                </w:p>
              </w:tc>
            </w:tr>
            <w:tr w14:paraId="67591E2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l2br w:val="nil"/>
                    <w:tr2bl w:val="nil"/>
                  </w:tcBorders>
                  <w:vAlign w:val="center"/>
                </w:tcPr>
                <w:p w14:paraId="21B5312F">
                  <w:pPr>
                    <w:pStyle w:val="29"/>
                    <w:rPr>
                      <w:rFonts w:hint="default" w:ascii="Times New Roman" w:hAnsi="Times New Roman" w:eastAsia="仿宋" w:cs="Times New Roman"/>
                      <w:color w:val="auto"/>
                      <w:sz w:val="21"/>
                      <w:szCs w:val="21"/>
                      <w:highlight w:val="none"/>
                    </w:rPr>
                  </w:pPr>
                </w:p>
              </w:tc>
              <w:tc>
                <w:tcPr>
                  <w:tcW w:w="2305" w:type="pct"/>
                  <w:vMerge w:val="continue"/>
                  <w:tcBorders>
                    <w:tl2br w:val="nil"/>
                    <w:tr2bl w:val="nil"/>
                  </w:tcBorders>
                  <w:vAlign w:val="center"/>
                </w:tcPr>
                <w:p w14:paraId="0C35C5BD">
                  <w:pPr>
                    <w:pStyle w:val="29"/>
                    <w:rPr>
                      <w:rFonts w:hint="default" w:ascii="Times New Roman" w:hAnsi="Times New Roman" w:eastAsia="仿宋" w:cs="Times New Roman"/>
                      <w:color w:val="auto"/>
                      <w:sz w:val="21"/>
                      <w:szCs w:val="21"/>
                      <w:highlight w:val="none"/>
                    </w:rPr>
                  </w:pPr>
                </w:p>
              </w:tc>
              <w:tc>
                <w:tcPr>
                  <w:tcW w:w="628" w:type="pct"/>
                  <w:vMerge w:val="continue"/>
                  <w:tcBorders>
                    <w:tl2br w:val="nil"/>
                    <w:tr2bl w:val="nil"/>
                  </w:tcBorders>
                  <w:vAlign w:val="center"/>
                </w:tcPr>
                <w:p w14:paraId="11937CA0">
                  <w:pPr>
                    <w:pStyle w:val="29"/>
                    <w:rPr>
                      <w:rFonts w:hint="default" w:ascii="Times New Roman" w:hAnsi="Times New Roman" w:eastAsia="仿宋" w:cs="Times New Roman"/>
                      <w:color w:val="auto"/>
                      <w:sz w:val="21"/>
                      <w:szCs w:val="21"/>
                      <w:highlight w:val="none"/>
                    </w:rPr>
                  </w:pPr>
                </w:p>
              </w:tc>
              <w:tc>
                <w:tcPr>
                  <w:tcW w:w="514" w:type="pct"/>
                  <w:tcBorders>
                    <w:tl2br w:val="nil"/>
                    <w:tr2bl w:val="nil"/>
                  </w:tcBorders>
                  <w:vAlign w:val="center"/>
                </w:tcPr>
                <w:p w14:paraId="40A7DF3D">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NH</w:t>
                  </w:r>
                  <w:r>
                    <w:rPr>
                      <w:rFonts w:hint="default" w:ascii="Times New Roman" w:hAnsi="Times New Roman" w:eastAsia="仿宋" w:cs="Times New Roman"/>
                      <w:color w:val="auto"/>
                      <w:sz w:val="21"/>
                      <w:szCs w:val="21"/>
                      <w:highlight w:val="none"/>
                      <w:vertAlign w:val="subscript"/>
                    </w:rPr>
                    <w:t>3</w:t>
                  </w:r>
                  <w:r>
                    <w:rPr>
                      <w:rFonts w:hint="default" w:ascii="Times New Roman" w:hAnsi="Times New Roman" w:eastAsia="仿宋" w:cs="Times New Roman"/>
                      <w:color w:val="auto"/>
                      <w:sz w:val="21"/>
                      <w:szCs w:val="21"/>
                      <w:highlight w:val="none"/>
                    </w:rPr>
                    <w:t>-N</w:t>
                  </w:r>
                </w:p>
              </w:tc>
              <w:tc>
                <w:tcPr>
                  <w:tcW w:w="552" w:type="pct"/>
                  <w:tcBorders>
                    <w:tl2br w:val="nil"/>
                    <w:tr2bl w:val="nil"/>
                  </w:tcBorders>
                  <w:vAlign w:val="center"/>
                </w:tcPr>
                <w:p w14:paraId="7F7FBE8D">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35</w:t>
                  </w:r>
                </w:p>
              </w:tc>
              <w:tc>
                <w:tcPr>
                  <w:tcW w:w="518" w:type="pct"/>
                  <w:tcBorders>
                    <w:tl2br w:val="nil"/>
                    <w:tr2bl w:val="nil"/>
                  </w:tcBorders>
                  <w:vAlign w:val="center"/>
                </w:tcPr>
                <w:p w14:paraId="02730D5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mg/L</w:t>
                  </w:r>
                </w:p>
              </w:tc>
            </w:tr>
            <w:tr w14:paraId="673D4EE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l2br w:val="nil"/>
                    <w:tr2bl w:val="nil"/>
                  </w:tcBorders>
                  <w:vAlign w:val="center"/>
                </w:tcPr>
                <w:p w14:paraId="3283EBF0">
                  <w:pPr>
                    <w:pStyle w:val="29"/>
                    <w:rPr>
                      <w:rFonts w:hint="default" w:ascii="Times New Roman" w:hAnsi="Times New Roman" w:eastAsia="仿宋" w:cs="Times New Roman"/>
                      <w:color w:val="auto"/>
                      <w:sz w:val="21"/>
                      <w:szCs w:val="21"/>
                      <w:highlight w:val="none"/>
                    </w:rPr>
                  </w:pPr>
                </w:p>
              </w:tc>
              <w:tc>
                <w:tcPr>
                  <w:tcW w:w="2305" w:type="pct"/>
                  <w:vMerge w:val="continue"/>
                  <w:tcBorders>
                    <w:tl2br w:val="nil"/>
                    <w:tr2bl w:val="nil"/>
                  </w:tcBorders>
                  <w:vAlign w:val="center"/>
                </w:tcPr>
                <w:p w14:paraId="7DC67E50">
                  <w:pPr>
                    <w:pStyle w:val="29"/>
                    <w:rPr>
                      <w:rFonts w:hint="default" w:ascii="Times New Roman" w:hAnsi="Times New Roman" w:eastAsia="仿宋" w:cs="Times New Roman"/>
                      <w:color w:val="auto"/>
                      <w:sz w:val="21"/>
                      <w:szCs w:val="21"/>
                      <w:highlight w:val="none"/>
                    </w:rPr>
                  </w:pPr>
                </w:p>
              </w:tc>
              <w:tc>
                <w:tcPr>
                  <w:tcW w:w="628" w:type="pct"/>
                  <w:vMerge w:val="continue"/>
                  <w:tcBorders>
                    <w:tl2br w:val="nil"/>
                    <w:tr2bl w:val="nil"/>
                  </w:tcBorders>
                  <w:vAlign w:val="center"/>
                </w:tcPr>
                <w:p w14:paraId="52FDACCC">
                  <w:pPr>
                    <w:pStyle w:val="29"/>
                    <w:rPr>
                      <w:rFonts w:hint="default" w:ascii="Times New Roman" w:hAnsi="Times New Roman" w:eastAsia="仿宋" w:cs="Times New Roman"/>
                      <w:color w:val="auto"/>
                      <w:sz w:val="21"/>
                      <w:szCs w:val="21"/>
                      <w:highlight w:val="none"/>
                    </w:rPr>
                  </w:pPr>
                </w:p>
              </w:tc>
              <w:tc>
                <w:tcPr>
                  <w:tcW w:w="514" w:type="pct"/>
                  <w:tcBorders>
                    <w:tl2br w:val="nil"/>
                    <w:tr2bl w:val="nil"/>
                  </w:tcBorders>
                  <w:vAlign w:val="center"/>
                </w:tcPr>
                <w:p w14:paraId="7919A976">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TP</w:t>
                  </w:r>
                </w:p>
              </w:tc>
              <w:tc>
                <w:tcPr>
                  <w:tcW w:w="552" w:type="pct"/>
                  <w:tcBorders>
                    <w:tl2br w:val="nil"/>
                    <w:tr2bl w:val="nil"/>
                  </w:tcBorders>
                  <w:vAlign w:val="center"/>
                </w:tcPr>
                <w:p w14:paraId="0000ECF1">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5</w:t>
                  </w:r>
                </w:p>
              </w:tc>
              <w:tc>
                <w:tcPr>
                  <w:tcW w:w="518" w:type="pct"/>
                  <w:tcBorders>
                    <w:tl2br w:val="nil"/>
                    <w:tr2bl w:val="nil"/>
                  </w:tcBorders>
                  <w:vAlign w:val="center"/>
                </w:tcPr>
                <w:p w14:paraId="24FE6C3B">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mg/L</w:t>
                  </w:r>
                </w:p>
              </w:tc>
            </w:tr>
            <w:tr w14:paraId="1979473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l2br w:val="nil"/>
                    <w:tr2bl w:val="nil"/>
                  </w:tcBorders>
                  <w:vAlign w:val="center"/>
                </w:tcPr>
                <w:p w14:paraId="3C43B041">
                  <w:pPr>
                    <w:pStyle w:val="29"/>
                    <w:rPr>
                      <w:rFonts w:hint="default" w:ascii="Times New Roman" w:hAnsi="Times New Roman" w:eastAsia="仿宋" w:cs="Times New Roman"/>
                      <w:color w:val="auto"/>
                      <w:sz w:val="21"/>
                      <w:szCs w:val="21"/>
                      <w:highlight w:val="none"/>
                    </w:rPr>
                  </w:pPr>
                </w:p>
              </w:tc>
              <w:tc>
                <w:tcPr>
                  <w:tcW w:w="2305" w:type="pct"/>
                  <w:vMerge w:val="continue"/>
                  <w:tcBorders>
                    <w:tl2br w:val="nil"/>
                    <w:tr2bl w:val="nil"/>
                  </w:tcBorders>
                  <w:vAlign w:val="center"/>
                </w:tcPr>
                <w:p w14:paraId="27A029C0">
                  <w:pPr>
                    <w:pStyle w:val="29"/>
                    <w:rPr>
                      <w:rFonts w:hint="default" w:ascii="Times New Roman" w:hAnsi="Times New Roman" w:eastAsia="仿宋" w:cs="Times New Roman"/>
                      <w:color w:val="auto"/>
                      <w:sz w:val="21"/>
                      <w:szCs w:val="21"/>
                      <w:highlight w:val="none"/>
                    </w:rPr>
                  </w:pPr>
                </w:p>
              </w:tc>
              <w:tc>
                <w:tcPr>
                  <w:tcW w:w="628" w:type="pct"/>
                  <w:vMerge w:val="continue"/>
                  <w:tcBorders>
                    <w:tl2br w:val="nil"/>
                    <w:tr2bl w:val="nil"/>
                  </w:tcBorders>
                  <w:vAlign w:val="center"/>
                </w:tcPr>
                <w:p w14:paraId="76DC950C">
                  <w:pPr>
                    <w:pStyle w:val="29"/>
                    <w:rPr>
                      <w:rFonts w:hint="default" w:ascii="Times New Roman" w:hAnsi="Times New Roman" w:eastAsia="仿宋" w:cs="Times New Roman"/>
                      <w:color w:val="auto"/>
                      <w:sz w:val="21"/>
                      <w:szCs w:val="21"/>
                      <w:highlight w:val="none"/>
                    </w:rPr>
                  </w:pPr>
                </w:p>
              </w:tc>
              <w:tc>
                <w:tcPr>
                  <w:tcW w:w="514" w:type="pct"/>
                  <w:tcBorders>
                    <w:tl2br w:val="nil"/>
                    <w:tr2bl w:val="nil"/>
                  </w:tcBorders>
                  <w:vAlign w:val="center"/>
                </w:tcPr>
                <w:p w14:paraId="054E7F99">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TN</w:t>
                  </w:r>
                </w:p>
              </w:tc>
              <w:tc>
                <w:tcPr>
                  <w:tcW w:w="552" w:type="pct"/>
                  <w:tcBorders>
                    <w:tl2br w:val="nil"/>
                    <w:tr2bl w:val="nil"/>
                  </w:tcBorders>
                  <w:vAlign w:val="center"/>
                </w:tcPr>
                <w:p w14:paraId="7A9C5577">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40</w:t>
                  </w:r>
                </w:p>
              </w:tc>
              <w:tc>
                <w:tcPr>
                  <w:tcW w:w="518" w:type="pct"/>
                  <w:tcBorders>
                    <w:tl2br w:val="nil"/>
                    <w:tr2bl w:val="nil"/>
                  </w:tcBorders>
                  <w:vAlign w:val="center"/>
                </w:tcPr>
                <w:p w14:paraId="07E22FD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mg/L</w:t>
                  </w:r>
                </w:p>
              </w:tc>
            </w:tr>
            <w:tr w14:paraId="0F57547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restart"/>
                  <w:tcBorders>
                    <w:tl2br w:val="nil"/>
                    <w:tr2bl w:val="nil"/>
                  </w:tcBorders>
                  <w:vAlign w:val="center"/>
                </w:tcPr>
                <w:p w14:paraId="4B6C85AE">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eastAsia="zh-CN"/>
                    </w:rPr>
                    <w:t>污水处理厂</w:t>
                  </w:r>
                  <w:r>
                    <w:rPr>
                      <w:rFonts w:hint="default" w:ascii="Times New Roman" w:hAnsi="Times New Roman" w:eastAsia="仿宋" w:cs="Times New Roman"/>
                      <w:color w:val="auto"/>
                      <w:sz w:val="21"/>
                      <w:szCs w:val="21"/>
                      <w:highlight w:val="none"/>
                    </w:rPr>
                    <w:t>排放口</w:t>
                  </w:r>
                </w:p>
              </w:tc>
              <w:tc>
                <w:tcPr>
                  <w:tcW w:w="2305" w:type="pct"/>
                  <w:vMerge w:val="restart"/>
                  <w:tcBorders>
                    <w:tl2br w:val="nil"/>
                    <w:tr2bl w:val="nil"/>
                  </w:tcBorders>
                  <w:vAlign w:val="center"/>
                </w:tcPr>
                <w:p w14:paraId="34188BE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《市委办公室市政府办公室印发</w:t>
                  </w:r>
                  <w:r>
                    <w:rPr>
                      <w:rFonts w:hint="eastAsia" w:eastAsia="仿宋" w:cs="Times New Roman"/>
                      <w:color w:val="auto"/>
                      <w:sz w:val="21"/>
                      <w:szCs w:val="21"/>
                      <w:highlight w:val="none"/>
                      <w:lang w:val="en-US" w:eastAsia="zh-CN"/>
                    </w:rPr>
                    <w:t>&lt;</w:t>
                  </w:r>
                  <w:r>
                    <w:rPr>
                      <w:rFonts w:hint="default" w:ascii="Times New Roman" w:hAnsi="Times New Roman" w:eastAsia="仿宋" w:cs="Times New Roman"/>
                      <w:color w:val="auto"/>
                      <w:sz w:val="21"/>
                      <w:szCs w:val="21"/>
                      <w:highlight w:val="none"/>
                    </w:rPr>
                    <w:t>关于高质量推进城乡生活污水治理三年行动计划的实施意见</w:t>
                  </w:r>
                  <w:r>
                    <w:rPr>
                      <w:rFonts w:hint="eastAsia" w:ascii="Times New Roman" w:hAnsi="Times New Roman" w:eastAsia="仿宋" w:cs="Times New Roman"/>
                      <w:color w:val="auto"/>
                      <w:sz w:val="21"/>
                      <w:szCs w:val="21"/>
                      <w:highlight w:val="none"/>
                      <w:lang w:val="en-US" w:eastAsia="zh-CN"/>
                    </w:rPr>
                    <w:t>&gt;</w:t>
                  </w:r>
                  <w:r>
                    <w:rPr>
                      <w:rFonts w:hint="default" w:ascii="Times New Roman" w:hAnsi="Times New Roman" w:eastAsia="仿宋" w:cs="Times New Roman"/>
                      <w:color w:val="auto"/>
                      <w:sz w:val="21"/>
                      <w:szCs w:val="21"/>
                      <w:highlight w:val="none"/>
                    </w:rPr>
                    <w:t>》（苏委办发〔2018〕77号）苏州特别排放标准限值标准</w:t>
                  </w:r>
                </w:p>
              </w:tc>
              <w:tc>
                <w:tcPr>
                  <w:tcW w:w="628" w:type="pct"/>
                  <w:vMerge w:val="restart"/>
                  <w:tcBorders>
                    <w:tl2br w:val="nil"/>
                    <w:tr2bl w:val="nil"/>
                  </w:tcBorders>
                  <w:vAlign w:val="center"/>
                </w:tcPr>
                <w:p w14:paraId="4AFD7AC2">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w:t>
                  </w:r>
                </w:p>
              </w:tc>
              <w:tc>
                <w:tcPr>
                  <w:tcW w:w="514" w:type="pct"/>
                  <w:tcBorders>
                    <w:tl2br w:val="nil"/>
                    <w:tr2bl w:val="nil"/>
                  </w:tcBorders>
                  <w:vAlign w:val="center"/>
                </w:tcPr>
                <w:p w14:paraId="6E2AAB2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COD</w:t>
                  </w:r>
                </w:p>
              </w:tc>
              <w:tc>
                <w:tcPr>
                  <w:tcW w:w="552" w:type="pct"/>
                  <w:tcBorders>
                    <w:tl2br w:val="nil"/>
                    <w:tr2bl w:val="nil"/>
                  </w:tcBorders>
                  <w:vAlign w:val="center"/>
                </w:tcPr>
                <w:p w14:paraId="0B28ED9E">
                  <w:pPr>
                    <w:pStyle w:val="29"/>
                    <w:rPr>
                      <w:rFonts w:hint="default" w:ascii="Times New Roman" w:hAnsi="Times New Roman" w:eastAsia="仿宋" w:cs="Times New Roman"/>
                      <w:color w:val="auto"/>
                      <w:sz w:val="21"/>
                      <w:szCs w:val="21"/>
                      <w:highlight w:val="none"/>
                      <w:lang w:val="en-US"/>
                    </w:rPr>
                  </w:pPr>
                  <w:r>
                    <w:rPr>
                      <w:rFonts w:hint="eastAsia" w:cs="Times New Roman"/>
                      <w:color w:val="auto"/>
                      <w:sz w:val="21"/>
                      <w:szCs w:val="21"/>
                      <w:highlight w:val="none"/>
                      <w:lang w:val="en-US" w:eastAsia="zh-CN"/>
                    </w:rPr>
                    <w:t>30</w:t>
                  </w:r>
                </w:p>
              </w:tc>
              <w:tc>
                <w:tcPr>
                  <w:tcW w:w="518" w:type="pct"/>
                  <w:tcBorders>
                    <w:tl2br w:val="nil"/>
                    <w:tr2bl w:val="nil"/>
                  </w:tcBorders>
                  <w:vAlign w:val="center"/>
                </w:tcPr>
                <w:p w14:paraId="0264C79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mg/L</w:t>
                  </w:r>
                </w:p>
              </w:tc>
            </w:tr>
            <w:tr w14:paraId="77FE9F0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l2br w:val="nil"/>
                    <w:tr2bl w:val="nil"/>
                  </w:tcBorders>
                  <w:vAlign w:val="center"/>
                </w:tcPr>
                <w:p w14:paraId="665EDBD2">
                  <w:pPr>
                    <w:pStyle w:val="29"/>
                    <w:rPr>
                      <w:rFonts w:hint="default" w:ascii="Times New Roman" w:hAnsi="Times New Roman" w:eastAsia="仿宋" w:cs="Times New Roman"/>
                      <w:color w:val="auto"/>
                      <w:sz w:val="21"/>
                      <w:szCs w:val="21"/>
                      <w:highlight w:val="none"/>
                    </w:rPr>
                  </w:pPr>
                </w:p>
              </w:tc>
              <w:tc>
                <w:tcPr>
                  <w:tcW w:w="2305" w:type="pct"/>
                  <w:vMerge w:val="continue"/>
                  <w:tcBorders>
                    <w:tl2br w:val="nil"/>
                    <w:tr2bl w:val="nil"/>
                  </w:tcBorders>
                  <w:vAlign w:val="center"/>
                </w:tcPr>
                <w:p w14:paraId="2351D52D">
                  <w:pPr>
                    <w:pStyle w:val="29"/>
                    <w:rPr>
                      <w:rFonts w:hint="default" w:ascii="Times New Roman" w:hAnsi="Times New Roman" w:eastAsia="仿宋" w:cs="Times New Roman"/>
                      <w:color w:val="auto"/>
                      <w:sz w:val="21"/>
                      <w:szCs w:val="21"/>
                      <w:highlight w:val="none"/>
                    </w:rPr>
                  </w:pPr>
                </w:p>
              </w:tc>
              <w:tc>
                <w:tcPr>
                  <w:tcW w:w="628" w:type="pct"/>
                  <w:vMerge w:val="continue"/>
                  <w:tcBorders>
                    <w:tl2br w:val="nil"/>
                    <w:tr2bl w:val="nil"/>
                  </w:tcBorders>
                  <w:vAlign w:val="center"/>
                </w:tcPr>
                <w:p w14:paraId="005667D5">
                  <w:pPr>
                    <w:pStyle w:val="29"/>
                    <w:rPr>
                      <w:rFonts w:hint="default" w:ascii="Times New Roman" w:hAnsi="Times New Roman" w:eastAsia="仿宋" w:cs="Times New Roman"/>
                      <w:color w:val="auto"/>
                      <w:sz w:val="21"/>
                      <w:szCs w:val="21"/>
                      <w:highlight w:val="none"/>
                    </w:rPr>
                  </w:pPr>
                </w:p>
              </w:tc>
              <w:tc>
                <w:tcPr>
                  <w:tcW w:w="514" w:type="pct"/>
                  <w:tcBorders>
                    <w:tl2br w:val="nil"/>
                    <w:tr2bl w:val="nil"/>
                  </w:tcBorders>
                  <w:vAlign w:val="center"/>
                </w:tcPr>
                <w:p w14:paraId="3777EDE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NH</w:t>
                  </w:r>
                  <w:r>
                    <w:rPr>
                      <w:rFonts w:hint="default" w:ascii="Times New Roman" w:hAnsi="Times New Roman" w:eastAsia="仿宋" w:cs="Times New Roman"/>
                      <w:color w:val="auto"/>
                      <w:sz w:val="21"/>
                      <w:szCs w:val="21"/>
                      <w:highlight w:val="none"/>
                      <w:vertAlign w:val="subscript"/>
                    </w:rPr>
                    <w:t>3</w:t>
                  </w:r>
                  <w:r>
                    <w:rPr>
                      <w:rFonts w:hint="default" w:ascii="Times New Roman" w:hAnsi="Times New Roman" w:eastAsia="仿宋" w:cs="Times New Roman"/>
                      <w:color w:val="auto"/>
                      <w:sz w:val="21"/>
                      <w:szCs w:val="21"/>
                      <w:highlight w:val="none"/>
                    </w:rPr>
                    <w:t>-N</w:t>
                  </w:r>
                </w:p>
              </w:tc>
              <w:tc>
                <w:tcPr>
                  <w:tcW w:w="552" w:type="pct"/>
                  <w:tcBorders>
                    <w:tl2br w:val="nil"/>
                    <w:tr2bl w:val="nil"/>
                  </w:tcBorders>
                  <w:vAlign w:val="center"/>
                </w:tcPr>
                <w:p w14:paraId="66BE0818">
                  <w:pPr>
                    <w:pStyle w:val="29"/>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w:t>
                  </w:r>
                </w:p>
              </w:tc>
              <w:tc>
                <w:tcPr>
                  <w:tcW w:w="518" w:type="pct"/>
                  <w:tcBorders>
                    <w:tl2br w:val="nil"/>
                    <w:tr2bl w:val="nil"/>
                  </w:tcBorders>
                  <w:vAlign w:val="center"/>
                </w:tcPr>
                <w:p w14:paraId="5BD56D4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mg/L</w:t>
                  </w:r>
                </w:p>
              </w:tc>
            </w:tr>
            <w:tr w14:paraId="1642A9B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l2br w:val="nil"/>
                    <w:tr2bl w:val="nil"/>
                  </w:tcBorders>
                  <w:vAlign w:val="center"/>
                </w:tcPr>
                <w:p w14:paraId="4CA65F23">
                  <w:pPr>
                    <w:pStyle w:val="29"/>
                    <w:rPr>
                      <w:rFonts w:hint="default" w:ascii="Times New Roman" w:hAnsi="Times New Roman" w:eastAsia="仿宋" w:cs="Times New Roman"/>
                      <w:color w:val="auto"/>
                      <w:sz w:val="21"/>
                      <w:szCs w:val="21"/>
                      <w:highlight w:val="none"/>
                    </w:rPr>
                  </w:pPr>
                </w:p>
              </w:tc>
              <w:tc>
                <w:tcPr>
                  <w:tcW w:w="2305" w:type="pct"/>
                  <w:vMerge w:val="continue"/>
                  <w:tcBorders>
                    <w:tl2br w:val="nil"/>
                    <w:tr2bl w:val="nil"/>
                  </w:tcBorders>
                  <w:vAlign w:val="center"/>
                </w:tcPr>
                <w:p w14:paraId="0C5711A0">
                  <w:pPr>
                    <w:pStyle w:val="29"/>
                    <w:rPr>
                      <w:rFonts w:hint="default" w:ascii="Times New Roman" w:hAnsi="Times New Roman" w:eastAsia="仿宋" w:cs="Times New Roman"/>
                      <w:color w:val="auto"/>
                      <w:sz w:val="21"/>
                      <w:szCs w:val="21"/>
                      <w:highlight w:val="none"/>
                    </w:rPr>
                  </w:pPr>
                </w:p>
              </w:tc>
              <w:tc>
                <w:tcPr>
                  <w:tcW w:w="628" w:type="pct"/>
                  <w:vMerge w:val="continue"/>
                  <w:tcBorders>
                    <w:tl2br w:val="nil"/>
                    <w:tr2bl w:val="nil"/>
                  </w:tcBorders>
                  <w:vAlign w:val="center"/>
                </w:tcPr>
                <w:p w14:paraId="2B0AF164">
                  <w:pPr>
                    <w:pStyle w:val="29"/>
                    <w:rPr>
                      <w:rFonts w:hint="default" w:ascii="Times New Roman" w:hAnsi="Times New Roman" w:eastAsia="仿宋" w:cs="Times New Roman"/>
                      <w:color w:val="auto"/>
                      <w:sz w:val="21"/>
                      <w:szCs w:val="21"/>
                      <w:highlight w:val="none"/>
                    </w:rPr>
                  </w:pPr>
                </w:p>
              </w:tc>
              <w:tc>
                <w:tcPr>
                  <w:tcW w:w="514" w:type="pct"/>
                  <w:tcBorders>
                    <w:tl2br w:val="nil"/>
                    <w:tr2bl w:val="nil"/>
                  </w:tcBorders>
                  <w:vAlign w:val="center"/>
                </w:tcPr>
                <w:p w14:paraId="316B85E1">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TP</w:t>
                  </w:r>
                </w:p>
              </w:tc>
              <w:tc>
                <w:tcPr>
                  <w:tcW w:w="552" w:type="pct"/>
                  <w:tcBorders>
                    <w:tl2br w:val="nil"/>
                    <w:tr2bl w:val="nil"/>
                  </w:tcBorders>
                  <w:vAlign w:val="center"/>
                </w:tcPr>
                <w:p w14:paraId="3D061DF2">
                  <w:pPr>
                    <w:pStyle w:val="29"/>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val="en-US" w:eastAsia="zh-CN"/>
                    </w:rPr>
                    <w:t>0.5</w:t>
                  </w:r>
                </w:p>
              </w:tc>
              <w:tc>
                <w:tcPr>
                  <w:tcW w:w="518" w:type="pct"/>
                  <w:tcBorders>
                    <w:tl2br w:val="nil"/>
                    <w:tr2bl w:val="nil"/>
                  </w:tcBorders>
                  <w:vAlign w:val="center"/>
                </w:tcPr>
                <w:p w14:paraId="315250C9">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mg/L</w:t>
                  </w:r>
                </w:p>
              </w:tc>
            </w:tr>
            <w:tr w14:paraId="2480A79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l2br w:val="nil"/>
                    <w:tr2bl w:val="nil"/>
                  </w:tcBorders>
                  <w:vAlign w:val="center"/>
                </w:tcPr>
                <w:p w14:paraId="5A94F234">
                  <w:pPr>
                    <w:pStyle w:val="29"/>
                    <w:rPr>
                      <w:rFonts w:hint="default" w:ascii="Times New Roman" w:hAnsi="Times New Roman" w:eastAsia="仿宋" w:cs="Times New Roman"/>
                      <w:color w:val="auto"/>
                      <w:sz w:val="21"/>
                      <w:szCs w:val="21"/>
                      <w:highlight w:val="none"/>
                    </w:rPr>
                  </w:pPr>
                </w:p>
              </w:tc>
              <w:tc>
                <w:tcPr>
                  <w:tcW w:w="2305" w:type="pct"/>
                  <w:vMerge w:val="continue"/>
                  <w:tcBorders>
                    <w:tl2br w:val="nil"/>
                    <w:tr2bl w:val="nil"/>
                  </w:tcBorders>
                  <w:vAlign w:val="center"/>
                </w:tcPr>
                <w:p w14:paraId="13334CEC">
                  <w:pPr>
                    <w:pStyle w:val="29"/>
                    <w:rPr>
                      <w:rFonts w:hint="default" w:ascii="Times New Roman" w:hAnsi="Times New Roman" w:eastAsia="仿宋" w:cs="Times New Roman"/>
                      <w:color w:val="auto"/>
                      <w:sz w:val="21"/>
                      <w:szCs w:val="21"/>
                      <w:highlight w:val="none"/>
                    </w:rPr>
                  </w:pPr>
                </w:p>
              </w:tc>
              <w:tc>
                <w:tcPr>
                  <w:tcW w:w="628" w:type="pct"/>
                  <w:vMerge w:val="continue"/>
                  <w:tcBorders>
                    <w:tl2br w:val="nil"/>
                    <w:tr2bl w:val="nil"/>
                  </w:tcBorders>
                  <w:vAlign w:val="center"/>
                </w:tcPr>
                <w:p w14:paraId="28A6A7BE">
                  <w:pPr>
                    <w:pStyle w:val="29"/>
                    <w:rPr>
                      <w:rFonts w:hint="default" w:ascii="Times New Roman" w:hAnsi="Times New Roman" w:eastAsia="仿宋" w:cs="Times New Roman"/>
                      <w:color w:val="auto"/>
                      <w:sz w:val="21"/>
                      <w:szCs w:val="21"/>
                      <w:highlight w:val="none"/>
                    </w:rPr>
                  </w:pPr>
                </w:p>
              </w:tc>
              <w:tc>
                <w:tcPr>
                  <w:tcW w:w="514" w:type="pct"/>
                  <w:tcBorders>
                    <w:tl2br w:val="nil"/>
                    <w:tr2bl w:val="nil"/>
                  </w:tcBorders>
                  <w:vAlign w:val="center"/>
                </w:tcPr>
                <w:p w14:paraId="39CD2F5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TN</w:t>
                  </w:r>
                </w:p>
              </w:tc>
              <w:tc>
                <w:tcPr>
                  <w:tcW w:w="552" w:type="pct"/>
                  <w:tcBorders>
                    <w:tl2br w:val="nil"/>
                    <w:tr2bl w:val="nil"/>
                  </w:tcBorders>
                  <w:vAlign w:val="center"/>
                </w:tcPr>
                <w:p w14:paraId="12DB32DB">
                  <w:pPr>
                    <w:pStyle w:val="29"/>
                    <w:rPr>
                      <w:rFonts w:hint="default" w:ascii="Times New Roman" w:hAnsi="Times New Roman" w:eastAsia="仿宋" w:cs="Times New Roman"/>
                      <w:color w:val="auto"/>
                      <w:sz w:val="21"/>
                      <w:szCs w:val="21"/>
                      <w:highlight w:val="none"/>
                    </w:rPr>
                  </w:pPr>
                  <w:r>
                    <w:rPr>
                      <w:rFonts w:hint="eastAsia" w:cs="Times New Roman"/>
                      <w:color w:val="auto"/>
                      <w:sz w:val="21"/>
                      <w:szCs w:val="21"/>
                      <w:highlight w:val="none"/>
                      <w:lang w:val="en-US" w:eastAsia="zh-CN"/>
                    </w:rPr>
                    <w:t>10</w:t>
                  </w:r>
                </w:p>
              </w:tc>
              <w:tc>
                <w:tcPr>
                  <w:tcW w:w="518" w:type="pct"/>
                  <w:tcBorders>
                    <w:tl2br w:val="nil"/>
                    <w:tr2bl w:val="nil"/>
                  </w:tcBorders>
                  <w:vAlign w:val="center"/>
                </w:tcPr>
                <w:p w14:paraId="59475EF8">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mg/L</w:t>
                  </w:r>
                </w:p>
              </w:tc>
            </w:tr>
            <w:tr w14:paraId="20A25A9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l2br w:val="nil"/>
                    <w:tr2bl w:val="nil"/>
                  </w:tcBorders>
                  <w:vAlign w:val="center"/>
                </w:tcPr>
                <w:p w14:paraId="262E5887">
                  <w:pPr>
                    <w:pStyle w:val="29"/>
                    <w:rPr>
                      <w:rFonts w:hint="default" w:ascii="Times New Roman" w:hAnsi="Times New Roman" w:eastAsia="仿宋" w:cs="Times New Roman"/>
                      <w:color w:val="auto"/>
                      <w:sz w:val="21"/>
                      <w:szCs w:val="21"/>
                      <w:highlight w:val="none"/>
                    </w:rPr>
                  </w:pPr>
                </w:p>
              </w:tc>
              <w:tc>
                <w:tcPr>
                  <w:tcW w:w="2305" w:type="pct"/>
                  <w:vMerge w:val="restart"/>
                  <w:tcBorders>
                    <w:tl2br w:val="nil"/>
                    <w:tr2bl w:val="nil"/>
                  </w:tcBorders>
                  <w:vAlign w:val="center"/>
                </w:tcPr>
                <w:p w14:paraId="3C25ADAA">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《城镇污水处理厂污染物排放标准》（</w:t>
                  </w:r>
                  <w:r>
                    <w:rPr>
                      <w:rFonts w:hint="default" w:ascii="Times New Roman" w:hAnsi="Times New Roman" w:eastAsia="仿宋" w:cs="Times New Roman"/>
                      <w:color w:val="auto"/>
                      <w:sz w:val="21"/>
                      <w:szCs w:val="21"/>
                      <w:highlight w:val="none"/>
                      <w:lang w:val="en-US" w:eastAsia="zh-CN"/>
                    </w:rPr>
                    <w:t>DB</w:t>
                  </w:r>
                  <w:r>
                    <w:rPr>
                      <w:rFonts w:hint="eastAsia"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lang w:val="en-US" w:eastAsia="zh-CN"/>
                    </w:rPr>
                    <w:t>32/4440</w:t>
                  </w:r>
                  <w:r>
                    <w:rPr>
                      <w:rFonts w:hint="default" w:ascii="Times New Roman" w:hAnsi="Times New Roman" w:eastAsia="仿宋" w:cs="Times New Roman"/>
                      <w:color w:val="auto"/>
                      <w:sz w:val="21"/>
                      <w:szCs w:val="21"/>
                      <w:highlight w:val="none"/>
                    </w:rPr>
                    <w:t>-20</w:t>
                  </w:r>
                  <w:r>
                    <w:rPr>
                      <w:rFonts w:hint="default"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2）</w:t>
                  </w:r>
                </w:p>
              </w:tc>
              <w:tc>
                <w:tcPr>
                  <w:tcW w:w="628" w:type="pct"/>
                  <w:vMerge w:val="restart"/>
                  <w:tcBorders>
                    <w:tl2br w:val="nil"/>
                    <w:tr2bl w:val="nil"/>
                  </w:tcBorders>
                  <w:vAlign w:val="center"/>
                </w:tcPr>
                <w:p w14:paraId="05827F6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表1一级</w:t>
                  </w:r>
                  <w:r>
                    <w:rPr>
                      <w:rFonts w:hint="default" w:ascii="Times New Roman" w:hAnsi="Times New Roman" w:eastAsia="仿宋" w:cs="Times New Roman"/>
                      <w:color w:val="auto"/>
                      <w:sz w:val="21"/>
                      <w:szCs w:val="21"/>
                      <w:highlight w:val="none"/>
                      <w:lang w:val="en-US" w:eastAsia="zh-CN"/>
                    </w:rPr>
                    <w:t>B</w:t>
                  </w:r>
                  <w:r>
                    <w:rPr>
                      <w:rFonts w:hint="default" w:ascii="Times New Roman" w:hAnsi="Times New Roman" w:eastAsia="仿宋" w:cs="Times New Roman"/>
                      <w:color w:val="auto"/>
                      <w:sz w:val="21"/>
                      <w:szCs w:val="21"/>
                      <w:highlight w:val="none"/>
                    </w:rPr>
                    <w:t>标准</w:t>
                  </w:r>
                </w:p>
              </w:tc>
              <w:tc>
                <w:tcPr>
                  <w:tcW w:w="514" w:type="pct"/>
                  <w:tcBorders>
                    <w:tl2br w:val="nil"/>
                    <w:tr2bl w:val="nil"/>
                  </w:tcBorders>
                  <w:shd w:val="clear" w:color="auto" w:fill="auto"/>
                  <w:vAlign w:val="center"/>
                </w:tcPr>
                <w:p w14:paraId="252620CB">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pH</w:t>
                  </w:r>
                </w:p>
              </w:tc>
              <w:tc>
                <w:tcPr>
                  <w:tcW w:w="552" w:type="pct"/>
                  <w:tcBorders>
                    <w:tl2br w:val="nil"/>
                    <w:tr2bl w:val="nil"/>
                  </w:tcBorders>
                  <w:shd w:val="clear" w:color="auto" w:fill="auto"/>
                  <w:vAlign w:val="center"/>
                </w:tcPr>
                <w:p w14:paraId="3CE3D2ED">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6</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9</w:t>
                  </w:r>
                </w:p>
              </w:tc>
              <w:tc>
                <w:tcPr>
                  <w:tcW w:w="518" w:type="pct"/>
                  <w:tcBorders>
                    <w:tl2br w:val="nil"/>
                    <w:tr2bl w:val="nil"/>
                  </w:tcBorders>
                  <w:shd w:val="clear" w:color="auto" w:fill="auto"/>
                  <w:vAlign w:val="center"/>
                </w:tcPr>
                <w:p w14:paraId="18708352">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无量纲</w:t>
                  </w:r>
                </w:p>
              </w:tc>
            </w:tr>
            <w:tr w14:paraId="2F4A561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480" w:type="pct"/>
                  <w:vMerge w:val="continue"/>
                  <w:tcBorders>
                    <w:tl2br w:val="nil"/>
                    <w:tr2bl w:val="nil"/>
                  </w:tcBorders>
                  <w:vAlign w:val="center"/>
                </w:tcPr>
                <w:p w14:paraId="74A69F38">
                  <w:pPr>
                    <w:pStyle w:val="29"/>
                    <w:rPr>
                      <w:rFonts w:hint="default" w:ascii="Times New Roman" w:hAnsi="Times New Roman" w:eastAsia="仿宋" w:cs="Times New Roman"/>
                      <w:color w:val="auto"/>
                      <w:sz w:val="21"/>
                      <w:szCs w:val="21"/>
                      <w:highlight w:val="none"/>
                    </w:rPr>
                  </w:pPr>
                </w:p>
              </w:tc>
              <w:tc>
                <w:tcPr>
                  <w:tcW w:w="2305" w:type="pct"/>
                  <w:vMerge w:val="continue"/>
                  <w:tcBorders>
                    <w:tl2br w:val="nil"/>
                    <w:tr2bl w:val="nil"/>
                  </w:tcBorders>
                  <w:vAlign w:val="center"/>
                </w:tcPr>
                <w:p w14:paraId="1F5DA489">
                  <w:pPr>
                    <w:pStyle w:val="29"/>
                    <w:rPr>
                      <w:rFonts w:hint="default" w:ascii="Times New Roman" w:hAnsi="Times New Roman" w:eastAsia="仿宋" w:cs="Times New Roman"/>
                      <w:color w:val="auto"/>
                      <w:sz w:val="21"/>
                      <w:szCs w:val="21"/>
                      <w:highlight w:val="none"/>
                    </w:rPr>
                  </w:pPr>
                </w:p>
              </w:tc>
              <w:tc>
                <w:tcPr>
                  <w:tcW w:w="628" w:type="pct"/>
                  <w:vMerge w:val="continue"/>
                  <w:tcBorders>
                    <w:tl2br w:val="nil"/>
                    <w:tr2bl w:val="nil"/>
                  </w:tcBorders>
                  <w:vAlign w:val="center"/>
                </w:tcPr>
                <w:p w14:paraId="748DABC0">
                  <w:pPr>
                    <w:pStyle w:val="29"/>
                    <w:rPr>
                      <w:rFonts w:hint="default" w:ascii="Times New Roman" w:hAnsi="Times New Roman" w:eastAsia="仿宋" w:cs="Times New Roman"/>
                      <w:color w:val="auto"/>
                      <w:sz w:val="21"/>
                      <w:szCs w:val="21"/>
                      <w:highlight w:val="none"/>
                    </w:rPr>
                  </w:pPr>
                </w:p>
              </w:tc>
              <w:tc>
                <w:tcPr>
                  <w:tcW w:w="514" w:type="pct"/>
                  <w:tcBorders>
                    <w:tl2br w:val="nil"/>
                    <w:tr2bl w:val="nil"/>
                  </w:tcBorders>
                  <w:shd w:val="clear" w:color="auto" w:fill="auto"/>
                  <w:vAlign w:val="center"/>
                </w:tcPr>
                <w:p w14:paraId="66426E23">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SS</w:t>
                  </w:r>
                </w:p>
              </w:tc>
              <w:tc>
                <w:tcPr>
                  <w:tcW w:w="552" w:type="pct"/>
                  <w:tcBorders>
                    <w:tl2br w:val="nil"/>
                    <w:tr2bl w:val="nil"/>
                  </w:tcBorders>
                  <w:shd w:val="clear" w:color="auto" w:fill="auto"/>
                  <w:vAlign w:val="center"/>
                </w:tcPr>
                <w:p w14:paraId="2B145903">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10</w:t>
                  </w:r>
                </w:p>
              </w:tc>
              <w:tc>
                <w:tcPr>
                  <w:tcW w:w="518" w:type="pct"/>
                  <w:tcBorders>
                    <w:tl2br w:val="nil"/>
                    <w:tr2bl w:val="nil"/>
                  </w:tcBorders>
                  <w:shd w:val="clear" w:color="auto" w:fill="auto"/>
                  <w:vAlign w:val="center"/>
                </w:tcPr>
                <w:p w14:paraId="3AE46563">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mg/L</w:t>
                  </w:r>
                </w:p>
              </w:tc>
            </w:tr>
            <w:tr w14:paraId="21BD8D0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6"/>
                  <w:tcBorders>
                    <w:tl2br w:val="nil"/>
                    <w:tr2bl w:val="nil"/>
                  </w:tcBorders>
                  <w:vAlign w:val="center"/>
                </w:tcPr>
                <w:p w14:paraId="3EB7DC20">
                  <w:pPr>
                    <w:adjustRightInd w:val="0"/>
                    <w:snapToGrid w:val="0"/>
                    <w:spacing w:line="240" w:lineRule="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rPr>
                    <w:t>注：*括号外数值为水温＞12℃时的控制指标，括号内数值为水温≤12℃时的控制指标。</w:t>
                  </w:r>
                </w:p>
              </w:tc>
            </w:tr>
          </w:tbl>
          <w:p w14:paraId="65B2813B">
            <w:pPr>
              <w:adjustRightInd w:val="0"/>
              <w:snapToGrid w:val="0"/>
              <w:spacing w:line="360" w:lineRule="auto"/>
              <w:rPr>
                <w:rFonts w:hint="default" w:ascii="Times New Roman" w:hAnsi="Times New Roman" w:eastAsia="宋体" w:cs="Times New Roman"/>
                <w:color w:val="auto"/>
                <w:kern w:val="0"/>
                <w:sz w:val="24"/>
                <w:szCs w:val="24"/>
                <w:highlight w:val="none"/>
              </w:rPr>
            </w:pPr>
            <w:r>
              <w:rPr>
                <w:rFonts w:hint="eastAsia" w:cs="Times New Roman"/>
                <w:b/>
                <w:bCs/>
                <w:color w:val="auto"/>
                <w:kern w:val="0"/>
                <w:sz w:val="24"/>
                <w:szCs w:val="24"/>
                <w:highlight w:val="none"/>
                <w:lang w:val="en-US" w:eastAsia="zh-CN"/>
              </w:rPr>
              <w:t>2</w:t>
            </w:r>
            <w:r>
              <w:rPr>
                <w:rFonts w:hint="default" w:ascii="Times New Roman" w:hAnsi="Times New Roman" w:eastAsia="宋体" w:cs="Times New Roman"/>
                <w:b/>
                <w:bCs/>
                <w:color w:val="auto"/>
                <w:kern w:val="0"/>
                <w:sz w:val="24"/>
                <w:szCs w:val="24"/>
                <w:highlight w:val="none"/>
                <w:lang w:val="en-US" w:eastAsia="zh-CN"/>
              </w:rPr>
              <w:t>、</w:t>
            </w:r>
            <w:r>
              <w:rPr>
                <w:rFonts w:hint="default" w:ascii="Times New Roman" w:hAnsi="Times New Roman" w:eastAsia="宋体" w:cs="Times New Roman"/>
                <w:b/>
                <w:bCs/>
                <w:color w:val="auto"/>
                <w:kern w:val="0"/>
                <w:sz w:val="24"/>
                <w:szCs w:val="24"/>
                <w:highlight w:val="none"/>
              </w:rPr>
              <w:t>废气排放标准</w:t>
            </w:r>
          </w:p>
          <w:p w14:paraId="6158C0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bookmarkStart w:id="10" w:name="_Hlk58232679"/>
            <w:r>
              <w:rPr>
                <w:rFonts w:hint="default" w:ascii="Times New Roman" w:hAnsi="Times New Roman" w:eastAsia="宋体" w:cs="Times New Roman"/>
                <w:color w:val="auto"/>
                <w:kern w:val="0"/>
                <w:sz w:val="24"/>
                <w:szCs w:val="24"/>
                <w:highlight w:val="none"/>
              </w:rPr>
              <w:t>本项目</w:t>
            </w:r>
            <w:r>
              <w:rPr>
                <w:rFonts w:hint="eastAsia" w:cs="Times New Roman"/>
                <w:color w:val="auto"/>
                <w:kern w:val="0"/>
                <w:sz w:val="24"/>
                <w:szCs w:val="24"/>
                <w:highlight w:val="none"/>
                <w:lang w:val="en-US" w:eastAsia="zh-CN"/>
              </w:rPr>
              <w:t>厂界无组织非甲烷总烃</w:t>
            </w:r>
            <w:r>
              <w:rPr>
                <w:rFonts w:hint="default" w:ascii="Times New Roman" w:hAnsi="Times New Roman" w:eastAsia="宋体" w:cs="Times New Roman"/>
                <w:color w:val="auto"/>
                <w:kern w:val="0"/>
                <w:sz w:val="24"/>
                <w:szCs w:val="24"/>
                <w:highlight w:val="none"/>
              </w:rPr>
              <w:t>执行《大气污染物综合排放标准》（DB</w:t>
            </w:r>
            <w:r>
              <w:rPr>
                <w:rFonts w:hint="eastAsia" w:cs="Times New Roman"/>
                <w:color w:val="auto"/>
                <w:kern w:val="0"/>
                <w:sz w:val="24"/>
                <w:szCs w:val="24"/>
                <w:highlight w:val="none"/>
                <w:lang w:val="en-US" w:eastAsia="zh-CN"/>
              </w:rPr>
              <w:t xml:space="preserve"> </w:t>
            </w:r>
            <w:r>
              <w:rPr>
                <w:rFonts w:hint="default" w:ascii="Times New Roman" w:hAnsi="Times New Roman" w:eastAsia="宋体" w:cs="Times New Roman"/>
                <w:color w:val="auto"/>
                <w:kern w:val="0"/>
                <w:sz w:val="24"/>
                <w:szCs w:val="24"/>
                <w:highlight w:val="none"/>
              </w:rPr>
              <w:t>32/4041-2021）表3</w:t>
            </w:r>
            <w:r>
              <w:rPr>
                <w:rFonts w:hint="default" w:ascii="Times New Roman" w:hAnsi="Times New Roman" w:eastAsia="宋体" w:cs="Times New Roman"/>
                <w:color w:val="auto"/>
                <w:kern w:val="0"/>
                <w:sz w:val="24"/>
                <w:szCs w:val="24"/>
                <w:highlight w:val="none"/>
                <w:lang w:val="en-US" w:eastAsia="zh-CN"/>
              </w:rPr>
              <w:t>标</w:t>
            </w:r>
            <w:r>
              <w:rPr>
                <w:rFonts w:hint="default" w:ascii="Times New Roman" w:hAnsi="Times New Roman" w:eastAsia="宋体" w:cs="Times New Roman"/>
                <w:color w:val="auto"/>
                <w:kern w:val="0"/>
                <w:sz w:val="24"/>
                <w:szCs w:val="24"/>
                <w:highlight w:val="none"/>
              </w:rPr>
              <w:t>限值要求</w:t>
            </w:r>
            <w:r>
              <w:rPr>
                <w:rFonts w:hint="eastAsia" w:cs="Times New Roman"/>
                <w:color w:val="auto"/>
                <w:kern w:val="0"/>
                <w:sz w:val="24"/>
                <w:szCs w:val="24"/>
                <w:highlight w:val="none"/>
                <w:lang w:eastAsia="zh-CN"/>
              </w:rPr>
              <w:t>，厂区内无组织排放的非甲烷总烃执行《挥发性有机物无组织排放控制标准》（GB</w:t>
            </w:r>
            <w:r>
              <w:rPr>
                <w:rFonts w:hint="eastAsia" w:cs="Times New Roman"/>
                <w:color w:val="auto"/>
                <w:kern w:val="0"/>
                <w:sz w:val="24"/>
                <w:szCs w:val="24"/>
                <w:highlight w:val="none"/>
                <w:lang w:val="en-US" w:eastAsia="zh-CN"/>
              </w:rPr>
              <w:t xml:space="preserve"> </w:t>
            </w:r>
            <w:r>
              <w:rPr>
                <w:rFonts w:hint="eastAsia" w:cs="Times New Roman"/>
                <w:color w:val="auto"/>
                <w:kern w:val="0"/>
                <w:sz w:val="24"/>
                <w:szCs w:val="24"/>
                <w:highlight w:val="none"/>
                <w:lang w:eastAsia="zh-CN"/>
              </w:rPr>
              <w:t>37822-2019）中表 A.1 规定的特别排放限值。</w:t>
            </w:r>
          </w:p>
          <w:p w14:paraId="790AF156">
            <w:pPr>
              <w:numPr>
                <w:ilvl w:val="0"/>
                <w:numId w:val="5"/>
              </w:numPr>
              <w:adjustRightInd w:val="0"/>
              <w:snapToGrid w:val="0"/>
              <w:ind w:left="0" w:leftChars="0" w:firstLine="0" w:firstLineChars="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大气污染物</w:t>
            </w:r>
            <w:r>
              <w:rPr>
                <w:rFonts w:hint="default" w:ascii="Times New Roman" w:hAnsi="Times New Roman" w:eastAsia="宋体" w:cs="Times New Roman"/>
                <w:b/>
                <w:color w:val="auto"/>
                <w:sz w:val="24"/>
                <w:szCs w:val="24"/>
                <w:highlight w:val="none"/>
                <w:lang w:val="en-US" w:eastAsia="zh-CN"/>
              </w:rPr>
              <w:t>排放标准限值表</w:t>
            </w:r>
          </w:p>
          <w:tbl>
            <w:tblPr>
              <w:tblStyle w:val="22"/>
              <w:tblW w:w="4996" w:type="pct"/>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1287"/>
              <w:gridCol w:w="2886"/>
              <w:gridCol w:w="4060"/>
            </w:tblGrid>
            <w:tr w14:paraId="2242684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53" w:type="pct"/>
                  <w:tcBorders>
                    <w:tl2br w:val="nil"/>
                    <w:tr2bl w:val="nil"/>
                  </w:tcBorders>
                  <w:shd w:val="clear" w:color="auto" w:fill="auto"/>
                  <w:vAlign w:val="center"/>
                </w:tcPr>
                <w:p w14:paraId="130B63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color w:val="auto"/>
                      <w:kern w:val="2"/>
                      <w:sz w:val="21"/>
                      <w:szCs w:val="21"/>
                      <w:highlight w:val="none"/>
                      <w:lang w:val="en-US" w:eastAsia="zh-CN" w:bidi="ar-SA"/>
                    </w:rPr>
                  </w:pPr>
                  <w:r>
                    <w:rPr>
                      <w:rFonts w:hint="default" w:ascii="Times New Roman" w:hAnsi="Times New Roman" w:eastAsia="仿宋" w:cs="Times New Roman"/>
                      <w:b/>
                      <w:color w:val="auto"/>
                      <w:sz w:val="21"/>
                      <w:szCs w:val="21"/>
                      <w:highlight w:val="none"/>
                      <w:lang w:val="en-US" w:eastAsia="zh-CN"/>
                    </w:rPr>
                    <w:t>污染源</w:t>
                  </w:r>
                </w:p>
              </w:tc>
              <w:tc>
                <w:tcPr>
                  <w:tcW w:w="695" w:type="pct"/>
                  <w:tcBorders>
                    <w:tl2br w:val="nil"/>
                    <w:tr2bl w:val="nil"/>
                  </w:tcBorders>
                  <w:vAlign w:val="center"/>
                </w:tcPr>
                <w:p w14:paraId="4B5F59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污染物</w:t>
                  </w:r>
                </w:p>
              </w:tc>
              <w:tc>
                <w:tcPr>
                  <w:tcW w:w="1558" w:type="pct"/>
                  <w:tcBorders>
                    <w:tl2br w:val="nil"/>
                    <w:tr2bl w:val="nil"/>
                  </w:tcBorders>
                  <w:vAlign w:val="center"/>
                </w:tcPr>
                <w:p w14:paraId="664388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最高允许排放浓度</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rPr>
                    <w:t>mg/m</w:t>
                  </w:r>
                  <w:r>
                    <w:rPr>
                      <w:rFonts w:hint="default" w:ascii="Times New Roman" w:hAnsi="Times New Roman" w:eastAsia="仿宋" w:cs="Times New Roman"/>
                      <w:b/>
                      <w:color w:val="auto"/>
                      <w:sz w:val="21"/>
                      <w:szCs w:val="21"/>
                      <w:highlight w:val="none"/>
                      <w:vertAlign w:val="superscript"/>
                    </w:rPr>
                    <w:t>3</w:t>
                  </w:r>
                  <w:r>
                    <w:rPr>
                      <w:rFonts w:hint="default" w:ascii="Times New Roman" w:hAnsi="Times New Roman" w:eastAsia="仿宋" w:cs="Times New Roman"/>
                      <w:b/>
                      <w:color w:val="auto"/>
                      <w:sz w:val="21"/>
                      <w:szCs w:val="21"/>
                      <w:highlight w:val="none"/>
                      <w:lang w:eastAsia="zh-CN"/>
                    </w:rPr>
                    <w:t>）</w:t>
                  </w:r>
                </w:p>
              </w:tc>
              <w:tc>
                <w:tcPr>
                  <w:tcW w:w="2192" w:type="pct"/>
                  <w:tcBorders>
                    <w:tl2br w:val="nil"/>
                    <w:tr2bl w:val="nil"/>
                  </w:tcBorders>
                  <w:vAlign w:val="center"/>
                </w:tcPr>
                <w:p w14:paraId="1BFDDC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color w:val="auto"/>
                      <w:sz w:val="21"/>
                      <w:szCs w:val="21"/>
                      <w:highlight w:val="none"/>
                      <w:lang w:val="en-US" w:eastAsia="zh-CN"/>
                    </w:rPr>
                  </w:pPr>
                  <w:r>
                    <w:rPr>
                      <w:rFonts w:hint="default" w:ascii="Times New Roman" w:hAnsi="Times New Roman" w:eastAsia="仿宋" w:cs="Times New Roman"/>
                      <w:b/>
                      <w:color w:val="auto"/>
                      <w:sz w:val="21"/>
                      <w:szCs w:val="21"/>
                      <w:highlight w:val="none"/>
                    </w:rPr>
                    <w:t>标准来源</w:t>
                  </w:r>
                </w:p>
              </w:tc>
            </w:tr>
            <w:tr w14:paraId="45B7D1D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553" w:type="pct"/>
                  <w:tcBorders>
                    <w:tl2br w:val="nil"/>
                    <w:tr2bl w:val="nil"/>
                  </w:tcBorders>
                  <w:shd w:val="clear" w:color="auto" w:fill="auto"/>
                  <w:vAlign w:val="center"/>
                </w:tcPr>
                <w:p w14:paraId="678365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厂界</w:t>
                  </w:r>
                </w:p>
              </w:tc>
              <w:tc>
                <w:tcPr>
                  <w:tcW w:w="695" w:type="pct"/>
                  <w:tcBorders>
                    <w:tl2br w:val="nil"/>
                    <w:tr2bl w:val="nil"/>
                  </w:tcBorders>
                  <w:vAlign w:val="center"/>
                </w:tcPr>
                <w:p w14:paraId="302CD7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非甲烷总烃</w:t>
                  </w:r>
                </w:p>
              </w:tc>
              <w:tc>
                <w:tcPr>
                  <w:tcW w:w="1558" w:type="pct"/>
                  <w:tcBorders>
                    <w:tl2br w:val="nil"/>
                    <w:tr2bl w:val="nil"/>
                  </w:tcBorders>
                  <w:vAlign w:val="center"/>
                </w:tcPr>
                <w:p w14:paraId="0353AE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4</w:t>
                  </w:r>
                </w:p>
              </w:tc>
              <w:tc>
                <w:tcPr>
                  <w:tcW w:w="2192" w:type="pct"/>
                  <w:tcBorders>
                    <w:tl2br w:val="nil"/>
                    <w:tr2bl w:val="nil"/>
                  </w:tcBorders>
                  <w:vAlign w:val="center"/>
                </w:tcPr>
                <w:p w14:paraId="5293D7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《大气污染物综合排放标准》（DB 32/4041-2021）表3</w:t>
                  </w:r>
                </w:p>
              </w:tc>
            </w:tr>
            <w:tr w14:paraId="742E662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553" w:type="pct"/>
                  <w:tcBorders>
                    <w:tl2br w:val="nil"/>
                    <w:tr2bl w:val="nil"/>
                  </w:tcBorders>
                  <w:shd w:val="clear" w:color="auto" w:fill="auto"/>
                  <w:vAlign w:val="center"/>
                </w:tcPr>
                <w:p w14:paraId="3A9712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厂区内</w:t>
                  </w:r>
                </w:p>
              </w:tc>
              <w:tc>
                <w:tcPr>
                  <w:tcW w:w="695" w:type="pct"/>
                  <w:tcBorders>
                    <w:tl2br w:val="nil"/>
                    <w:tr2bl w:val="nil"/>
                  </w:tcBorders>
                  <w:vAlign w:val="center"/>
                </w:tcPr>
                <w:p w14:paraId="791C57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非甲烷总烃</w:t>
                  </w:r>
                </w:p>
              </w:tc>
              <w:tc>
                <w:tcPr>
                  <w:tcW w:w="1558" w:type="pct"/>
                  <w:tcBorders>
                    <w:tl2br w:val="nil"/>
                    <w:tr2bl w:val="nil"/>
                  </w:tcBorders>
                  <w:vAlign w:val="center"/>
                </w:tcPr>
                <w:p w14:paraId="518F83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eastAsia="仿宋" w:cs="Times New Roman"/>
                      <w:color w:val="auto"/>
                      <w:sz w:val="21"/>
                      <w:szCs w:val="21"/>
                      <w:highlight w:val="none"/>
                      <w:lang w:val="en-US" w:eastAsia="zh-CN"/>
                    </w:rPr>
                  </w:pPr>
                  <w:r>
                    <w:rPr>
                      <w:rFonts w:hint="default" w:ascii="Times New Roman" w:hAnsi="Times New Roman" w:eastAsia="仿宋" w:cs="Times New Roman"/>
                      <w:color w:val="auto"/>
                      <w:szCs w:val="21"/>
                      <w:highlight w:val="none"/>
                    </w:rPr>
                    <w:t>监控点处1h平均浓度值6mg/m</w:t>
                  </w:r>
                  <w:r>
                    <w:rPr>
                      <w:rFonts w:hint="default" w:ascii="Times New Roman" w:hAnsi="Times New Roman" w:eastAsia="仿宋" w:cs="Times New Roman"/>
                      <w:color w:val="auto"/>
                      <w:szCs w:val="21"/>
                      <w:highlight w:val="none"/>
                      <w:vertAlign w:val="superscript"/>
                    </w:rPr>
                    <w:t>3</w:t>
                  </w:r>
                  <w:r>
                    <w:rPr>
                      <w:rFonts w:hint="default" w:ascii="Times New Roman" w:hAnsi="Times New Roman" w:eastAsia="仿宋" w:cs="Times New Roman"/>
                      <w:color w:val="auto"/>
                      <w:szCs w:val="21"/>
                      <w:highlight w:val="none"/>
                    </w:rPr>
                    <w:t>；监控点处任意一次浓度值</w:t>
                  </w:r>
                  <w:r>
                    <w:rPr>
                      <w:rFonts w:hint="default" w:ascii="Times New Roman" w:hAnsi="Times New Roman" w:eastAsia="仿宋" w:cs="Times New Roman"/>
                      <w:color w:val="auto"/>
                      <w:szCs w:val="21"/>
                      <w:highlight w:val="none"/>
                      <w:lang w:eastAsia="zh-CN"/>
                    </w:rPr>
                    <w:t>2</w:t>
                  </w:r>
                  <w:r>
                    <w:rPr>
                      <w:rFonts w:hint="default" w:ascii="Times New Roman" w:hAnsi="Times New Roman" w:eastAsia="仿宋" w:cs="Times New Roman"/>
                      <w:color w:val="auto"/>
                      <w:szCs w:val="21"/>
                      <w:highlight w:val="none"/>
                      <w:lang w:val="en-US" w:eastAsia="zh-CN"/>
                    </w:rPr>
                    <w:t>0</w:t>
                  </w:r>
                  <w:r>
                    <w:rPr>
                      <w:rFonts w:hint="default" w:ascii="Times New Roman" w:hAnsi="Times New Roman" w:eastAsia="仿宋" w:cs="Times New Roman"/>
                      <w:color w:val="auto"/>
                      <w:szCs w:val="21"/>
                      <w:highlight w:val="none"/>
                      <w:lang w:eastAsia="zh-CN"/>
                    </w:rPr>
                    <w:t>m</w:t>
                  </w:r>
                  <w:r>
                    <w:rPr>
                      <w:rFonts w:hint="default" w:ascii="Times New Roman" w:hAnsi="Times New Roman" w:eastAsia="仿宋" w:cs="Times New Roman"/>
                      <w:color w:val="auto"/>
                      <w:szCs w:val="21"/>
                      <w:highlight w:val="none"/>
                    </w:rPr>
                    <w:t>g/m</w:t>
                  </w:r>
                  <w:r>
                    <w:rPr>
                      <w:rFonts w:hint="default" w:ascii="Times New Roman" w:hAnsi="Times New Roman" w:eastAsia="仿宋" w:cs="Times New Roman"/>
                      <w:color w:val="auto"/>
                      <w:szCs w:val="21"/>
                      <w:highlight w:val="none"/>
                      <w:vertAlign w:val="superscript"/>
                    </w:rPr>
                    <w:t>3</w:t>
                  </w:r>
                </w:p>
              </w:tc>
              <w:tc>
                <w:tcPr>
                  <w:tcW w:w="2192" w:type="pct"/>
                  <w:tcBorders>
                    <w:tl2br w:val="nil"/>
                    <w:tr2bl w:val="nil"/>
                  </w:tcBorders>
                  <w:vAlign w:val="center"/>
                </w:tcPr>
                <w:p w14:paraId="664A3A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《挥发性有机物无组织排放控制标准》（GB</w:t>
                  </w:r>
                  <w:r>
                    <w:rPr>
                      <w:rFonts w:hint="eastAsia"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lang w:val="en-US" w:eastAsia="zh-CN"/>
                    </w:rPr>
                    <w:t>37822-2019）中表 A.1 规定的特别排放限值</w:t>
                  </w:r>
                </w:p>
              </w:tc>
            </w:tr>
            <w:bookmarkEnd w:id="10"/>
          </w:tbl>
          <w:p w14:paraId="78F86ED1">
            <w:pPr>
              <w:adjustRightInd w:val="0"/>
              <w:snapToGrid w:val="0"/>
              <w:spacing w:line="360" w:lineRule="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3</w:t>
            </w:r>
            <w:r>
              <w:rPr>
                <w:rFonts w:hint="eastAsia" w:ascii="Times New Roman" w:hAnsi="Times New Roman" w:eastAsia="宋体" w:cs="Times New Roman"/>
                <w:b/>
                <w:bCs/>
                <w:color w:val="auto"/>
                <w:kern w:val="0"/>
                <w:sz w:val="24"/>
                <w:szCs w:val="24"/>
                <w:highlight w:val="none"/>
                <w:lang w:val="en-US" w:eastAsia="zh-CN"/>
              </w:rPr>
              <w:t>、</w:t>
            </w:r>
            <w:r>
              <w:rPr>
                <w:rFonts w:hint="default" w:ascii="Times New Roman" w:hAnsi="Times New Roman" w:eastAsia="宋体" w:cs="Times New Roman"/>
                <w:b/>
                <w:bCs/>
                <w:color w:val="auto"/>
                <w:kern w:val="0"/>
                <w:sz w:val="24"/>
                <w:szCs w:val="24"/>
                <w:highlight w:val="none"/>
                <w:lang w:val="en-US" w:eastAsia="zh-CN"/>
              </w:rPr>
              <w:t>噪声排放标准</w:t>
            </w:r>
          </w:p>
          <w:p w14:paraId="5054E082">
            <w:pPr>
              <w:adjustRightInd w:val="0"/>
              <w:snapToGrid w:val="0"/>
              <w:spacing w:line="360" w:lineRule="auto"/>
              <w:ind w:firstLine="480" w:firstLineChars="200"/>
              <w:rPr>
                <w:b/>
                <w:color w:val="auto"/>
                <w:kern w:val="0"/>
                <w:sz w:val="24"/>
                <w:szCs w:val="24"/>
                <w:highlight w:val="none"/>
              </w:rPr>
            </w:pPr>
            <w:r>
              <w:rPr>
                <w:color w:val="auto"/>
                <w:kern w:val="0"/>
                <w:sz w:val="24"/>
                <w:szCs w:val="24"/>
                <w:highlight w:val="none"/>
              </w:rPr>
              <w:t>项目厂界噪声执行《工业企业厂界环境噪声排放标准》（GB</w:t>
            </w:r>
            <w:r>
              <w:rPr>
                <w:rFonts w:hint="eastAsia"/>
                <w:color w:val="auto"/>
                <w:kern w:val="0"/>
                <w:sz w:val="24"/>
                <w:szCs w:val="24"/>
                <w:highlight w:val="none"/>
                <w:lang w:val="en-US" w:eastAsia="zh-CN"/>
              </w:rPr>
              <w:t xml:space="preserve"> </w:t>
            </w:r>
            <w:r>
              <w:rPr>
                <w:color w:val="auto"/>
                <w:kern w:val="0"/>
                <w:sz w:val="24"/>
                <w:szCs w:val="24"/>
                <w:highlight w:val="none"/>
              </w:rPr>
              <w:t>12348-2008）3类标准，标准限值见</w:t>
            </w:r>
            <w:r>
              <w:rPr>
                <w:rFonts w:hint="eastAsia"/>
                <w:color w:val="auto"/>
                <w:kern w:val="0"/>
                <w:sz w:val="24"/>
                <w:szCs w:val="24"/>
                <w:highlight w:val="none"/>
                <w:lang w:val="en-US" w:eastAsia="zh-CN"/>
              </w:rPr>
              <w:t>下</w:t>
            </w:r>
            <w:r>
              <w:rPr>
                <w:color w:val="auto"/>
                <w:kern w:val="0"/>
                <w:sz w:val="24"/>
                <w:szCs w:val="24"/>
                <w:highlight w:val="none"/>
              </w:rPr>
              <w:t>表</w:t>
            </w:r>
            <w:r>
              <w:rPr>
                <w:rFonts w:hint="eastAsia"/>
                <w:color w:val="auto"/>
                <w:kern w:val="0"/>
                <w:sz w:val="24"/>
                <w:szCs w:val="24"/>
                <w:highlight w:val="none"/>
              </w:rPr>
              <w:t>。</w:t>
            </w:r>
          </w:p>
          <w:p w14:paraId="5EBC9ECC">
            <w:pPr>
              <w:numPr>
                <w:ilvl w:val="0"/>
                <w:numId w:val="5"/>
              </w:numPr>
              <w:adjustRightInd w:val="0"/>
              <w:snapToGrid w:val="0"/>
              <w:ind w:left="0" w:leftChars="0" w:firstLine="0" w:firstLineChars="0"/>
              <w:jc w:val="center"/>
              <w:rPr>
                <w:rFonts w:hint="eastAsia"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噪声污染物排放标准</w:t>
            </w:r>
          </w:p>
          <w:tbl>
            <w:tblPr>
              <w:tblStyle w:val="22"/>
              <w:tblW w:w="4999"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4241"/>
              <w:gridCol w:w="2509"/>
              <w:gridCol w:w="2512"/>
            </w:tblGrid>
            <w:tr w14:paraId="1B9ED0B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89" w:type="pct"/>
                  <w:vMerge w:val="restart"/>
                  <w:tcBorders>
                    <w:tl2br w:val="nil"/>
                    <w:tr2bl w:val="nil"/>
                  </w:tcBorders>
                  <w:vAlign w:val="center"/>
                </w:tcPr>
                <w:p w14:paraId="3512DD52">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执行标准</w:t>
                  </w:r>
                </w:p>
              </w:tc>
              <w:tc>
                <w:tcPr>
                  <w:tcW w:w="2710" w:type="pct"/>
                  <w:gridSpan w:val="2"/>
                  <w:tcBorders>
                    <w:tl2br w:val="nil"/>
                    <w:tr2bl w:val="nil"/>
                  </w:tcBorders>
                  <w:vAlign w:val="center"/>
                </w:tcPr>
                <w:p w14:paraId="471055F1">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标准限值</w:t>
                  </w:r>
                </w:p>
              </w:tc>
            </w:tr>
            <w:tr w14:paraId="7F48FAB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89" w:type="pct"/>
                  <w:vMerge w:val="continue"/>
                  <w:tcBorders>
                    <w:tl2br w:val="nil"/>
                    <w:tr2bl w:val="nil"/>
                  </w:tcBorders>
                  <w:vAlign w:val="center"/>
                </w:tcPr>
                <w:p w14:paraId="2F599AEC">
                  <w:pPr>
                    <w:pStyle w:val="29"/>
                    <w:rPr>
                      <w:rFonts w:hint="default" w:ascii="Times New Roman" w:hAnsi="Times New Roman" w:eastAsia="仿宋" w:cs="Times New Roman"/>
                      <w:b/>
                      <w:color w:val="auto"/>
                      <w:sz w:val="21"/>
                      <w:szCs w:val="21"/>
                      <w:highlight w:val="none"/>
                    </w:rPr>
                  </w:pPr>
                </w:p>
              </w:tc>
              <w:tc>
                <w:tcPr>
                  <w:tcW w:w="1354" w:type="pct"/>
                  <w:tcBorders>
                    <w:tl2br w:val="nil"/>
                    <w:tr2bl w:val="nil"/>
                  </w:tcBorders>
                  <w:vAlign w:val="center"/>
                </w:tcPr>
                <w:p w14:paraId="0F33B154">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昼间</w:t>
                  </w:r>
                </w:p>
              </w:tc>
              <w:tc>
                <w:tcPr>
                  <w:tcW w:w="1355" w:type="pct"/>
                  <w:tcBorders>
                    <w:tl2br w:val="nil"/>
                    <w:tr2bl w:val="nil"/>
                  </w:tcBorders>
                  <w:vAlign w:val="center"/>
                </w:tcPr>
                <w:p w14:paraId="5FE470A0">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夜间</w:t>
                  </w:r>
                </w:p>
              </w:tc>
            </w:tr>
            <w:tr w14:paraId="14CB196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89" w:type="pct"/>
                  <w:tcBorders>
                    <w:tl2br w:val="nil"/>
                    <w:tr2bl w:val="nil"/>
                  </w:tcBorders>
                  <w:vAlign w:val="center"/>
                </w:tcPr>
                <w:p w14:paraId="379EDE8B">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《工业企业厂界环境噪声排放标准》</w:t>
                  </w:r>
                </w:p>
                <w:p w14:paraId="57BD5A12">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（GB12348-2008）3类标准</w:t>
                  </w:r>
                </w:p>
              </w:tc>
              <w:tc>
                <w:tcPr>
                  <w:tcW w:w="1354" w:type="pct"/>
                  <w:tcBorders>
                    <w:tl2br w:val="nil"/>
                    <w:tr2bl w:val="nil"/>
                  </w:tcBorders>
                  <w:vAlign w:val="center"/>
                </w:tcPr>
                <w:p w14:paraId="6FBC4EA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65dB（A）</w:t>
                  </w:r>
                </w:p>
              </w:tc>
              <w:tc>
                <w:tcPr>
                  <w:tcW w:w="1355" w:type="pct"/>
                  <w:tcBorders>
                    <w:tl2br w:val="nil"/>
                    <w:tr2bl w:val="nil"/>
                  </w:tcBorders>
                  <w:vAlign w:val="center"/>
                </w:tcPr>
                <w:p w14:paraId="0A35338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55dB（A）</w:t>
                  </w:r>
                </w:p>
              </w:tc>
            </w:tr>
          </w:tbl>
          <w:p w14:paraId="188DE8E0">
            <w:pPr>
              <w:adjustRightInd w:val="0"/>
              <w:snapToGrid w:val="0"/>
              <w:spacing w:line="360" w:lineRule="auto"/>
              <w:rPr>
                <w:rFonts w:hint="default" w:ascii="Times New Roman" w:hAnsi="Times New Roman" w:eastAsia="宋体" w:cs="Times New Roman"/>
                <w:b/>
                <w:color w:val="auto"/>
                <w:kern w:val="0"/>
                <w:sz w:val="24"/>
                <w:szCs w:val="24"/>
                <w:highlight w:val="none"/>
              </w:rPr>
            </w:pPr>
            <w:r>
              <w:rPr>
                <w:rFonts w:hint="eastAsia" w:cs="Times New Roman"/>
                <w:b/>
                <w:color w:val="auto"/>
                <w:kern w:val="0"/>
                <w:sz w:val="24"/>
                <w:szCs w:val="24"/>
                <w:highlight w:val="none"/>
                <w:lang w:val="en-US" w:eastAsia="zh-CN"/>
              </w:rPr>
              <w:t>4、</w:t>
            </w:r>
            <w:r>
              <w:rPr>
                <w:rFonts w:hint="default" w:ascii="Times New Roman" w:hAnsi="Times New Roman" w:eastAsia="宋体" w:cs="Times New Roman"/>
                <w:b/>
                <w:color w:val="auto"/>
                <w:kern w:val="0"/>
                <w:sz w:val="24"/>
                <w:szCs w:val="24"/>
                <w:highlight w:val="none"/>
              </w:rPr>
              <w:t>固体废弃物</w:t>
            </w:r>
          </w:p>
          <w:p w14:paraId="15311497">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本项目固体废物</w:t>
            </w:r>
            <w:r>
              <w:rPr>
                <w:rFonts w:hint="eastAsia" w:cs="Times New Roman"/>
                <w:color w:val="auto"/>
                <w:sz w:val="24"/>
                <w:szCs w:val="24"/>
                <w:highlight w:val="none"/>
                <w:lang w:val="en-US" w:eastAsia="zh-CN"/>
              </w:rPr>
              <w:t>参照</w:t>
            </w:r>
            <w:r>
              <w:rPr>
                <w:rFonts w:hint="default" w:ascii="Times New Roman" w:hAnsi="Times New Roman" w:eastAsia="宋体" w:cs="Times New Roman"/>
                <w:color w:val="auto"/>
                <w:sz w:val="24"/>
                <w:szCs w:val="24"/>
                <w:highlight w:val="none"/>
              </w:rPr>
              <w:t>执行《中华人民共和国固体废物污染环境防治法》（2020年修订）和《江苏省固体废物污染环境防治条例》；一般工业固体废物贮存</w:t>
            </w:r>
            <w:r>
              <w:rPr>
                <w:rFonts w:hint="default" w:ascii="Times New Roman" w:hAnsi="Times New Roman" w:eastAsia="宋体" w:cs="Times New Roman"/>
                <w:color w:val="auto"/>
                <w:sz w:val="24"/>
                <w:szCs w:val="24"/>
                <w:highlight w:val="none"/>
                <w:lang w:val="en-US" w:eastAsia="zh-CN"/>
              </w:rPr>
              <w:t>参照</w:t>
            </w:r>
            <w:r>
              <w:rPr>
                <w:rFonts w:hint="default" w:ascii="Times New Roman" w:hAnsi="Times New Roman" w:eastAsia="宋体" w:cs="Times New Roman"/>
                <w:color w:val="auto"/>
                <w:sz w:val="24"/>
                <w:szCs w:val="24"/>
                <w:highlight w:val="none"/>
              </w:rPr>
              <w:t>《一般工业固体废物贮存和填埋污染控制标准》（GB18599-2020）</w:t>
            </w:r>
            <w:r>
              <w:rPr>
                <w:rFonts w:hint="eastAsia" w:ascii="Times New Roman" w:hAnsi="Times New Roman" w:eastAsia="宋体" w:cs="Times New Roman"/>
                <w:color w:val="auto"/>
                <w:sz w:val="24"/>
                <w:szCs w:val="24"/>
                <w:highlight w:val="none"/>
                <w:lang w:val="en-US" w:eastAsia="zh-CN"/>
              </w:rPr>
              <w:t>进行设置</w:t>
            </w:r>
            <w:r>
              <w:rPr>
                <w:rFonts w:hint="default" w:ascii="Times New Roman" w:hAnsi="Times New Roman" w:eastAsia="宋体" w:cs="Times New Roman"/>
                <w:color w:val="auto"/>
                <w:sz w:val="24"/>
                <w:szCs w:val="24"/>
                <w:highlight w:val="none"/>
              </w:rPr>
              <w:t>；危险废物执行《危险废物收集</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贮存</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运输技术规范》（HJ2025-2012）、《危险废物贮存污染控制标准》（GB18597-2023）相关标准；生活垃圾</w:t>
            </w:r>
            <w:r>
              <w:rPr>
                <w:rFonts w:hint="eastAsia" w:cs="Times New Roman"/>
                <w:color w:val="auto"/>
                <w:sz w:val="24"/>
                <w:szCs w:val="24"/>
                <w:highlight w:val="none"/>
                <w:lang w:val="en-US" w:eastAsia="zh-CN"/>
              </w:rPr>
              <w:t>参照</w:t>
            </w:r>
            <w:r>
              <w:rPr>
                <w:rFonts w:hint="default" w:ascii="Times New Roman" w:hAnsi="Times New Roman" w:eastAsia="宋体" w:cs="Times New Roman"/>
                <w:color w:val="auto"/>
                <w:sz w:val="24"/>
                <w:szCs w:val="24"/>
                <w:highlight w:val="none"/>
              </w:rPr>
              <w:t>执行《城市生活垃圾管理办法》（建设部令第157号）相关要求。</w:t>
            </w:r>
          </w:p>
        </w:tc>
      </w:tr>
      <w:tr w14:paraId="3AF8AD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76" w:hRule="atLeast"/>
          <w:jc w:val="center"/>
        </w:trPr>
        <w:tc>
          <w:tcPr>
            <w:tcW w:w="227" w:type="pct"/>
            <w:vAlign w:val="center"/>
          </w:tcPr>
          <w:p w14:paraId="28649EAE">
            <w:pPr>
              <w:adjustRightInd w:val="0"/>
              <w:snapToGrid w:val="0"/>
              <w:jc w:val="center"/>
              <w:rPr>
                <w:color w:val="auto"/>
                <w:kern w:val="0"/>
                <w:szCs w:val="21"/>
                <w:highlight w:val="none"/>
              </w:rPr>
            </w:pPr>
            <w:r>
              <w:rPr>
                <w:color w:val="auto"/>
                <w:kern w:val="0"/>
                <w:szCs w:val="21"/>
                <w:highlight w:val="none"/>
              </w:rPr>
              <w:t>总量</w:t>
            </w:r>
          </w:p>
          <w:p w14:paraId="7B4E624E">
            <w:pPr>
              <w:adjustRightInd w:val="0"/>
              <w:snapToGrid w:val="0"/>
              <w:jc w:val="center"/>
              <w:rPr>
                <w:color w:val="auto"/>
                <w:kern w:val="0"/>
                <w:szCs w:val="21"/>
                <w:highlight w:val="none"/>
              </w:rPr>
            </w:pPr>
            <w:r>
              <w:rPr>
                <w:color w:val="auto"/>
                <w:kern w:val="0"/>
                <w:szCs w:val="21"/>
                <w:highlight w:val="none"/>
              </w:rPr>
              <w:t>控制</w:t>
            </w:r>
          </w:p>
          <w:p w14:paraId="7D259BE8">
            <w:pPr>
              <w:adjustRightInd w:val="0"/>
              <w:snapToGrid w:val="0"/>
              <w:jc w:val="center"/>
              <w:rPr>
                <w:color w:val="auto"/>
                <w:kern w:val="0"/>
                <w:szCs w:val="21"/>
                <w:highlight w:val="none"/>
              </w:rPr>
            </w:pPr>
            <w:r>
              <w:rPr>
                <w:color w:val="auto"/>
                <w:kern w:val="0"/>
                <w:szCs w:val="21"/>
                <w:highlight w:val="none"/>
              </w:rPr>
              <w:t>指标</w:t>
            </w:r>
          </w:p>
        </w:tc>
        <w:tc>
          <w:tcPr>
            <w:tcW w:w="4772" w:type="pct"/>
          </w:tcPr>
          <w:p w14:paraId="57CC871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eastAsia="宋体"/>
                <w:b/>
                <w:bCs/>
                <w:color w:val="auto"/>
                <w:kern w:val="0"/>
                <w:sz w:val="24"/>
                <w:szCs w:val="24"/>
                <w:highlight w:val="none"/>
                <w:lang w:eastAsia="zh-CN"/>
              </w:rPr>
            </w:pPr>
            <w:r>
              <w:rPr>
                <w:b/>
                <w:bCs/>
                <w:color w:val="auto"/>
                <w:kern w:val="0"/>
                <w:sz w:val="24"/>
                <w:szCs w:val="24"/>
                <w:highlight w:val="none"/>
              </w:rPr>
              <w:t>总量控制因子</w:t>
            </w:r>
            <w:r>
              <w:rPr>
                <w:rFonts w:hint="eastAsia"/>
                <w:b/>
                <w:bCs/>
                <w:color w:val="auto"/>
                <w:kern w:val="0"/>
                <w:sz w:val="24"/>
                <w:szCs w:val="24"/>
                <w:highlight w:val="none"/>
                <w:lang w:val="en-US" w:eastAsia="zh-CN"/>
              </w:rPr>
              <w:t>和排放指标</w:t>
            </w:r>
            <w:r>
              <w:rPr>
                <w:rFonts w:hint="eastAsia"/>
                <w:b/>
                <w:bCs/>
                <w:color w:val="auto"/>
                <w:kern w:val="0"/>
                <w:sz w:val="24"/>
                <w:szCs w:val="24"/>
                <w:highlight w:val="none"/>
                <w:lang w:eastAsia="zh-CN"/>
              </w:rPr>
              <w:t>：</w:t>
            </w:r>
          </w:p>
          <w:p w14:paraId="5CBC81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kern w:val="0"/>
                <w:sz w:val="24"/>
                <w:szCs w:val="24"/>
                <w:highlight w:val="none"/>
              </w:rPr>
            </w:pPr>
            <w:r>
              <w:rPr>
                <w:color w:val="auto"/>
                <w:kern w:val="0"/>
                <w:sz w:val="24"/>
                <w:szCs w:val="24"/>
                <w:highlight w:val="none"/>
              </w:rPr>
              <w:t>按照国家和省总量控制的规定，结合本项目排污特征，确定本项目的总量控制因子以及考核因子为：</w:t>
            </w:r>
          </w:p>
          <w:p w14:paraId="242BFA04">
            <w:pPr>
              <w:numPr>
                <w:ilvl w:val="0"/>
                <w:numId w:val="5"/>
              </w:numPr>
              <w:adjustRightInd w:val="0"/>
              <w:snapToGrid w:val="0"/>
              <w:ind w:left="0" w:leftChars="0" w:firstLine="0" w:firstLineChars="0"/>
              <w:jc w:val="center"/>
              <w:rPr>
                <w:rFonts w:hint="eastAsia"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建设项目污染物排放总量指标   （单位：t/a）</w:t>
            </w:r>
          </w:p>
          <w:tbl>
            <w:tblPr>
              <w:tblStyle w:val="22"/>
              <w:tblW w:w="4996" w:type="pct"/>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661"/>
              <w:gridCol w:w="1285"/>
              <w:gridCol w:w="1011"/>
              <w:gridCol w:w="978"/>
              <w:gridCol w:w="989"/>
              <w:gridCol w:w="893"/>
              <w:gridCol w:w="1011"/>
              <w:gridCol w:w="989"/>
              <w:gridCol w:w="1014"/>
            </w:tblGrid>
            <w:tr w14:paraId="2D4691D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87" w:type="pct"/>
                  <w:gridSpan w:val="2"/>
                  <w:vMerge w:val="restart"/>
                  <w:tcBorders>
                    <w:tl2br w:val="nil"/>
                    <w:tr2bl w:val="nil"/>
                  </w:tcBorders>
                  <w:shd w:val="clear" w:color="auto" w:fill="auto"/>
                  <w:vAlign w:val="center"/>
                </w:tcPr>
                <w:p w14:paraId="4DD54B3C">
                  <w:pPr>
                    <w:pStyle w:val="29"/>
                    <w:wordWrap/>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种类</w:t>
                  </w:r>
                </w:p>
              </w:tc>
              <w:tc>
                <w:tcPr>
                  <w:tcW w:w="694" w:type="pct"/>
                  <w:vMerge w:val="restart"/>
                  <w:tcBorders>
                    <w:tl2br w:val="nil"/>
                    <w:tr2bl w:val="nil"/>
                  </w:tcBorders>
                  <w:shd w:val="clear" w:color="auto" w:fill="auto"/>
                  <w:vAlign w:val="center"/>
                </w:tcPr>
                <w:p w14:paraId="648D19C6">
                  <w:pPr>
                    <w:pStyle w:val="29"/>
                    <w:wordWrap/>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污染物名称</w:t>
                  </w:r>
                </w:p>
              </w:tc>
              <w:tc>
                <w:tcPr>
                  <w:tcW w:w="546" w:type="pct"/>
                  <w:vMerge w:val="restart"/>
                  <w:tcBorders>
                    <w:tl2br w:val="nil"/>
                    <w:tr2bl w:val="nil"/>
                  </w:tcBorders>
                  <w:shd w:val="clear" w:color="auto" w:fill="auto"/>
                  <w:vAlign w:val="center"/>
                </w:tcPr>
                <w:p w14:paraId="1143CFB0">
                  <w:pPr>
                    <w:pStyle w:val="29"/>
                    <w:wordWrap/>
                    <w:rPr>
                      <w:rFonts w:hint="default" w:ascii="Times New Roman" w:hAnsi="Times New Roman" w:eastAsia="宋体" w:cs="Times New Roman"/>
                      <w:b/>
                      <w:color w:val="auto"/>
                      <w:sz w:val="21"/>
                      <w:szCs w:val="21"/>
                      <w:highlight w:val="none"/>
                      <w:lang w:val="en-US" w:eastAsia="zh-CN"/>
                    </w:rPr>
                  </w:pPr>
                  <w:r>
                    <w:rPr>
                      <w:rFonts w:hint="eastAsia" w:cs="Times New Roman"/>
                      <w:b/>
                      <w:color w:val="auto"/>
                      <w:sz w:val="21"/>
                      <w:szCs w:val="21"/>
                      <w:highlight w:val="none"/>
                      <w:lang w:val="en-US" w:eastAsia="zh-CN"/>
                    </w:rPr>
                    <w:t>原有项目排放量</w:t>
                  </w:r>
                </w:p>
              </w:tc>
              <w:tc>
                <w:tcPr>
                  <w:tcW w:w="1544" w:type="pct"/>
                  <w:gridSpan w:val="3"/>
                  <w:tcBorders>
                    <w:tl2br w:val="nil"/>
                    <w:tr2bl w:val="nil"/>
                  </w:tcBorders>
                  <w:shd w:val="clear" w:color="auto" w:fill="auto"/>
                  <w:vAlign w:val="center"/>
                </w:tcPr>
                <w:p w14:paraId="0E691DD5">
                  <w:pPr>
                    <w:pStyle w:val="29"/>
                    <w:wordWrap/>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本项目</w:t>
                  </w:r>
                </w:p>
              </w:tc>
              <w:tc>
                <w:tcPr>
                  <w:tcW w:w="546" w:type="pct"/>
                  <w:vMerge w:val="restart"/>
                  <w:tcBorders>
                    <w:tl2br w:val="nil"/>
                    <w:tr2bl w:val="nil"/>
                  </w:tcBorders>
                  <w:vAlign w:val="center"/>
                </w:tcPr>
                <w:p w14:paraId="0E22465F">
                  <w:pPr>
                    <w:pStyle w:val="29"/>
                    <w:wordWrap/>
                    <w:rPr>
                      <w:rFonts w:hint="default" w:ascii="Times New Roman" w:hAnsi="Times New Roman" w:eastAsia="宋体" w:cs="Times New Roman"/>
                      <w:b/>
                      <w:color w:val="auto"/>
                      <w:sz w:val="21"/>
                      <w:szCs w:val="21"/>
                      <w:highlight w:val="none"/>
                      <w:lang w:val="en-US" w:eastAsia="zh-CN"/>
                    </w:rPr>
                  </w:pPr>
                  <w:r>
                    <w:rPr>
                      <w:rFonts w:hint="eastAsia" w:cs="Times New Roman"/>
                      <w:b/>
                      <w:color w:val="auto"/>
                      <w:sz w:val="21"/>
                      <w:szCs w:val="21"/>
                      <w:highlight w:val="none"/>
                      <w:lang w:eastAsia="zh-CN"/>
                    </w:rPr>
                    <w:t>“</w:t>
                  </w:r>
                  <w:r>
                    <w:rPr>
                      <w:rFonts w:hint="eastAsia" w:cs="Times New Roman"/>
                      <w:b/>
                      <w:color w:val="auto"/>
                      <w:sz w:val="21"/>
                      <w:szCs w:val="21"/>
                      <w:highlight w:val="none"/>
                      <w:lang w:val="en-US" w:eastAsia="zh-CN"/>
                    </w:rPr>
                    <w:t>以新带老</w:t>
                  </w:r>
                  <w:r>
                    <w:rPr>
                      <w:rFonts w:hint="eastAsia" w:cs="Times New Roman"/>
                      <w:b/>
                      <w:color w:val="auto"/>
                      <w:sz w:val="21"/>
                      <w:szCs w:val="21"/>
                      <w:highlight w:val="none"/>
                      <w:lang w:eastAsia="zh-CN"/>
                    </w:rPr>
                    <w:t>”</w:t>
                  </w:r>
                  <w:r>
                    <w:rPr>
                      <w:rFonts w:hint="eastAsia" w:cs="Times New Roman"/>
                      <w:b/>
                      <w:color w:val="auto"/>
                      <w:sz w:val="21"/>
                      <w:szCs w:val="21"/>
                      <w:highlight w:val="none"/>
                      <w:lang w:val="en-US" w:eastAsia="zh-CN"/>
                    </w:rPr>
                    <w:t>削减量</w:t>
                  </w:r>
                </w:p>
              </w:tc>
              <w:tc>
                <w:tcPr>
                  <w:tcW w:w="1081" w:type="pct"/>
                  <w:gridSpan w:val="2"/>
                  <w:tcBorders>
                    <w:tl2br w:val="nil"/>
                    <w:tr2bl w:val="nil"/>
                  </w:tcBorders>
                  <w:vAlign w:val="center"/>
                </w:tcPr>
                <w:p w14:paraId="572BE2B5">
                  <w:pPr>
                    <w:pStyle w:val="29"/>
                    <w:wordWrap/>
                    <w:rPr>
                      <w:rFonts w:hint="eastAsia" w:cs="Times New Roman"/>
                      <w:b/>
                      <w:color w:val="auto"/>
                      <w:sz w:val="21"/>
                      <w:szCs w:val="21"/>
                      <w:highlight w:val="none"/>
                      <w:lang w:val="en-US" w:eastAsia="zh-CN"/>
                    </w:rPr>
                  </w:pPr>
                  <w:r>
                    <w:rPr>
                      <w:rFonts w:hint="eastAsia" w:cs="Times New Roman"/>
                      <w:b/>
                      <w:color w:val="auto"/>
                      <w:sz w:val="21"/>
                      <w:szCs w:val="21"/>
                      <w:highlight w:val="none"/>
                      <w:lang w:val="en-US" w:eastAsia="zh-CN"/>
                    </w:rPr>
                    <w:t>全厂排放量</w:t>
                  </w:r>
                </w:p>
              </w:tc>
            </w:tr>
            <w:tr w14:paraId="2B33AF4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87" w:type="pct"/>
                  <w:gridSpan w:val="2"/>
                  <w:vMerge w:val="continue"/>
                  <w:tcBorders>
                    <w:tl2br w:val="nil"/>
                    <w:tr2bl w:val="nil"/>
                  </w:tcBorders>
                  <w:shd w:val="clear" w:color="auto" w:fill="auto"/>
                  <w:vAlign w:val="center"/>
                </w:tcPr>
                <w:p w14:paraId="4E764EBA">
                  <w:pPr>
                    <w:pStyle w:val="29"/>
                    <w:wordWrap/>
                    <w:rPr>
                      <w:rFonts w:hint="default" w:ascii="Times New Roman" w:hAnsi="Times New Roman" w:eastAsia="宋体" w:cs="Times New Roman"/>
                      <w:b/>
                      <w:color w:val="auto"/>
                      <w:sz w:val="21"/>
                      <w:szCs w:val="21"/>
                      <w:highlight w:val="none"/>
                    </w:rPr>
                  </w:pPr>
                </w:p>
              </w:tc>
              <w:tc>
                <w:tcPr>
                  <w:tcW w:w="694" w:type="pct"/>
                  <w:vMerge w:val="continue"/>
                  <w:tcBorders>
                    <w:tl2br w:val="nil"/>
                    <w:tr2bl w:val="nil"/>
                  </w:tcBorders>
                  <w:shd w:val="clear" w:color="auto" w:fill="auto"/>
                  <w:vAlign w:val="center"/>
                </w:tcPr>
                <w:p w14:paraId="5205F88B">
                  <w:pPr>
                    <w:pStyle w:val="29"/>
                    <w:wordWrap/>
                    <w:rPr>
                      <w:rFonts w:hint="default" w:ascii="Times New Roman" w:hAnsi="Times New Roman" w:eastAsia="宋体" w:cs="Times New Roman"/>
                      <w:b/>
                      <w:color w:val="auto"/>
                      <w:sz w:val="21"/>
                      <w:szCs w:val="21"/>
                      <w:highlight w:val="none"/>
                    </w:rPr>
                  </w:pPr>
                </w:p>
              </w:tc>
              <w:tc>
                <w:tcPr>
                  <w:tcW w:w="546" w:type="pct"/>
                  <w:vMerge w:val="continue"/>
                  <w:tcBorders>
                    <w:tl2br w:val="nil"/>
                    <w:tr2bl w:val="nil"/>
                  </w:tcBorders>
                  <w:shd w:val="clear" w:color="auto" w:fill="auto"/>
                  <w:vAlign w:val="center"/>
                </w:tcPr>
                <w:p w14:paraId="1C5317AF">
                  <w:pPr>
                    <w:pStyle w:val="29"/>
                    <w:wordWrap/>
                    <w:rPr>
                      <w:rFonts w:hint="default" w:ascii="Times New Roman" w:hAnsi="Times New Roman" w:eastAsia="宋体" w:cs="Times New Roman"/>
                      <w:b/>
                      <w:color w:val="auto"/>
                      <w:sz w:val="21"/>
                      <w:szCs w:val="21"/>
                      <w:highlight w:val="none"/>
                    </w:rPr>
                  </w:pPr>
                </w:p>
              </w:tc>
              <w:tc>
                <w:tcPr>
                  <w:tcW w:w="528" w:type="pct"/>
                  <w:tcBorders>
                    <w:tl2br w:val="nil"/>
                    <w:tr2bl w:val="nil"/>
                  </w:tcBorders>
                  <w:shd w:val="clear" w:color="auto" w:fill="auto"/>
                  <w:vAlign w:val="center"/>
                </w:tcPr>
                <w:p w14:paraId="6B4F6A51">
                  <w:pPr>
                    <w:pStyle w:val="29"/>
                    <w:wordWrap/>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产生量</w:t>
                  </w:r>
                </w:p>
              </w:tc>
              <w:tc>
                <w:tcPr>
                  <w:tcW w:w="534" w:type="pct"/>
                  <w:tcBorders>
                    <w:tl2br w:val="nil"/>
                    <w:tr2bl w:val="nil"/>
                  </w:tcBorders>
                  <w:shd w:val="clear" w:color="auto" w:fill="auto"/>
                  <w:vAlign w:val="center"/>
                </w:tcPr>
                <w:p w14:paraId="0581AABF">
                  <w:pPr>
                    <w:pStyle w:val="29"/>
                    <w:wordWrap/>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rPr>
                    <w:t>削减量</w:t>
                  </w:r>
                  <w:r>
                    <w:rPr>
                      <w:rFonts w:hint="default" w:ascii="Times New Roman" w:hAnsi="Times New Roman" w:eastAsia="宋体" w:cs="Times New Roman"/>
                      <w:b/>
                      <w:color w:val="auto"/>
                      <w:sz w:val="21"/>
                      <w:szCs w:val="21"/>
                      <w:highlight w:val="none"/>
                      <w:lang w:val="en-US" w:eastAsia="zh-CN"/>
                    </w:rPr>
                    <w:t>/处置量</w:t>
                  </w:r>
                </w:p>
              </w:tc>
              <w:tc>
                <w:tcPr>
                  <w:tcW w:w="482" w:type="pct"/>
                  <w:tcBorders>
                    <w:tl2br w:val="nil"/>
                    <w:tr2bl w:val="nil"/>
                  </w:tcBorders>
                  <w:shd w:val="clear" w:color="auto" w:fill="auto"/>
                  <w:vAlign w:val="center"/>
                </w:tcPr>
                <w:p w14:paraId="2E30FC3A">
                  <w:pPr>
                    <w:pStyle w:val="29"/>
                    <w:wordWrap/>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排放量</w:t>
                  </w:r>
                </w:p>
              </w:tc>
              <w:tc>
                <w:tcPr>
                  <w:tcW w:w="546" w:type="pct"/>
                  <w:vMerge w:val="continue"/>
                  <w:tcBorders>
                    <w:tl2br w:val="nil"/>
                    <w:tr2bl w:val="nil"/>
                  </w:tcBorders>
                  <w:vAlign w:val="center"/>
                </w:tcPr>
                <w:p w14:paraId="6188914F">
                  <w:pPr>
                    <w:pStyle w:val="29"/>
                    <w:wordWrap/>
                    <w:rPr>
                      <w:rFonts w:hint="default" w:ascii="Times New Roman" w:hAnsi="Times New Roman" w:eastAsia="宋体" w:cs="Times New Roman"/>
                      <w:color w:val="auto"/>
                      <w:sz w:val="21"/>
                      <w:szCs w:val="21"/>
                      <w:highlight w:val="none"/>
                    </w:rPr>
                  </w:pPr>
                </w:p>
              </w:tc>
              <w:tc>
                <w:tcPr>
                  <w:tcW w:w="534" w:type="pct"/>
                  <w:tcBorders>
                    <w:tl2br w:val="nil"/>
                    <w:tr2bl w:val="nil"/>
                  </w:tcBorders>
                  <w:vAlign w:val="center"/>
                </w:tcPr>
                <w:p w14:paraId="46597DF1">
                  <w:pPr>
                    <w:pStyle w:val="29"/>
                    <w:wordWrap/>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接管量</w:t>
                  </w:r>
                </w:p>
              </w:tc>
              <w:tc>
                <w:tcPr>
                  <w:tcW w:w="547" w:type="pct"/>
                  <w:tcBorders>
                    <w:tl2br w:val="nil"/>
                    <w:tr2bl w:val="nil"/>
                  </w:tcBorders>
                  <w:vAlign w:val="center"/>
                </w:tcPr>
                <w:p w14:paraId="65FB6F5B">
                  <w:pPr>
                    <w:pStyle w:val="29"/>
                    <w:wordWrap/>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排入外环境量</w:t>
                  </w:r>
                </w:p>
              </w:tc>
            </w:tr>
            <w:tr w14:paraId="1BBEF03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7" w:type="pct"/>
                  <w:gridSpan w:val="2"/>
                  <w:tcBorders>
                    <w:tl2br w:val="nil"/>
                    <w:tr2bl w:val="nil"/>
                  </w:tcBorders>
                  <w:shd w:val="clear" w:color="auto" w:fill="auto"/>
                  <w:vAlign w:val="center"/>
                </w:tcPr>
                <w:p w14:paraId="1D4548EF">
                  <w:pPr>
                    <w:pStyle w:val="29"/>
                    <w:wordWrap/>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sz w:val="21"/>
                      <w:szCs w:val="21"/>
                      <w:highlight w:val="none"/>
                      <w:lang w:val="en-US" w:eastAsia="zh-CN"/>
                    </w:rPr>
                    <w:t>废气</w:t>
                  </w:r>
                </w:p>
              </w:tc>
              <w:tc>
                <w:tcPr>
                  <w:tcW w:w="694" w:type="pct"/>
                  <w:tcBorders>
                    <w:tl2br w:val="nil"/>
                    <w:tr2bl w:val="nil"/>
                  </w:tcBorders>
                  <w:shd w:val="clear" w:color="auto" w:fill="auto"/>
                  <w:vAlign w:val="center"/>
                </w:tcPr>
                <w:p w14:paraId="041BCEFE">
                  <w:pPr>
                    <w:pStyle w:val="29"/>
                    <w:wordWrap/>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非甲烷总烃</w:t>
                  </w:r>
                </w:p>
              </w:tc>
              <w:tc>
                <w:tcPr>
                  <w:tcW w:w="546" w:type="pct"/>
                  <w:tcBorders>
                    <w:tl2br w:val="nil"/>
                    <w:tr2bl w:val="nil"/>
                  </w:tcBorders>
                  <w:shd w:val="clear" w:color="auto" w:fill="auto"/>
                  <w:vAlign w:val="center"/>
                </w:tcPr>
                <w:p w14:paraId="45E407C5">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c>
                <w:tcPr>
                  <w:tcW w:w="528" w:type="pct"/>
                  <w:tcBorders>
                    <w:tl2br w:val="nil"/>
                    <w:tr2bl w:val="nil"/>
                  </w:tcBorders>
                  <w:shd w:val="clear" w:color="auto" w:fill="auto"/>
                  <w:vAlign w:val="center"/>
                </w:tcPr>
                <w:p w14:paraId="2F39350E">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534" w:type="pct"/>
                  <w:tcBorders>
                    <w:tl2br w:val="nil"/>
                    <w:tr2bl w:val="nil"/>
                  </w:tcBorders>
                  <w:shd w:val="clear" w:color="auto" w:fill="auto"/>
                  <w:vAlign w:val="center"/>
                </w:tcPr>
                <w:p w14:paraId="70FFB989">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482" w:type="pct"/>
                  <w:tcBorders>
                    <w:tl2br w:val="nil"/>
                    <w:tr2bl w:val="nil"/>
                  </w:tcBorders>
                  <w:shd w:val="clear" w:color="auto" w:fill="auto"/>
                  <w:vAlign w:val="center"/>
                </w:tcPr>
                <w:p w14:paraId="135F823E">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546" w:type="pct"/>
                  <w:tcBorders>
                    <w:tl2br w:val="nil"/>
                    <w:tr2bl w:val="nil"/>
                  </w:tcBorders>
                  <w:shd w:val="clear" w:color="auto" w:fill="auto"/>
                  <w:vAlign w:val="center"/>
                </w:tcPr>
                <w:p w14:paraId="066254A3">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81" w:type="pct"/>
                  <w:gridSpan w:val="2"/>
                  <w:tcBorders>
                    <w:tl2br w:val="nil"/>
                    <w:tr2bl w:val="nil"/>
                  </w:tcBorders>
                  <w:vAlign w:val="center"/>
                </w:tcPr>
                <w:p w14:paraId="3A93C681">
                  <w:pPr>
                    <w:autoSpaceDE w:val="0"/>
                    <w:autoSpaceDN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r>
            <w:tr w14:paraId="6E66429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0" w:type="pct"/>
                  <w:vMerge w:val="restart"/>
                  <w:tcBorders>
                    <w:tl2br w:val="nil"/>
                    <w:tr2bl w:val="nil"/>
                  </w:tcBorders>
                  <w:shd w:val="clear" w:color="auto" w:fill="auto"/>
                  <w:vAlign w:val="center"/>
                </w:tcPr>
                <w:p w14:paraId="449DC73B">
                  <w:pPr>
                    <w:pStyle w:val="29"/>
                    <w:wordWra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357" w:type="pct"/>
                  <w:vMerge w:val="restart"/>
                  <w:tcBorders>
                    <w:tl2br w:val="nil"/>
                    <w:tr2bl w:val="nil"/>
                  </w:tcBorders>
                  <w:shd w:val="clear" w:color="auto" w:fill="auto"/>
                  <w:vAlign w:val="center"/>
                </w:tcPr>
                <w:p w14:paraId="6651A0E1">
                  <w:pPr>
                    <w:pStyle w:val="29"/>
                    <w:wordWra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694" w:type="pct"/>
                  <w:tcBorders>
                    <w:tl2br w:val="nil"/>
                    <w:tr2bl w:val="nil"/>
                  </w:tcBorders>
                  <w:shd w:val="clear" w:color="auto" w:fill="auto"/>
                  <w:vAlign w:val="center"/>
                </w:tcPr>
                <w:p w14:paraId="553ACCCC">
                  <w:pPr>
                    <w:pStyle w:val="29"/>
                    <w:wordWra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水量</w:t>
                  </w:r>
                </w:p>
              </w:tc>
              <w:tc>
                <w:tcPr>
                  <w:tcW w:w="546" w:type="pct"/>
                  <w:tcBorders>
                    <w:tl2br w:val="nil"/>
                    <w:tr2bl w:val="nil"/>
                  </w:tcBorders>
                  <w:shd w:val="clear" w:color="auto" w:fill="auto"/>
                  <w:vAlign w:val="center"/>
                </w:tcPr>
                <w:p w14:paraId="37E3149F">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c>
                <w:tcPr>
                  <w:tcW w:w="528" w:type="pct"/>
                  <w:tcBorders>
                    <w:tl2br w:val="nil"/>
                    <w:tr2bl w:val="nil"/>
                  </w:tcBorders>
                  <w:shd w:val="clear" w:color="auto" w:fill="auto"/>
                  <w:vAlign w:val="center"/>
                </w:tcPr>
                <w:p w14:paraId="414A98E5">
                  <w:pPr>
                    <w:pStyle w:val="29"/>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300</w:t>
                  </w:r>
                </w:p>
              </w:tc>
              <w:tc>
                <w:tcPr>
                  <w:tcW w:w="534" w:type="pct"/>
                  <w:tcBorders>
                    <w:tl2br w:val="nil"/>
                    <w:tr2bl w:val="nil"/>
                  </w:tcBorders>
                  <w:shd w:val="clear" w:color="auto" w:fill="auto"/>
                  <w:vAlign w:val="center"/>
                </w:tcPr>
                <w:p w14:paraId="72849A47">
                  <w:pPr>
                    <w:pStyle w:val="29"/>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482" w:type="pct"/>
                  <w:tcBorders>
                    <w:tl2br w:val="nil"/>
                    <w:tr2bl w:val="nil"/>
                  </w:tcBorders>
                  <w:shd w:val="clear" w:color="auto" w:fill="auto"/>
                  <w:vAlign w:val="center"/>
                </w:tcPr>
                <w:p w14:paraId="737AA663">
                  <w:pPr>
                    <w:pStyle w:val="29"/>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300</w:t>
                  </w:r>
                </w:p>
              </w:tc>
              <w:tc>
                <w:tcPr>
                  <w:tcW w:w="546" w:type="pct"/>
                  <w:tcBorders>
                    <w:tl2br w:val="nil"/>
                    <w:tr2bl w:val="nil"/>
                  </w:tcBorders>
                  <w:shd w:val="clear" w:color="auto" w:fill="auto"/>
                  <w:vAlign w:val="center"/>
                </w:tcPr>
                <w:p w14:paraId="76AB2C55">
                  <w:pPr>
                    <w:pStyle w:val="29"/>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534" w:type="pct"/>
                  <w:tcBorders>
                    <w:tl2br w:val="nil"/>
                    <w:tr2bl w:val="nil"/>
                  </w:tcBorders>
                  <w:shd w:val="clear" w:color="auto" w:fill="auto"/>
                  <w:vAlign w:val="center"/>
                </w:tcPr>
                <w:p w14:paraId="1F4D3B9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300</w:t>
                  </w:r>
                </w:p>
              </w:tc>
              <w:tc>
                <w:tcPr>
                  <w:tcW w:w="547" w:type="pct"/>
                  <w:tcBorders>
                    <w:tl2br w:val="nil"/>
                    <w:tr2bl w:val="nil"/>
                  </w:tcBorders>
                  <w:shd w:val="clear" w:color="auto" w:fill="auto"/>
                  <w:vAlign w:val="center"/>
                </w:tcPr>
                <w:p w14:paraId="24A006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300</w:t>
                  </w:r>
                </w:p>
              </w:tc>
            </w:tr>
            <w:tr w14:paraId="0C34781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0" w:type="pct"/>
                  <w:vMerge w:val="continue"/>
                  <w:tcBorders>
                    <w:tl2br w:val="nil"/>
                    <w:tr2bl w:val="nil"/>
                  </w:tcBorders>
                  <w:shd w:val="clear" w:color="auto" w:fill="auto"/>
                  <w:vAlign w:val="center"/>
                </w:tcPr>
                <w:p w14:paraId="45A99247">
                  <w:pPr>
                    <w:pStyle w:val="29"/>
                    <w:wordWrap/>
                    <w:rPr>
                      <w:rFonts w:hint="default" w:ascii="Times New Roman" w:hAnsi="Times New Roman" w:eastAsia="宋体" w:cs="Times New Roman"/>
                      <w:color w:val="auto"/>
                      <w:sz w:val="21"/>
                      <w:szCs w:val="21"/>
                      <w:highlight w:val="none"/>
                    </w:rPr>
                  </w:pPr>
                </w:p>
              </w:tc>
              <w:tc>
                <w:tcPr>
                  <w:tcW w:w="357" w:type="pct"/>
                  <w:vMerge w:val="continue"/>
                  <w:tcBorders>
                    <w:tl2br w:val="nil"/>
                    <w:tr2bl w:val="nil"/>
                  </w:tcBorders>
                  <w:shd w:val="clear" w:color="auto" w:fill="auto"/>
                  <w:vAlign w:val="center"/>
                </w:tcPr>
                <w:p w14:paraId="7DBF5CFC">
                  <w:pPr>
                    <w:pStyle w:val="29"/>
                    <w:wordWrap/>
                    <w:rPr>
                      <w:rFonts w:hint="default" w:ascii="Times New Roman" w:hAnsi="Times New Roman" w:eastAsia="宋体" w:cs="Times New Roman"/>
                      <w:color w:val="auto"/>
                      <w:sz w:val="21"/>
                      <w:szCs w:val="21"/>
                      <w:highlight w:val="none"/>
                    </w:rPr>
                  </w:pPr>
                </w:p>
              </w:tc>
              <w:tc>
                <w:tcPr>
                  <w:tcW w:w="694" w:type="pct"/>
                  <w:tcBorders>
                    <w:tl2br w:val="nil"/>
                    <w:tr2bl w:val="nil"/>
                  </w:tcBorders>
                  <w:shd w:val="clear" w:color="auto" w:fill="auto"/>
                  <w:vAlign w:val="center"/>
                </w:tcPr>
                <w:p w14:paraId="6D3FECAC">
                  <w:pPr>
                    <w:pStyle w:val="29"/>
                    <w:wordWra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p>
              </w:tc>
              <w:tc>
                <w:tcPr>
                  <w:tcW w:w="546" w:type="pct"/>
                  <w:tcBorders>
                    <w:tl2br w:val="nil"/>
                    <w:tr2bl w:val="nil"/>
                  </w:tcBorders>
                  <w:shd w:val="clear" w:color="auto" w:fill="auto"/>
                  <w:vAlign w:val="center"/>
                </w:tcPr>
                <w:p w14:paraId="10372EC6">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c>
                <w:tcPr>
                  <w:tcW w:w="528" w:type="pct"/>
                  <w:tcBorders>
                    <w:tl2br w:val="nil"/>
                    <w:tr2bl w:val="nil"/>
                  </w:tcBorders>
                  <w:shd w:val="clear" w:color="auto" w:fill="auto"/>
                  <w:vAlign w:val="center"/>
                </w:tcPr>
                <w:p w14:paraId="7B136FEF">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0.12</w:t>
                  </w:r>
                </w:p>
              </w:tc>
              <w:tc>
                <w:tcPr>
                  <w:tcW w:w="534" w:type="pct"/>
                  <w:tcBorders>
                    <w:tl2br w:val="nil"/>
                    <w:tr2bl w:val="nil"/>
                  </w:tcBorders>
                  <w:shd w:val="clear" w:color="auto" w:fill="auto"/>
                  <w:vAlign w:val="center"/>
                </w:tcPr>
                <w:p w14:paraId="61417E73">
                  <w:pPr>
                    <w:pStyle w:val="29"/>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482" w:type="pct"/>
                  <w:tcBorders>
                    <w:tl2br w:val="nil"/>
                    <w:tr2bl w:val="nil"/>
                  </w:tcBorders>
                  <w:shd w:val="clear" w:color="auto" w:fill="auto"/>
                  <w:vAlign w:val="center"/>
                </w:tcPr>
                <w:p w14:paraId="343527CE">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0.12</w:t>
                  </w:r>
                </w:p>
              </w:tc>
              <w:tc>
                <w:tcPr>
                  <w:tcW w:w="546" w:type="pct"/>
                  <w:tcBorders>
                    <w:tl2br w:val="nil"/>
                    <w:tr2bl w:val="nil"/>
                  </w:tcBorders>
                  <w:shd w:val="clear" w:color="auto" w:fill="auto"/>
                  <w:vAlign w:val="center"/>
                </w:tcPr>
                <w:p w14:paraId="528F77E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534" w:type="pct"/>
                  <w:tcBorders>
                    <w:tl2br w:val="nil"/>
                    <w:tr2bl w:val="nil"/>
                  </w:tcBorders>
                  <w:shd w:val="clear" w:color="auto" w:fill="auto"/>
                  <w:vAlign w:val="center"/>
                </w:tcPr>
                <w:p w14:paraId="5F2D3B0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0.12</w:t>
                  </w:r>
                </w:p>
              </w:tc>
              <w:tc>
                <w:tcPr>
                  <w:tcW w:w="547" w:type="pct"/>
                  <w:tcBorders>
                    <w:tl2br w:val="nil"/>
                    <w:tr2bl w:val="nil"/>
                  </w:tcBorders>
                  <w:shd w:val="clear" w:color="auto" w:fill="auto"/>
                  <w:vAlign w:val="center"/>
                </w:tcPr>
                <w:p w14:paraId="38FACB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0.009</w:t>
                  </w:r>
                </w:p>
              </w:tc>
            </w:tr>
            <w:tr w14:paraId="0DED2C9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0" w:type="pct"/>
                  <w:vMerge w:val="continue"/>
                  <w:tcBorders>
                    <w:tl2br w:val="nil"/>
                    <w:tr2bl w:val="nil"/>
                  </w:tcBorders>
                  <w:shd w:val="clear" w:color="auto" w:fill="auto"/>
                  <w:vAlign w:val="center"/>
                </w:tcPr>
                <w:p w14:paraId="60782CB9">
                  <w:pPr>
                    <w:pStyle w:val="29"/>
                    <w:wordWrap/>
                    <w:rPr>
                      <w:rFonts w:hint="default" w:ascii="Times New Roman" w:hAnsi="Times New Roman" w:eastAsia="宋体" w:cs="Times New Roman"/>
                      <w:color w:val="auto"/>
                      <w:sz w:val="21"/>
                      <w:szCs w:val="21"/>
                      <w:highlight w:val="none"/>
                    </w:rPr>
                  </w:pPr>
                </w:p>
              </w:tc>
              <w:tc>
                <w:tcPr>
                  <w:tcW w:w="357" w:type="pct"/>
                  <w:vMerge w:val="continue"/>
                  <w:tcBorders>
                    <w:tl2br w:val="nil"/>
                    <w:tr2bl w:val="nil"/>
                  </w:tcBorders>
                  <w:shd w:val="clear" w:color="auto" w:fill="auto"/>
                  <w:vAlign w:val="center"/>
                </w:tcPr>
                <w:p w14:paraId="7CCA4D06">
                  <w:pPr>
                    <w:pStyle w:val="29"/>
                    <w:wordWrap/>
                    <w:rPr>
                      <w:rFonts w:hint="default" w:ascii="Times New Roman" w:hAnsi="Times New Roman" w:eastAsia="宋体" w:cs="Times New Roman"/>
                      <w:color w:val="auto"/>
                      <w:sz w:val="21"/>
                      <w:szCs w:val="21"/>
                      <w:highlight w:val="none"/>
                    </w:rPr>
                  </w:pPr>
                </w:p>
              </w:tc>
              <w:tc>
                <w:tcPr>
                  <w:tcW w:w="694" w:type="pct"/>
                  <w:tcBorders>
                    <w:tl2br w:val="nil"/>
                    <w:tr2bl w:val="nil"/>
                  </w:tcBorders>
                  <w:shd w:val="clear" w:color="auto" w:fill="auto"/>
                  <w:vAlign w:val="center"/>
                </w:tcPr>
                <w:p w14:paraId="3C5FF7E0">
                  <w:pPr>
                    <w:pStyle w:val="29"/>
                    <w:wordWra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546" w:type="pct"/>
                  <w:tcBorders>
                    <w:tl2br w:val="nil"/>
                    <w:tr2bl w:val="nil"/>
                  </w:tcBorders>
                  <w:shd w:val="clear" w:color="auto" w:fill="auto"/>
                  <w:vAlign w:val="center"/>
                </w:tcPr>
                <w:p w14:paraId="60DC47C7">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c>
                <w:tcPr>
                  <w:tcW w:w="528" w:type="pct"/>
                  <w:tcBorders>
                    <w:tl2br w:val="nil"/>
                    <w:tr2bl w:val="nil"/>
                  </w:tcBorders>
                  <w:shd w:val="clear" w:color="auto" w:fill="auto"/>
                  <w:vAlign w:val="center"/>
                </w:tcPr>
                <w:p w14:paraId="26A79070">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0.06</w:t>
                  </w:r>
                </w:p>
              </w:tc>
              <w:tc>
                <w:tcPr>
                  <w:tcW w:w="534" w:type="pct"/>
                  <w:tcBorders>
                    <w:tl2br w:val="nil"/>
                    <w:tr2bl w:val="nil"/>
                  </w:tcBorders>
                  <w:shd w:val="clear" w:color="auto" w:fill="auto"/>
                  <w:vAlign w:val="center"/>
                </w:tcPr>
                <w:p w14:paraId="3D8ACB16">
                  <w:pPr>
                    <w:pStyle w:val="29"/>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482" w:type="pct"/>
                  <w:tcBorders>
                    <w:tl2br w:val="nil"/>
                    <w:tr2bl w:val="nil"/>
                  </w:tcBorders>
                  <w:shd w:val="clear" w:color="auto" w:fill="auto"/>
                  <w:vAlign w:val="center"/>
                </w:tcPr>
                <w:p w14:paraId="153A53FA">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0.06</w:t>
                  </w:r>
                </w:p>
              </w:tc>
              <w:tc>
                <w:tcPr>
                  <w:tcW w:w="546" w:type="pct"/>
                  <w:tcBorders>
                    <w:tl2br w:val="nil"/>
                    <w:tr2bl w:val="nil"/>
                  </w:tcBorders>
                  <w:shd w:val="clear" w:color="auto" w:fill="auto"/>
                  <w:vAlign w:val="center"/>
                </w:tcPr>
                <w:p w14:paraId="5E0007F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534" w:type="pct"/>
                  <w:tcBorders>
                    <w:tl2br w:val="nil"/>
                    <w:tr2bl w:val="nil"/>
                  </w:tcBorders>
                  <w:shd w:val="clear" w:color="auto" w:fill="auto"/>
                  <w:vAlign w:val="center"/>
                </w:tcPr>
                <w:p w14:paraId="26FD384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0.06</w:t>
                  </w:r>
                </w:p>
              </w:tc>
              <w:tc>
                <w:tcPr>
                  <w:tcW w:w="547" w:type="pct"/>
                  <w:tcBorders>
                    <w:tl2br w:val="nil"/>
                    <w:tr2bl w:val="nil"/>
                  </w:tcBorders>
                  <w:shd w:val="clear" w:color="auto" w:fill="auto"/>
                  <w:vAlign w:val="center"/>
                </w:tcPr>
                <w:p w14:paraId="7E4B4B2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0.003</w:t>
                  </w:r>
                </w:p>
              </w:tc>
            </w:tr>
            <w:tr w14:paraId="79A7C3C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0" w:type="pct"/>
                  <w:vMerge w:val="continue"/>
                  <w:tcBorders>
                    <w:tl2br w:val="nil"/>
                    <w:tr2bl w:val="nil"/>
                  </w:tcBorders>
                  <w:shd w:val="clear" w:color="auto" w:fill="auto"/>
                  <w:vAlign w:val="center"/>
                </w:tcPr>
                <w:p w14:paraId="2EF4089F">
                  <w:pPr>
                    <w:pStyle w:val="29"/>
                    <w:wordWrap/>
                    <w:rPr>
                      <w:rFonts w:hint="default" w:ascii="Times New Roman" w:hAnsi="Times New Roman" w:eastAsia="宋体" w:cs="Times New Roman"/>
                      <w:color w:val="auto"/>
                      <w:sz w:val="21"/>
                      <w:szCs w:val="21"/>
                      <w:highlight w:val="none"/>
                    </w:rPr>
                  </w:pPr>
                </w:p>
              </w:tc>
              <w:tc>
                <w:tcPr>
                  <w:tcW w:w="357" w:type="pct"/>
                  <w:vMerge w:val="continue"/>
                  <w:tcBorders>
                    <w:tl2br w:val="nil"/>
                    <w:tr2bl w:val="nil"/>
                  </w:tcBorders>
                  <w:shd w:val="clear" w:color="auto" w:fill="auto"/>
                  <w:vAlign w:val="center"/>
                </w:tcPr>
                <w:p w14:paraId="265931EE">
                  <w:pPr>
                    <w:pStyle w:val="29"/>
                    <w:wordWrap/>
                    <w:rPr>
                      <w:rFonts w:hint="default" w:ascii="Times New Roman" w:hAnsi="Times New Roman" w:eastAsia="宋体" w:cs="Times New Roman"/>
                      <w:color w:val="auto"/>
                      <w:sz w:val="21"/>
                      <w:szCs w:val="21"/>
                      <w:highlight w:val="none"/>
                    </w:rPr>
                  </w:pPr>
                </w:p>
              </w:tc>
              <w:tc>
                <w:tcPr>
                  <w:tcW w:w="694" w:type="pct"/>
                  <w:tcBorders>
                    <w:tl2br w:val="nil"/>
                    <w:tr2bl w:val="nil"/>
                  </w:tcBorders>
                  <w:shd w:val="clear" w:color="auto" w:fill="auto"/>
                  <w:vAlign w:val="center"/>
                </w:tcPr>
                <w:p w14:paraId="2D1E7A3D">
                  <w:pPr>
                    <w:pStyle w:val="29"/>
                    <w:wordWra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c>
                <w:tcPr>
                  <w:tcW w:w="546" w:type="pct"/>
                  <w:tcBorders>
                    <w:tl2br w:val="nil"/>
                    <w:tr2bl w:val="nil"/>
                  </w:tcBorders>
                  <w:shd w:val="clear" w:color="auto" w:fill="auto"/>
                  <w:vAlign w:val="center"/>
                </w:tcPr>
                <w:p w14:paraId="7B7336C4">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528" w:type="pct"/>
                  <w:tcBorders>
                    <w:tl2br w:val="nil"/>
                    <w:tr2bl w:val="nil"/>
                  </w:tcBorders>
                  <w:shd w:val="clear" w:color="auto" w:fill="auto"/>
                  <w:vAlign w:val="center"/>
                </w:tcPr>
                <w:p w14:paraId="091D90F2">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0.011</w:t>
                  </w:r>
                </w:p>
              </w:tc>
              <w:tc>
                <w:tcPr>
                  <w:tcW w:w="534" w:type="pct"/>
                  <w:tcBorders>
                    <w:tl2br w:val="nil"/>
                    <w:tr2bl w:val="nil"/>
                  </w:tcBorders>
                  <w:shd w:val="clear" w:color="auto" w:fill="auto"/>
                  <w:vAlign w:val="center"/>
                </w:tcPr>
                <w:p w14:paraId="11F0BAA6">
                  <w:pPr>
                    <w:pStyle w:val="29"/>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482" w:type="pct"/>
                  <w:tcBorders>
                    <w:tl2br w:val="nil"/>
                    <w:tr2bl w:val="nil"/>
                  </w:tcBorders>
                  <w:shd w:val="clear" w:color="auto" w:fill="auto"/>
                  <w:vAlign w:val="center"/>
                </w:tcPr>
                <w:p w14:paraId="082CB778">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0.011</w:t>
                  </w:r>
                </w:p>
              </w:tc>
              <w:tc>
                <w:tcPr>
                  <w:tcW w:w="546" w:type="pct"/>
                  <w:tcBorders>
                    <w:tl2br w:val="nil"/>
                    <w:tr2bl w:val="nil"/>
                  </w:tcBorders>
                  <w:shd w:val="clear" w:color="auto" w:fill="auto"/>
                  <w:vAlign w:val="center"/>
                </w:tcPr>
                <w:p w14:paraId="324AB09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534" w:type="pct"/>
                  <w:tcBorders>
                    <w:tl2br w:val="nil"/>
                    <w:tr2bl w:val="nil"/>
                  </w:tcBorders>
                  <w:shd w:val="clear" w:color="auto" w:fill="auto"/>
                  <w:vAlign w:val="center"/>
                </w:tcPr>
                <w:p w14:paraId="3B70A4F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0.011</w:t>
                  </w:r>
                </w:p>
              </w:tc>
              <w:tc>
                <w:tcPr>
                  <w:tcW w:w="547" w:type="pct"/>
                  <w:tcBorders>
                    <w:tl2br w:val="nil"/>
                    <w:tr2bl w:val="nil"/>
                  </w:tcBorders>
                  <w:shd w:val="clear" w:color="auto" w:fill="auto"/>
                  <w:vAlign w:val="center"/>
                </w:tcPr>
                <w:p w14:paraId="58D3F7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0.0009</w:t>
                  </w:r>
                </w:p>
              </w:tc>
            </w:tr>
            <w:tr w14:paraId="22F8CA0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0" w:type="pct"/>
                  <w:vMerge w:val="continue"/>
                  <w:tcBorders>
                    <w:tl2br w:val="nil"/>
                    <w:tr2bl w:val="nil"/>
                  </w:tcBorders>
                  <w:shd w:val="clear" w:color="auto" w:fill="auto"/>
                  <w:vAlign w:val="center"/>
                </w:tcPr>
                <w:p w14:paraId="5031A15F">
                  <w:pPr>
                    <w:pStyle w:val="29"/>
                    <w:wordWrap/>
                    <w:rPr>
                      <w:rFonts w:hint="default" w:ascii="Times New Roman" w:hAnsi="Times New Roman" w:eastAsia="宋体" w:cs="Times New Roman"/>
                      <w:color w:val="auto"/>
                      <w:sz w:val="21"/>
                      <w:szCs w:val="21"/>
                      <w:highlight w:val="none"/>
                    </w:rPr>
                  </w:pPr>
                </w:p>
              </w:tc>
              <w:tc>
                <w:tcPr>
                  <w:tcW w:w="357" w:type="pct"/>
                  <w:vMerge w:val="continue"/>
                  <w:tcBorders>
                    <w:tl2br w:val="nil"/>
                    <w:tr2bl w:val="nil"/>
                  </w:tcBorders>
                  <w:shd w:val="clear" w:color="auto" w:fill="auto"/>
                  <w:vAlign w:val="center"/>
                </w:tcPr>
                <w:p w14:paraId="15410404">
                  <w:pPr>
                    <w:pStyle w:val="29"/>
                    <w:wordWrap/>
                    <w:rPr>
                      <w:rFonts w:hint="default" w:ascii="Times New Roman" w:hAnsi="Times New Roman" w:eastAsia="宋体" w:cs="Times New Roman"/>
                      <w:color w:val="auto"/>
                      <w:sz w:val="21"/>
                      <w:szCs w:val="21"/>
                      <w:highlight w:val="none"/>
                    </w:rPr>
                  </w:pPr>
                </w:p>
              </w:tc>
              <w:tc>
                <w:tcPr>
                  <w:tcW w:w="694" w:type="pct"/>
                  <w:tcBorders>
                    <w:tl2br w:val="nil"/>
                    <w:tr2bl w:val="nil"/>
                  </w:tcBorders>
                  <w:shd w:val="clear" w:color="auto" w:fill="auto"/>
                  <w:vAlign w:val="center"/>
                </w:tcPr>
                <w:p w14:paraId="31172B1A">
                  <w:pPr>
                    <w:pStyle w:val="29"/>
                    <w:wordWrap/>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eastAsia" w:cs="Times New Roman"/>
                      <w:color w:val="auto"/>
                      <w:sz w:val="21"/>
                      <w:szCs w:val="21"/>
                      <w:highlight w:val="none"/>
                      <w:lang w:val="en-US" w:eastAsia="zh-CN"/>
                    </w:rPr>
                    <w:t>P</w:t>
                  </w:r>
                </w:p>
              </w:tc>
              <w:tc>
                <w:tcPr>
                  <w:tcW w:w="546" w:type="pct"/>
                  <w:tcBorders>
                    <w:tl2br w:val="nil"/>
                    <w:tr2bl w:val="nil"/>
                  </w:tcBorders>
                  <w:shd w:val="clear" w:color="auto" w:fill="auto"/>
                  <w:vAlign w:val="center"/>
                </w:tcPr>
                <w:p w14:paraId="1BD27879">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528" w:type="pct"/>
                  <w:tcBorders>
                    <w:tl2br w:val="nil"/>
                    <w:tr2bl w:val="nil"/>
                  </w:tcBorders>
                  <w:shd w:val="clear" w:color="auto" w:fill="auto"/>
                  <w:vAlign w:val="center"/>
                </w:tcPr>
                <w:p w14:paraId="2927FFB9">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0.002</w:t>
                  </w:r>
                </w:p>
              </w:tc>
              <w:tc>
                <w:tcPr>
                  <w:tcW w:w="534" w:type="pct"/>
                  <w:tcBorders>
                    <w:tl2br w:val="nil"/>
                    <w:tr2bl w:val="nil"/>
                  </w:tcBorders>
                  <w:shd w:val="clear" w:color="auto" w:fill="auto"/>
                  <w:vAlign w:val="center"/>
                </w:tcPr>
                <w:p w14:paraId="2D5883CD">
                  <w:pPr>
                    <w:pStyle w:val="29"/>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482" w:type="pct"/>
                  <w:tcBorders>
                    <w:tl2br w:val="nil"/>
                    <w:tr2bl w:val="nil"/>
                  </w:tcBorders>
                  <w:shd w:val="clear" w:color="auto" w:fill="auto"/>
                  <w:vAlign w:val="center"/>
                </w:tcPr>
                <w:p w14:paraId="0496064D">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0.002</w:t>
                  </w:r>
                </w:p>
              </w:tc>
              <w:tc>
                <w:tcPr>
                  <w:tcW w:w="546" w:type="pct"/>
                  <w:tcBorders>
                    <w:tl2br w:val="nil"/>
                    <w:tr2bl w:val="nil"/>
                  </w:tcBorders>
                  <w:shd w:val="clear" w:color="auto" w:fill="auto"/>
                  <w:vAlign w:val="center"/>
                </w:tcPr>
                <w:p w14:paraId="5B34DBB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534" w:type="pct"/>
                  <w:tcBorders>
                    <w:tl2br w:val="nil"/>
                    <w:tr2bl w:val="nil"/>
                  </w:tcBorders>
                  <w:shd w:val="clear" w:color="auto" w:fill="auto"/>
                  <w:vAlign w:val="center"/>
                </w:tcPr>
                <w:p w14:paraId="3D9324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0.002</w:t>
                  </w:r>
                </w:p>
              </w:tc>
              <w:tc>
                <w:tcPr>
                  <w:tcW w:w="547" w:type="pct"/>
                  <w:tcBorders>
                    <w:tl2br w:val="nil"/>
                    <w:tr2bl w:val="nil"/>
                  </w:tcBorders>
                  <w:shd w:val="clear" w:color="auto" w:fill="auto"/>
                  <w:vAlign w:val="center"/>
                </w:tcPr>
                <w:p w14:paraId="1E3963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0.00009</w:t>
                  </w:r>
                </w:p>
              </w:tc>
            </w:tr>
            <w:tr w14:paraId="178BB39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0" w:type="pct"/>
                  <w:vMerge w:val="continue"/>
                  <w:tcBorders>
                    <w:tl2br w:val="nil"/>
                    <w:tr2bl w:val="nil"/>
                  </w:tcBorders>
                  <w:shd w:val="clear" w:color="auto" w:fill="auto"/>
                  <w:vAlign w:val="center"/>
                </w:tcPr>
                <w:p w14:paraId="11F68AC7">
                  <w:pPr>
                    <w:pStyle w:val="29"/>
                    <w:wordWrap/>
                    <w:rPr>
                      <w:rFonts w:hint="default" w:ascii="Times New Roman" w:hAnsi="Times New Roman" w:eastAsia="宋体" w:cs="Times New Roman"/>
                      <w:color w:val="auto"/>
                      <w:sz w:val="21"/>
                      <w:szCs w:val="21"/>
                      <w:highlight w:val="none"/>
                    </w:rPr>
                  </w:pPr>
                </w:p>
              </w:tc>
              <w:tc>
                <w:tcPr>
                  <w:tcW w:w="357" w:type="pct"/>
                  <w:vMerge w:val="continue"/>
                  <w:tcBorders>
                    <w:tl2br w:val="nil"/>
                    <w:tr2bl w:val="nil"/>
                  </w:tcBorders>
                  <w:shd w:val="clear" w:color="auto" w:fill="auto"/>
                  <w:vAlign w:val="center"/>
                </w:tcPr>
                <w:p w14:paraId="348D517E">
                  <w:pPr>
                    <w:pStyle w:val="29"/>
                    <w:wordWrap/>
                    <w:rPr>
                      <w:rFonts w:hint="default" w:ascii="Times New Roman" w:hAnsi="Times New Roman" w:eastAsia="宋体" w:cs="Times New Roman"/>
                      <w:color w:val="auto"/>
                      <w:sz w:val="21"/>
                      <w:szCs w:val="21"/>
                      <w:highlight w:val="none"/>
                    </w:rPr>
                  </w:pPr>
                </w:p>
              </w:tc>
              <w:tc>
                <w:tcPr>
                  <w:tcW w:w="694" w:type="pct"/>
                  <w:tcBorders>
                    <w:tl2br w:val="nil"/>
                    <w:tr2bl w:val="nil"/>
                  </w:tcBorders>
                  <w:shd w:val="clear" w:color="auto" w:fill="auto"/>
                  <w:vAlign w:val="center"/>
                </w:tcPr>
                <w:p w14:paraId="223DBCC6">
                  <w:pPr>
                    <w:pStyle w:val="29"/>
                    <w:wordWrap/>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eastAsia" w:cs="Times New Roman"/>
                      <w:color w:val="auto"/>
                      <w:sz w:val="21"/>
                      <w:szCs w:val="21"/>
                      <w:highlight w:val="none"/>
                      <w:lang w:val="en-US" w:eastAsia="zh-CN"/>
                    </w:rPr>
                    <w:t>N</w:t>
                  </w:r>
                </w:p>
              </w:tc>
              <w:tc>
                <w:tcPr>
                  <w:tcW w:w="546" w:type="pct"/>
                  <w:tcBorders>
                    <w:tl2br w:val="nil"/>
                    <w:tr2bl w:val="nil"/>
                  </w:tcBorders>
                  <w:shd w:val="clear" w:color="auto" w:fill="auto"/>
                  <w:vAlign w:val="center"/>
                </w:tcPr>
                <w:p w14:paraId="6B2ADA61">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528" w:type="pct"/>
                  <w:tcBorders>
                    <w:tl2br w:val="nil"/>
                    <w:tr2bl w:val="nil"/>
                  </w:tcBorders>
                  <w:shd w:val="clear" w:color="auto" w:fill="auto"/>
                  <w:vAlign w:val="center"/>
                </w:tcPr>
                <w:p w14:paraId="3D24AD80">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0.014</w:t>
                  </w:r>
                </w:p>
              </w:tc>
              <w:tc>
                <w:tcPr>
                  <w:tcW w:w="534" w:type="pct"/>
                  <w:tcBorders>
                    <w:tl2br w:val="nil"/>
                    <w:tr2bl w:val="nil"/>
                  </w:tcBorders>
                  <w:shd w:val="clear" w:color="auto" w:fill="auto"/>
                  <w:vAlign w:val="center"/>
                </w:tcPr>
                <w:p w14:paraId="54A29E80">
                  <w:pPr>
                    <w:pStyle w:val="29"/>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482" w:type="pct"/>
                  <w:tcBorders>
                    <w:tl2br w:val="nil"/>
                    <w:tr2bl w:val="nil"/>
                  </w:tcBorders>
                  <w:shd w:val="clear" w:color="auto" w:fill="auto"/>
                  <w:vAlign w:val="center"/>
                </w:tcPr>
                <w:p w14:paraId="7EC53E37">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0.014</w:t>
                  </w:r>
                </w:p>
              </w:tc>
              <w:tc>
                <w:tcPr>
                  <w:tcW w:w="546" w:type="pct"/>
                  <w:tcBorders>
                    <w:tl2br w:val="nil"/>
                    <w:tr2bl w:val="nil"/>
                  </w:tcBorders>
                  <w:shd w:val="clear" w:color="auto" w:fill="auto"/>
                  <w:vAlign w:val="center"/>
                </w:tcPr>
                <w:p w14:paraId="65C0632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0</w:t>
                  </w:r>
                </w:p>
              </w:tc>
              <w:tc>
                <w:tcPr>
                  <w:tcW w:w="534" w:type="pct"/>
                  <w:tcBorders>
                    <w:tl2br w:val="nil"/>
                    <w:tr2bl w:val="nil"/>
                  </w:tcBorders>
                  <w:shd w:val="clear" w:color="auto" w:fill="auto"/>
                  <w:vAlign w:val="center"/>
                </w:tcPr>
                <w:p w14:paraId="077FA9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0.014</w:t>
                  </w:r>
                </w:p>
              </w:tc>
              <w:tc>
                <w:tcPr>
                  <w:tcW w:w="547" w:type="pct"/>
                  <w:tcBorders>
                    <w:tl2br w:val="nil"/>
                    <w:tr2bl w:val="nil"/>
                  </w:tcBorders>
                  <w:shd w:val="clear" w:color="auto" w:fill="auto"/>
                  <w:vAlign w:val="center"/>
                </w:tcPr>
                <w:p w14:paraId="19295D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0.003</w:t>
                  </w:r>
                </w:p>
              </w:tc>
            </w:tr>
            <w:tr w14:paraId="5BA8D7D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0" w:type="pct"/>
                  <w:vMerge w:val="restart"/>
                  <w:tcBorders>
                    <w:tl2br w:val="nil"/>
                    <w:tr2bl w:val="nil"/>
                  </w:tcBorders>
                  <w:shd w:val="clear" w:color="auto" w:fill="auto"/>
                  <w:vAlign w:val="center"/>
                </w:tcPr>
                <w:p w14:paraId="715BE7BD">
                  <w:pPr>
                    <w:pStyle w:val="29"/>
                    <w:wordWra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w:t>
                  </w:r>
                </w:p>
              </w:tc>
              <w:tc>
                <w:tcPr>
                  <w:tcW w:w="1051" w:type="pct"/>
                  <w:gridSpan w:val="2"/>
                  <w:tcBorders>
                    <w:tl2br w:val="nil"/>
                    <w:tr2bl w:val="nil"/>
                  </w:tcBorders>
                  <w:shd w:val="clear" w:color="auto" w:fill="auto"/>
                  <w:vAlign w:val="center"/>
                </w:tcPr>
                <w:p w14:paraId="4BB61A06">
                  <w:pPr>
                    <w:pStyle w:val="29"/>
                    <w:wordWra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一般工业固废</w:t>
                  </w:r>
                </w:p>
              </w:tc>
              <w:tc>
                <w:tcPr>
                  <w:tcW w:w="546" w:type="pct"/>
                  <w:tcBorders>
                    <w:tl2br w:val="nil"/>
                    <w:tr2bl w:val="nil"/>
                  </w:tcBorders>
                  <w:shd w:val="clear" w:color="auto" w:fill="auto"/>
                  <w:vAlign w:val="center"/>
                </w:tcPr>
                <w:p w14:paraId="2189D5F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528" w:type="pct"/>
                  <w:tcBorders>
                    <w:tl2br w:val="nil"/>
                    <w:tr2bl w:val="nil"/>
                  </w:tcBorders>
                  <w:shd w:val="clear" w:color="auto" w:fill="auto"/>
                  <w:vAlign w:val="center"/>
                </w:tcPr>
                <w:p w14:paraId="17B3A3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5.74</w:t>
                  </w:r>
                </w:p>
              </w:tc>
              <w:tc>
                <w:tcPr>
                  <w:tcW w:w="534" w:type="pct"/>
                  <w:tcBorders>
                    <w:tl2br w:val="nil"/>
                    <w:tr2bl w:val="nil"/>
                  </w:tcBorders>
                  <w:shd w:val="clear" w:color="auto" w:fill="auto"/>
                  <w:vAlign w:val="center"/>
                </w:tcPr>
                <w:p w14:paraId="6C70A2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5.74</w:t>
                  </w:r>
                </w:p>
              </w:tc>
              <w:tc>
                <w:tcPr>
                  <w:tcW w:w="482" w:type="pct"/>
                  <w:tcBorders>
                    <w:tl2br w:val="nil"/>
                    <w:tr2bl w:val="nil"/>
                  </w:tcBorders>
                  <w:shd w:val="clear" w:color="auto" w:fill="auto"/>
                  <w:vAlign w:val="center"/>
                </w:tcPr>
                <w:p w14:paraId="31CF98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546" w:type="pct"/>
                  <w:tcBorders>
                    <w:tl2br w:val="nil"/>
                    <w:tr2bl w:val="nil"/>
                  </w:tcBorders>
                  <w:vAlign w:val="center"/>
                </w:tcPr>
                <w:p w14:paraId="57A1E132">
                  <w:pPr>
                    <w:pStyle w:val="29"/>
                    <w:wordWrap/>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1081" w:type="pct"/>
                  <w:gridSpan w:val="2"/>
                  <w:tcBorders>
                    <w:tl2br w:val="nil"/>
                    <w:tr2bl w:val="nil"/>
                  </w:tcBorders>
                  <w:vAlign w:val="center"/>
                </w:tcPr>
                <w:p w14:paraId="6027740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r w14:paraId="534EA21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0" w:type="pct"/>
                  <w:vMerge w:val="continue"/>
                  <w:tcBorders>
                    <w:tl2br w:val="nil"/>
                    <w:tr2bl w:val="nil"/>
                  </w:tcBorders>
                  <w:shd w:val="clear" w:color="auto" w:fill="auto"/>
                  <w:vAlign w:val="center"/>
                </w:tcPr>
                <w:p w14:paraId="0F97DF56">
                  <w:pPr>
                    <w:pStyle w:val="29"/>
                    <w:wordWrap/>
                    <w:rPr>
                      <w:rFonts w:hint="default" w:ascii="Times New Roman" w:hAnsi="Times New Roman" w:eastAsia="宋体" w:cs="Times New Roman"/>
                      <w:color w:val="auto"/>
                      <w:sz w:val="21"/>
                      <w:szCs w:val="21"/>
                      <w:highlight w:val="none"/>
                    </w:rPr>
                  </w:pPr>
                </w:p>
              </w:tc>
              <w:tc>
                <w:tcPr>
                  <w:tcW w:w="1051" w:type="pct"/>
                  <w:gridSpan w:val="2"/>
                  <w:tcBorders>
                    <w:tl2br w:val="nil"/>
                    <w:tr2bl w:val="nil"/>
                  </w:tcBorders>
                  <w:shd w:val="clear" w:color="auto" w:fill="auto"/>
                  <w:vAlign w:val="center"/>
                </w:tcPr>
                <w:p w14:paraId="480B23A6">
                  <w:pPr>
                    <w:pStyle w:val="29"/>
                    <w:wordWra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危废废物</w:t>
                  </w:r>
                </w:p>
              </w:tc>
              <w:tc>
                <w:tcPr>
                  <w:tcW w:w="546" w:type="pct"/>
                  <w:tcBorders>
                    <w:tl2br w:val="nil"/>
                    <w:tr2bl w:val="nil"/>
                  </w:tcBorders>
                  <w:shd w:val="clear" w:color="auto" w:fill="auto"/>
                  <w:vAlign w:val="center"/>
                </w:tcPr>
                <w:p w14:paraId="6162916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528" w:type="pct"/>
                  <w:tcBorders>
                    <w:tl2br w:val="nil"/>
                    <w:tr2bl w:val="nil"/>
                  </w:tcBorders>
                  <w:shd w:val="clear" w:color="auto" w:fill="auto"/>
                  <w:vAlign w:val="center"/>
                </w:tcPr>
                <w:p w14:paraId="508196E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11.827</w:t>
                  </w:r>
                </w:p>
              </w:tc>
              <w:tc>
                <w:tcPr>
                  <w:tcW w:w="534" w:type="pct"/>
                  <w:tcBorders>
                    <w:tl2br w:val="nil"/>
                    <w:tr2bl w:val="nil"/>
                  </w:tcBorders>
                  <w:shd w:val="clear" w:color="auto" w:fill="auto"/>
                  <w:vAlign w:val="center"/>
                </w:tcPr>
                <w:p w14:paraId="0A18E0E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11.827</w:t>
                  </w:r>
                </w:p>
              </w:tc>
              <w:tc>
                <w:tcPr>
                  <w:tcW w:w="482" w:type="pct"/>
                  <w:tcBorders>
                    <w:tl2br w:val="nil"/>
                    <w:tr2bl w:val="nil"/>
                  </w:tcBorders>
                  <w:shd w:val="clear" w:color="auto" w:fill="auto"/>
                  <w:vAlign w:val="center"/>
                </w:tcPr>
                <w:p w14:paraId="201B13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546" w:type="pct"/>
                  <w:tcBorders>
                    <w:tl2br w:val="nil"/>
                    <w:tr2bl w:val="nil"/>
                  </w:tcBorders>
                  <w:vAlign w:val="center"/>
                </w:tcPr>
                <w:p w14:paraId="0BBF4AFB">
                  <w:pPr>
                    <w:pStyle w:val="29"/>
                    <w:wordWrap/>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1081" w:type="pct"/>
                  <w:gridSpan w:val="2"/>
                  <w:tcBorders>
                    <w:tl2br w:val="nil"/>
                    <w:tr2bl w:val="nil"/>
                  </w:tcBorders>
                  <w:vAlign w:val="center"/>
                </w:tcPr>
                <w:p w14:paraId="5AB8B2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r w14:paraId="5954DC5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0" w:type="pct"/>
                  <w:vMerge w:val="continue"/>
                  <w:tcBorders>
                    <w:tl2br w:val="nil"/>
                    <w:tr2bl w:val="nil"/>
                  </w:tcBorders>
                  <w:shd w:val="clear" w:color="auto" w:fill="auto"/>
                  <w:vAlign w:val="center"/>
                </w:tcPr>
                <w:p w14:paraId="56C2487A">
                  <w:pPr>
                    <w:pStyle w:val="29"/>
                    <w:wordWrap/>
                    <w:rPr>
                      <w:rFonts w:hint="default" w:ascii="Times New Roman" w:hAnsi="Times New Roman" w:eastAsia="宋体" w:cs="Times New Roman"/>
                      <w:color w:val="auto"/>
                      <w:sz w:val="21"/>
                      <w:szCs w:val="21"/>
                      <w:highlight w:val="none"/>
                    </w:rPr>
                  </w:pPr>
                </w:p>
              </w:tc>
              <w:tc>
                <w:tcPr>
                  <w:tcW w:w="1051" w:type="pct"/>
                  <w:gridSpan w:val="2"/>
                  <w:tcBorders>
                    <w:tl2br w:val="nil"/>
                    <w:tr2bl w:val="nil"/>
                  </w:tcBorders>
                  <w:shd w:val="clear" w:color="auto" w:fill="auto"/>
                  <w:vAlign w:val="center"/>
                </w:tcPr>
                <w:p w14:paraId="4B13513D">
                  <w:pPr>
                    <w:pStyle w:val="29"/>
                    <w:wordWra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生活垃圾</w:t>
                  </w:r>
                </w:p>
              </w:tc>
              <w:tc>
                <w:tcPr>
                  <w:tcW w:w="546" w:type="pct"/>
                  <w:tcBorders>
                    <w:tl2br w:val="nil"/>
                    <w:tr2bl w:val="nil"/>
                  </w:tcBorders>
                  <w:shd w:val="clear" w:color="auto" w:fill="auto"/>
                  <w:vAlign w:val="center"/>
                </w:tcPr>
                <w:p w14:paraId="3B396DCE">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528" w:type="pct"/>
                  <w:tcBorders>
                    <w:tl2br w:val="nil"/>
                    <w:tr2bl w:val="nil"/>
                  </w:tcBorders>
                  <w:shd w:val="clear" w:color="auto" w:fill="auto"/>
                  <w:vAlign w:val="center"/>
                </w:tcPr>
                <w:p w14:paraId="78977B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3.75</w:t>
                  </w:r>
                </w:p>
              </w:tc>
              <w:tc>
                <w:tcPr>
                  <w:tcW w:w="534" w:type="pct"/>
                  <w:tcBorders>
                    <w:tl2br w:val="nil"/>
                    <w:tr2bl w:val="nil"/>
                  </w:tcBorders>
                  <w:shd w:val="clear" w:color="auto" w:fill="auto"/>
                  <w:vAlign w:val="center"/>
                </w:tcPr>
                <w:p w14:paraId="33DFDD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3.75</w:t>
                  </w:r>
                </w:p>
              </w:tc>
              <w:tc>
                <w:tcPr>
                  <w:tcW w:w="482" w:type="pct"/>
                  <w:tcBorders>
                    <w:tl2br w:val="nil"/>
                    <w:tr2bl w:val="nil"/>
                  </w:tcBorders>
                  <w:shd w:val="clear" w:color="auto" w:fill="auto"/>
                  <w:vAlign w:val="center"/>
                </w:tcPr>
                <w:p w14:paraId="5AB9B3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546" w:type="pct"/>
                  <w:tcBorders>
                    <w:tl2br w:val="nil"/>
                    <w:tr2bl w:val="nil"/>
                  </w:tcBorders>
                  <w:vAlign w:val="center"/>
                </w:tcPr>
                <w:p w14:paraId="3892D3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1081" w:type="pct"/>
                  <w:gridSpan w:val="2"/>
                  <w:tcBorders>
                    <w:tl2br w:val="nil"/>
                    <w:tr2bl w:val="nil"/>
                  </w:tcBorders>
                  <w:vAlign w:val="center"/>
                </w:tcPr>
                <w:p w14:paraId="6DCEAB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bl>
          <w:p w14:paraId="29D910F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eastAsia="宋体"/>
                <w:b/>
                <w:bCs/>
                <w:color w:val="auto"/>
                <w:kern w:val="0"/>
                <w:sz w:val="24"/>
                <w:szCs w:val="24"/>
                <w:highlight w:val="none"/>
                <w:lang w:eastAsia="zh-CN"/>
              </w:rPr>
            </w:pPr>
            <w:r>
              <w:rPr>
                <w:b/>
                <w:bCs/>
                <w:color w:val="auto"/>
                <w:kern w:val="0"/>
                <w:sz w:val="24"/>
                <w:szCs w:val="24"/>
                <w:highlight w:val="none"/>
              </w:rPr>
              <w:t>总量平衡途径</w:t>
            </w:r>
            <w:r>
              <w:rPr>
                <w:rFonts w:hint="eastAsia"/>
                <w:b/>
                <w:bCs/>
                <w:color w:val="auto"/>
                <w:kern w:val="0"/>
                <w:sz w:val="24"/>
                <w:szCs w:val="24"/>
                <w:highlight w:val="none"/>
                <w:lang w:eastAsia="zh-CN"/>
              </w:rPr>
              <w:t>：</w:t>
            </w:r>
          </w:p>
          <w:p w14:paraId="782AEC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废水：本项目无生产废水产生及排放</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生活污水总量已包括在漕湖污水处理厂申请的污染物总量中，无需另行申报，可在漕湖污水处理厂申请的污染物总量内平衡。</w:t>
            </w:r>
          </w:p>
          <w:p w14:paraId="131F46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废气：</w:t>
            </w:r>
            <w:r>
              <w:rPr>
                <w:rFonts w:hint="eastAsia" w:cs="Times New Roman"/>
                <w:color w:val="auto"/>
                <w:sz w:val="24"/>
                <w:szCs w:val="24"/>
                <w:highlight w:val="none"/>
                <w:lang w:val="en-US" w:eastAsia="zh-CN"/>
              </w:rPr>
              <w:t>本项目废气产生量较小，无需申请总量。</w:t>
            </w:r>
          </w:p>
          <w:p w14:paraId="1D1383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kern w:val="0"/>
                <w:szCs w:val="21"/>
                <w:highlight w:val="none"/>
              </w:rPr>
            </w:pPr>
            <w:r>
              <w:rPr>
                <w:rFonts w:hint="default" w:ascii="Times New Roman" w:hAnsi="Times New Roman" w:cs="Times New Roman"/>
                <w:color w:val="auto"/>
                <w:sz w:val="24"/>
                <w:szCs w:val="24"/>
                <w:highlight w:val="none"/>
                <w:lang w:eastAsia="zh-CN"/>
              </w:rPr>
              <w:t>固废：项目固体废物实现零排放。</w:t>
            </w:r>
          </w:p>
        </w:tc>
      </w:tr>
    </w:tbl>
    <w:p w14:paraId="3EB139D4">
      <w:pPr>
        <w:bidi w:val="0"/>
        <w:rPr>
          <w:highlight w:val="none"/>
        </w:rPr>
      </w:pPr>
      <w:r>
        <w:rPr>
          <w:highlight w:val="none"/>
        </w:rPr>
        <w:br w:type="page"/>
      </w:r>
      <w:bookmarkStart w:id="11" w:name="_Toc15549"/>
      <w:bookmarkStart w:id="12" w:name="_Toc1202"/>
    </w:p>
    <w:p w14:paraId="24841BBA">
      <w:pPr>
        <w:pStyle w:val="19"/>
        <w:spacing w:before="0" w:beforeAutospacing="0" w:after="0" w:afterAutospacing="0"/>
        <w:jc w:val="center"/>
        <w:outlineLvl w:val="0"/>
        <w:rPr>
          <w:rFonts w:ascii="Times New Roman" w:hAnsi="Times New Roman"/>
          <w:snapToGrid w:val="0"/>
          <w:color w:val="auto"/>
          <w:sz w:val="30"/>
          <w:szCs w:val="30"/>
          <w:highlight w:val="none"/>
        </w:rPr>
      </w:pPr>
      <w:r>
        <w:rPr>
          <w:rFonts w:ascii="Times New Roman" w:hAnsi="Times New Roman"/>
          <w:b/>
          <w:snapToGrid w:val="0"/>
          <w:color w:val="auto"/>
          <w:sz w:val="30"/>
          <w:szCs w:val="30"/>
          <w:highlight w:val="none"/>
        </w:rPr>
        <w:t>四、主要环境影响和保护措施</w:t>
      </w:r>
      <w:bookmarkEnd w:id="11"/>
      <w:bookmarkEnd w:id="12"/>
    </w:p>
    <w:tbl>
      <w:tblPr>
        <w:tblStyle w:val="22"/>
        <w:tblW w:w="504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7"/>
        <w:gridCol w:w="9665"/>
      </w:tblGrid>
      <w:tr w14:paraId="298F85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1" w:hRule="atLeast"/>
          <w:jc w:val="center"/>
        </w:trPr>
        <w:tc>
          <w:tcPr>
            <w:tcW w:w="149" w:type="pct"/>
            <w:tcMar>
              <w:left w:w="28" w:type="dxa"/>
              <w:right w:w="28" w:type="dxa"/>
            </w:tcMar>
            <w:vAlign w:val="center"/>
          </w:tcPr>
          <w:p w14:paraId="2EC3F698">
            <w:pPr>
              <w:pStyle w:val="19"/>
              <w:adjustRightInd w:val="0"/>
              <w:snapToGrid w:val="0"/>
              <w:spacing w:before="0" w:beforeAutospacing="0" w:after="0" w:afterAutospacing="0"/>
              <w:jc w:val="center"/>
              <w:rPr>
                <w:rFonts w:ascii="Times New Roman" w:hAnsi="Times New Roman"/>
                <w:bCs/>
                <w:color w:val="auto"/>
                <w:kern w:val="2"/>
                <w:sz w:val="21"/>
                <w:szCs w:val="21"/>
                <w:highlight w:val="none"/>
              </w:rPr>
            </w:pPr>
            <w:r>
              <w:rPr>
                <w:rFonts w:ascii="Times New Roman" w:hAnsi="Times New Roman"/>
                <w:color w:val="auto"/>
                <w:kern w:val="2"/>
                <w:sz w:val="24"/>
                <w:szCs w:val="24"/>
                <w:highlight w:val="none"/>
              </w:rPr>
              <w:t>施工期环境保护措施</w:t>
            </w:r>
          </w:p>
        </w:tc>
        <w:tc>
          <w:tcPr>
            <w:tcW w:w="4850" w:type="pct"/>
          </w:tcPr>
          <w:p w14:paraId="0367D69B">
            <w:pPr>
              <w:spacing w:line="360" w:lineRule="auto"/>
              <w:ind w:firstLine="480" w:firstLineChars="200"/>
              <w:rPr>
                <w:bCs/>
                <w:color w:val="auto"/>
                <w:spacing w:val="-10"/>
                <w:szCs w:val="21"/>
                <w:highlight w:val="none"/>
              </w:rPr>
            </w:pPr>
            <w:r>
              <w:rPr>
                <w:bCs/>
                <w:color w:val="auto"/>
                <w:sz w:val="24"/>
                <w:szCs w:val="24"/>
                <w:highlight w:val="none"/>
              </w:rPr>
              <w:t>本项目利用已建厂房作为生产场所，没有土建施工，不产生土建施工的相关环境影响</w:t>
            </w:r>
            <w:r>
              <w:rPr>
                <w:rFonts w:hint="eastAsia"/>
                <w:bCs/>
                <w:color w:val="auto"/>
                <w:sz w:val="24"/>
                <w:szCs w:val="24"/>
                <w:highlight w:val="none"/>
                <w:lang w:eastAsia="zh-CN"/>
              </w:rPr>
              <w:t>，</w:t>
            </w:r>
            <w:r>
              <w:rPr>
                <w:bCs/>
                <w:color w:val="auto"/>
                <w:sz w:val="24"/>
                <w:szCs w:val="24"/>
                <w:highlight w:val="none"/>
              </w:rPr>
              <w:t>如机械噪声和扬尘等污染问题。但在设备安装过程会产生一些机械噪声，源强峰值可达85-100分贝，因此，为控制设备安装期间的噪声污染，施工单位应尽量采用低噪声的器械，避免夜间进行高噪振动操作，从而减轻对厂界周围声环境的影响。另外设备安装期间产生生活污水应排入污水管网，生活垃圾应及时收集处理，设备安装</w:t>
            </w:r>
            <w:r>
              <w:rPr>
                <w:rFonts w:hint="eastAsia"/>
                <w:bCs/>
                <w:color w:val="auto"/>
                <w:sz w:val="24"/>
                <w:szCs w:val="24"/>
                <w:highlight w:val="none"/>
                <w:lang w:eastAsia="zh-CN"/>
              </w:rPr>
              <w:t>期间</w:t>
            </w:r>
            <w:r>
              <w:rPr>
                <w:bCs/>
                <w:color w:val="auto"/>
                <w:sz w:val="24"/>
                <w:szCs w:val="24"/>
                <w:highlight w:val="none"/>
              </w:rPr>
              <w:t>产生的固废应妥善处理，能回用的应回用，不能回用的应根据固废的性质不同交由不同的处理部门处理。设备安装期的影响较短暂</w:t>
            </w:r>
            <w:r>
              <w:rPr>
                <w:rFonts w:hint="eastAsia"/>
                <w:bCs/>
                <w:color w:val="auto"/>
                <w:sz w:val="24"/>
                <w:szCs w:val="24"/>
                <w:highlight w:val="none"/>
              </w:rPr>
              <w:t>，</w:t>
            </w:r>
            <w:r>
              <w:rPr>
                <w:bCs/>
                <w:color w:val="auto"/>
                <w:sz w:val="24"/>
                <w:szCs w:val="24"/>
                <w:highlight w:val="none"/>
              </w:rPr>
              <w:t>随着安装调试的结束，环境影响随即停止。</w:t>
            </w:r>
          </w:p>
        </w:tc>
      </w:tr>
      <w:tr w14:paraId="440F48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1" w:hRule="atLeast"/>
          <w:jc w:val="center"/>
        </w:trPr>
        <w:tc>
          <w:tcPr>
            <w:tcW w:w="149" w:type="pct"/>
            <w:tcMar>
              <w:left w:w="28" w:type="dxa"/>
              <w:right w:w="28" w:type="dxa"/>
            </w:tcMar>
            <w:vAlign w:val="center"/>
          </w:tcPr>
          <w:p w14:paraId="4FA14E5B">
            <w:pPr>
              <w:pStyle w:val="19"/>
              <w:adjustRightInd w:val="0"/>
              <w:snapToGrid w:val="0"/>
              <w:spacing w:before="0" w:beforeAutospacing="0" w:after="0" w:afterAutospacing="0"/>
              <w:jc w:val="center"/>
              <w:rPr>
                <w:rFonts w:ascii="Times New Roman" w:hAnsi="Times New Roman"/>
                <w:color w:val="auto"/>
                <w:kern w:val="2"/>
                <w:sz w:val="24"/>
                <w:szCs w:val="24"/>
                <w:highlight w:val="none"/>
              </w:rPr>
            </w:pPr>
            <w:r>
              <w:rPr>
                <w:bCs/>
                <w:color w:val="auto"/>
                <w:sz w:val="24"/>
                <w:szCs w:val="24"/>
                <w:highlight w:val="none"/>
              </w:rPr>
              <w:t>运营期环境影响和保护措施</w:t>
            </w:r>
          </w:p>
        </w:tc>
        <w:tc>
          <w:tcPr>
            <w:tcW w:w="4850" w:type="pct"/>
          </w:tcPr>
          <w:p w14:paraId="05545332">
            <w:pPr>
              <w:spacing w:line="360" w:lineRule="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rPr>
              <w:t>废气</w:t>
            </w:r>
          </w:p>
          <w:p w14:paraId="6FF7644C">
            <w:pPr>
              <w:spacing w:line="360" w:lineRule="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 xml:space="preserve">1.1  </w:t>
            </w:r>
            <w:r>
              <w:rPr>
                <w:rFonts w:hint="default" w:ascii="Times New Roman" w:hAnsi="Times New Roman" w:eastAsia="宋体" w:cs="Times New Roman"/>
                <w:b/>
                <w:color w:val="auto"/>
                <w:sz w:val="24"/>
                <w:szCs w:val="24"/>
                <w:highlight w:val="none"/>
              </w:rPr>
              <w:t>废气产生情况</w:t>
            </w:r>
          </w:p>
          <w:p w14:paraId="5E3A99D0">
            <w:pPr>
              <w:pStyle w:val="28"/>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本项目生产过程产生的废气主要为</w:t>
            </w:r>
            <w:r>
              <w:rPr>
                <w:rFonts w:hint="eastAsia" w:ascii="Times New Roman" w:cs="Times New Roman"/>
                <w:color w:val="auto"/>
                <w:sz w:val="24"/>
                <w:szCs w:val="24"/>
                <w:highlight w:val="none"/>
                <w:lang w:val="en-US" w:eastAsia="zh-CN"/>
              </w:rPr>
              <w:t>机加工和酒精擦拭产生的非甲烷总烃</w:t>
            </w:r>
            <w:r>
              <w:rPr>
                <w:rFonts w:hint="default" w:ascii="Times New Roman" w:hAnsi="Times New Roman" w:eastAsia="宋体" w:cs="Times New Roman"/>
                <w:color w:val="auto"/>
                <w:sz w:val="24"/>
                <w:szCs w:val="24"/>
                <w:highlight w:val="none"/>
              </w:rPr>
              <w:t>。</w:t>
            </w:r>
          </w:p>
          <w:p w14:paraId="0F6543C3">
            <w:pPr>
              <w:spacing w:line="360" w:lineRule="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1.2  废气源强</w:t>
            </w:r>
          </w:p>
          <w:p w14:paraId="5EF71FAC">
            <w:pPr>
              <w:autoSpaceDE w:val="0"/>
              <w:autoSpaceDN w:val="0"/>
              <w:adjustRightInd w:val="0"/>
              <w:spacing w:line="360" w:lineRule="auto"/>
              <w:ind w:firstLine="482" w:firstLineChars="200"/>
              <w:rPr>
                <w:rFonts w:hint="default" w:ascii="Times New Roman" w:hAnsi="Times New Roman" w:eastAsia="宋体" w:cs="Times New Roman"/>
                <w:b/>
                <w:bCs/>
                <w:color w:val="auto"/>
                <w:kern w:val="0"/>
                <w:sz w:val="24"/>
                <w:szCs w:val="24"/>
                <w:highlight w:val="none"/>
              </w:rPr>
            </w:pPr>
            <w:bookmarkStart w:id="13" w:name="OLE_LINK6"/>
            <w:r>
              <w:rPr>
                <w:rFonts w:hint="eastAsia" w:cs="Times New Roman"/>
                <w:b/>
                <w:bCs/>
                <w:color w:val="auto"/>
                <w:kern w:val="0"/>
                <w:sz w:val="24"/>
                <w:szCs w:val="24"/>
                <w:highlight w:val="none"/>
                <w:lang w:val="en-US" w:eastAsia="zh-CN"/>
              </w:rPr>
              <w:t>（1）机加工废气</w:t>
            </w:r>
          </w:p>
          <w:p w14:paraId="505DEBB7">
            <w:pPr>
              <w:keepNext w:val="0"/>
              <w:keepLines w:val="0"/>
              <w:pageBreakBefore w:val="0"/>
              <w:widowControl w:val="0"/>
              <w:kinsoku/>
              <w:wordWrap/>
              <w:overflowPunct/>
              <w:topLinePunct w:val="0"/>
              <w:autoSpaceDE w:val="0"/>
              <w:autoSpaceDN w:val="0"/>
              <w:bidi w:val="0"/>
              <w:adjustRightInd w:val="0"/>
              <w:snapToGrid/>
              <w:spacing w:line="360" w:lineRule="auto"/>
              <w:ind w:firstLine="482" w:firstLineChars="200"/>
              <w:textAlignment w:val="auto"/>
              <w:rPr>
                <w:rFonts w:hint="eastAsia" w:cs="Times New Roman"/>
                <w:color w:val="auto"/>
                <w:kern w:val="0"/>
                <w:sz w:val="24"/>
                <w:szCs w:val="24"/>
                <w:highlight w:val="none"/>
                <w:lang w:val="en-US" w:eastAsia="zh-CN"/>
              </w:rPr>
            </w:pPr>
            <w:r>
              <w:rPr>
                <w:rFonts w:hint="eastAsia" w:cs="Times New Roman"/>
                <w:b/>
                <w:bCs/>
                <w:color w:val="auto"/>
                <w:kern w:val="0"/>
                <w:sz w:val="24"/>
                <w:szCs w:val="24"/>
                <w:highlight w:val="none"/>
                <w:lang w:val="en-US" w:eastAsia="zh-CN"/>
              </w:rPr>
              <w:t>非甲烷总烃：</w:t>
            </w:r>
            <w:r>
              <w:rPr>
                <w:rFonts w:hint="eastAsia" w:cs="Times New Roman"/>
                <w:color w:val="auto"/>
                <w:kern w:val="0"/>
                <w:sz w:val="24"/>
                <w:szCs w:val="24"/>
                <w:highlight w:val="none"/>
                <w:lang w:val="en-US" w:eastAsia="zh-CN"/>
              </w:rPr>
              <w:t>工件在车间进行机加工时需使用切削液，会产生少量有机废气，以非甲烷总烃计。参考《排放源统计调查产排污核算方法和系数手册》“33-37机械加工工段”产污系数可知，产污系数为5.64kg/t-原料，企业年用切削液3t/a，产生的有机废气经设备带的油雾净化装置（收集效率90%，处理效率90%）处理后车间无组织排放，产生量较小，本次仅定性分析，不定量。</w:t>
            </w:r>
          </w:p>
          <w:p w14:paraId="7C4ED7A6">
            <w:pPr>
              <w:adjustRightInd/>
              <w:snapToGrid/>
              <w:spacing w:line="360" w:lineRule="auto"/>
              <w:ind w:firstLine="0" w:firstLineChars="0"/>
              <w:jc w:val="left"/>
              <w:rPr>
                <w:rFonts w:hint="default"/>
                <w:b/>
                <w:bCs/>
                <w:color w:val="auto"/>
                <w:sz w:val="24"/>
                <w:highlight w:val="none"/>
                <w:lang w:val="en-US" w:eastAsia="zh-CN"/>
              </w:rPr>
            </w:pPr>
            <w:r>
              <w:rPr>
                <w:rFonts w:hint="default"/>
                <w:b/>
                <w:bCs/>
                <w:color w:val="auto"/>
                <w:sz w:val="24"/>
                <w:highlight w:val="none"/>
                <w:lang w:val="en-US" w:eastAsia="zh-CN"/>
              </w:rPr>
              <w:t>1.</w:t>
            </w:r>
            <w:r>
              <w:rPr>
                <w:rFonts w:hint="eastAsia"/>
                <w:b/>
                <w:bCs/>
                <w:color w:val="auto"/>
                <w:sz w:val="24"/>
                <w:highlight w:val="none"/>
                <w:lang w:val="en-US" w:eastAsia="zh-CN"/>
              </w:rPr>
              <w:t>3</w:t>
            </w:r>
            <w:r>
              <w:rPr>
                <w:rFonts w:hint="default"/>
                <w:b/>
                <w:bCs/>
                <w:color w:val="auto"/>
                <w:sz w:val="24"/>
                <w:highlight w:val="none"/>
                <w:lang w:val="en-US" w:eastAsia="zh-CN"/>
              </w:rPr>
              <w:t xml:space="preserve">  废气产生与排放情况</w:t>
            </w:r>
          </w:p>
          <w:p w14:paraId="418E77B9">
            <w:pPr>
              <w:keepNext w:val="0"/>
              <w:keepLines w:val="0"/>
              <w:pageBreakBefore w:val="0"/>
              <w:widowControl w:val="0"/>
              <w:numPr>
                <w:ilvl w:val="0"/>
                <w:numId w:val="6"/>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color w:val="auto"/>
                <w:kern w:val="0"/>
                <w:sz w:val="24"/>
                <w:szCs w:val="24"/>
                <w:highlight w:val="none"/>
                <w:lang w:val="en-US" w:eastAsia="zh-CN"/>
              </w:rPr>
            </w:pPr>
            <w:r>
              <w:rPr>
                <w:rFonts w:hint="eastAsia" w:ascii="Times New Roman" w:hAnsi="Times New Roman" w:eastAsia="宋体" w:cs="Times New Roman"/>
                <w:b/>
                <w:color w:val="auto"/>
                <w:kern w:val="0"/>
                <w:sz w:val="24"/>
                <w:szCs w:val="24"/>
                <w:highlight w:val="none"/>
                <w:lang w:val="en-US" w:eastAsia="zh-CN"/>
              </w:rPr>
              <w:t xml:space="preserve"> </w:t>
            </w:r>
            <w:r>
              <w:rPr>
                <w:rFonts w:hint="default" w:ascii="Times New Roman" w:hAnsi="Times New Roman" w:eastAsia="宋体" w:cs="Times New Roman"/>
                <w:b/>
                <w:color w:val="auto"/>
                <w:kern w:val="0"/>
                <w:sz w:val="24"/>
                <w:szCs w:val="24"/>
                <w:highlight w:val="none"/>
                <w:lang w:val="en-US" w:eastAsia="zh-CN"/>
              </w:rPr>
              <w:t>本项目废气收集处理方式汇总表</w:t>
            </w:r>
          </w:p>
          <w:tbl>
            <w:tblPr>
              <w:tblStyle w:val="22"/>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49"/>
              <w:gridCol w:w="1034"/>
              <w:gridCol w:w="794"/>
              <w:gridCol w:w="658"/>
              <w:gridCol w:w="958"/>
              <w:gridCol w:w="1218"/>
              <w:gridCol w:w="956"/>
              <w:gridCol w:w="970"/>
              <w:gridCol w:w="994"/>
              <w:gridCol w:w="1089"/>
            </w:tblGrid>
            <w:tr w14:paraId="64901E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97" w:type="pct"/>
                  <w:tcBorders>
                    <w:tl2br w:val="nil"/>
                    <w:tr2bl w:val="nil"/>
                  </w:tcBorders>
                  <w:noWrap w:val="0"/>
                  <w:vAlign w:val="center"/>
                </w:tcPr>
                <w:p w14:paraId="2B576D1D">
                  <w:pPr>
                    <w:pageBreakBefore w:val="0"/>
                    <w:kinsoku/>
                    <w:bidi w:val="0"/>
                    <w:adjustRightInd w:val="0"/>
                    <w:snapToGrid w:val="0"/>
                    <w:spacing w:line="240" w:lineRule="atLeast"/>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污染工序</w:t>
                  </w:r>
                </w:p>
              </w:tc>
              <w:tc>
                <w:tcPr>
                  <w:tcW w:w="548" w:type="pct"/>
                  <w:tcBorders>
                    <w:tl2br w:val="nil"/>
                    <w:tr2bl w:val="nil"/>
                  </w:tcBorders>
                  <w:noWrap w:val="0"/>
                  <w:vAlign w:val="center"/>
                </w:tcPr>
                <w:p w14:paraId="3FB4D082">
                  <w:pPr>
                    <w:pageBreakBefore w:val="0"/>
                    <w:kinsoku/>
                    <w:bidi w:val="0"/>
                    <w:adjustRightInd w:val="0"/>
                    <w:snapToGrid w:val="0"/>
                    <w:spacing w:line="240" w:lineRule="atLeast"/>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污染因子</w:t>
                  </w:r>
                </w:p>
              </w:tc>
              <w:tc>
                <w:tcPr>
                  <w:tcW w:w="421" w:type="pct"/>
                  <w:tcBorders>
                    <w:tl2br w:val="nil"/>
                    <w:tr2bl w:val="nil"/>
                  </w:tcBorders>
                  <w:noWrap w:val="0"/>
                  <w:vAlign w:val="center"/>
                </w:tcPr>
                <w:p w14:paraId="0D11A87F">
                  <w:pPr>
                    <w:pageBreakBefore w:val="0"/>
                    <w:kinsoku/>
                    <w:bidi w:val="0"/>
                    <w:adjustRightInd w:val="0"/>
                    <w:snapToGrid w:val="0"/>
                    <w:spacing w:line="240" w:lineRule="atLeast"/>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产生量（t/a）</w:t>
                  </w:r>
                </w:p>
              </w:tc>
              <w:tc>
                <w:tcPr>
                  <w:tcW w:w="349" w:type="pct"/>
                  <w:tcBorders>
                    <w:tl2br w:val="nil"/>
                    <w:tr2bl w:val="nil"/>
                  </w:tcBorders>
                  <w:noWrap w:val="0"/>
                  <w:vAlign w:val="center"/>
                </w:tcPr>
                <w:p w14:paraId="78362189">
                  <w:pPr>
                    <w:pageBreakBefore w:val="0"/>
                    <w:kinsoku/>
                    <w:bidi w:val="0"/>
                    <w:adjustRightInd w:val="0"/>
                    <w:snapToGrid w:val="0"/>
                    <w:spacing w:line="240" w:lineRule="atLeast"/>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收集</w:t>
                  </w:r>
                </w:p>
                <w:p w14:paraId="749A7D33">
                  <w:pPr>
                    <w:pageBreakBefore w:val="0"/>
                    <w:kinsoku/>
                    <w:bidi w:val="0"/>
                    <w:adjustRightInd w:val="0"/>
                    <w:snapToGrid w:val="0"/>
                    <w:spacing w:line="240" w:lineRule="atLeast"/>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效率</w:t>
                  </w:r>
                </w:p>
              </w:tc>
              <w:tc>
                <w:tcPr>
                  <w:tcW w:w="508" w:type="pct"/>
                  <w:tcBorders>
                    <w:tl2br w:val="nil"/>
                    <w:tr2bl w:val="nil"/>
                  </w:tcBorders>
                  <w:noWrap w:val="0"/>
                  <w:vAlign w:val="center"/>
                </w:tcPr>
                <w:p w14:paraId="48890CB8">
                  <w:pPr>
                    <w:pageBreakBefore w:val="0"/>
                    <w:kinsoku/>
                    <w:bidi w:val="0"/>
                    <w:adjustRightInd w:val="0"/>
                    <w:snapToGrid w:val="0"/>
                    <w:spacing w:line="240" w:lineRule="atLeast"/>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收集量（t/a）</w:t>
                  </w:r>
                </w:p>
              </w:tc>
              <w:tc>
                <w:tcPr>
                  <w:tcW w:w="646" w:type="pct"/>
                  <w:tcBorders>
                    <w:tl2br w:val="nil"/>
                    <w:tr2bl w:val="nil"/>
                  </w:tcBorders>
                  <w:noWrap w:val="0"/>
                  <w:vAlign w:val="center"/>
                </w:tcPr>
                <w:p w14:paraId="2DB22F4D">
                  <w:pPr>
                    <w:pageBreakBefore w:val="0"/>
                    <w:widowControl/>
                    <w:kinsoku/>
                    <w:bidi w:val="0"/>
                    <w:adjustRightInd w:val="0"/>
                    <w:snapToGrid w:val="0"/>
                    <w:spacing w:line="240" w:lineRule="atLeast"/>
                    <w:jc w:val="center"/>
                    <w:textAlignment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kern w:val="0"/>
                      <w:sz w:val="21"/>
                      <w:szCs w:val="21"/>
                      <w:highlight w:val="none"/>
                      <w:lang w:bidi="ar"/>
                    </w:rPr>
                    <w:t>治理措施及处理效率</w:t>
                  </w:r>
                </w:p>
              </w:tc>
              <w:tc>
                <w:tcPr>
                  <w:tcW w:w="507" w:type="pct"/>
                  <w:tcBorders>
                    <w:tl2br w:val="nil"/>
                    <w:tr2bl w:val="nil"/>
                  </w:tcBorders>
                  <w:noWrap w:val="0"/>
                  <w:vAlign w:val="center"/>
                </w:tcPr>
                <w:p w14:paraId="1DAD7299">
                  <w:pPr>
                    <w:pageBreakBefore w:val="0"/>
                    <w:widowControl/>
                    <w:kinsoku/>
                    <w:bidi w:val="0"/>
                    <w:adjustRightInd w:val="0"/>
                    <w:snapToGrid w:val="0"/>
                    <w:spacing w:line="240" w:lineRule="atLeast"/>
                    <w:jc w:val="center"/>
                    <w:textAlignment w:val="center"/>
                    <w:rPr>
                      <w:rFonts w:hint="default" w:ascii="Times New Roman" w:hAnsi="Times New Roman" w:eastAsia="仿宋" w:cs="Times New Roman"/>
                      <w:b/>
                      <w:bCs/>
                      <w:color w:val="auto"/>
                      <w:kern w:val="0"/>
                      <w:sz w:val="21"/>
                      <w:szCs w:val="21"/>
                      <w:highlight w:val="none"/>
                      <w:lang w:bidi="ar"/>
                    </w:rPr>
                  </w:pPr>
                  <w:r>
                    <w:rPr>
                      <w:rFonts w:hint="default" w:ascii="Times New Roman" w:hAnsi="Times New Roman" w:eastAsia="仿宋" w:cs="Times New Roman"/>
                      <w:b/>
                      <w:bCs/>
                      <w:color w:val="auto"/>
                      <w:kern w:val="0"/>
                      <w:sz w:val="21"/>
                      <w:szCs w:val="21"/>
                      <w:highlight w:val="none"/>
                      <w:lang w:bidi="ar"/>
                    </w:rPr>
                    <w:t>是否为可行技术</w:t>
                  </w:r>
                </w:p>
              </w:tc>
              <w:tc>
                <w:tcPr>
                  <w:tcW w:w="514" w:type="pct"/>
                  <w:tcBorders>
                    <w:tl2br w:val="nil"/>
                    <w:tr2bl w:val="nil"/>
                  </w:tcBorders>
                  <w:noWrap w:val="0"/>
                  <w:vAlign w:val="center"/>
                </w:tcPr>
                <w:p w14:paraId="3C952041">
                  <w:pPr>
                    <w:pageBreakBefore w:val="0"/>
                    <w:kinsoku/>
                    <w:bidi w:val="0"/>
                    <w:adjustRightInd w:val="0"/>
                    <w:snapToGrid w:val="0"/>
                    <w:spacing w:line="240" w:lineRule="atLeast"/>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削减量（t/a）</w:t>
                  </w:r>
                </w:p>
              </w:tc>
              <w:tc>
                <w:tcPr>
                  <w:tcW w:w="527" w:type="pct"/>
                  <w:tcBorders>
                    <w:tl2br w:val="nil"/>
                    <w:tr2bl w:val="nil"/>
                  </w:tcBorders>
                  <w:noWrap w:val="0"/>
                  <w:vAlign w:val="center"/>
                </w:tcPr>
                <w:p w14:paraId="32F194EE">
                  <w:pPr>
                    <w:pageBreakBefore w:val="0"/>
                    <w:kinsoku/>
                    <w:bidi w:val="0"/>
                    <w:adjustRightInd w:val="0"/>
                    <w:snapToGrid w:val="0"/>
                    <w:spacing w:line="240" w:lineRule="atLeast"/>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有组织排放量（t/a）</w:t>
                  </w:r>
                </w:p>
              </w:tc>
              <w:tc>
                <w:tcPr>
                  <w:tcW w:w="577" w:type="pct"/>
                  <w:tcBorders>
                    <w:tl2br w:val="nil"/>
                    <w:tr2bl w:val="nil"/>
                  </w:tcBorders>
                  <w:noWrap w:val="0"/>
                  <w:vAlign w:val="center"/>
                </w:tcPr>
                <w:p w14:paraId="4C826A69">
                  <w:pPr>
                    <w:pageBreakBefore w:val="0"/>
                    <w:kinsoku/>
                    <w:bidi w:val="0"/>
                    <w:adjustRightInd w:val="0"/>
                    <w:snapToGrid w:val="0"/>
                    <w:spacing w:line="240" w:lineRule="atLeast"/>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无组织排放量（t/a）</w:t>
                  </w:r>
                </w:p>
              </w:tc>
            </w:tr>
            <w:tr w14:paraId="500356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97" w:type="pct"/>
                  <w:tcBorders>
                    <w:tl2br w:val="nil"/>
                    <w:tr2bl w:val="nil"/>
                  </w:tcBorders>
                  <w:noWrap w:val="0"/>
                  <w:vAlign w:val="center"/>
                </w:tcPr>
                <w:p w14:paraId="3A1FF977">
                  <w:pPr>
                    <w:pageBreakBefore w:val="0"/>
                    <w:kinsoku/>
                    <w:bidi w:val="0"/>
                    <w:snapToGrid w:val="0"/>
                    <w:spacing w:line="240" w:lineRule="atLeast"/>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机加工</w:t>
                  </w:r>
                </w:p>
              </w:tc>
              <w:tc>
                <w:tcPr>
                  <w:tcW w:w="548" w:type="pct"/>
                  <w:tcBorders>
                    <w:tl2br w:val="nil"/>
                    <w:tr2bl w:val="nil"/>
                  </w:tcBorders>
                  <w:noWrap w:val="0"/>
                  <w:vAlign w:val="center"/>
                </w:tcPr>
                <w:p w14:paraId="56D6F490">
                  <w:pPr>
                    <w:pageBreakBefore w:val="0"/>
                    <w:kinsoku/>
                    <w:bidi w:val="0"/>
                    <w:snapToGrid w:val="0"/>
                    <w:spacing w:line="240" w:lineRule="atLeast"/>
                    <w:jc w:val="center"/>
                    <w:rPr>
                      <w:rFonts w:hint="default" w:ascii="Times New Roman" w:hAnsi="Times New Roman" w:eastAsia="仿宋" w:cs="Times New Roman"/>
                      <w:b w:val="0"/>
                      <w:bCs w:val="0"/>
                      <w:color w:val="auto"/>
                      <w:spacing w:val="0"/>
                      <w:w w:val="100"/>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非甲烷总烃</w:t>
                  </w:r>
                </w:p>
              </w:tc>
              <w:tc>
                <w:tcPr>
                  <w:tcW w:w="421" w:type="pct"/>
                  <w:tcBorders>
                    <w:tl2br w:val="nil"/>
                    <w:tr2bl w:val="nil"/>
                  </w:tcBorders>
                  <w:noWrap w:val="0"/>
                  <w:vAlign w:val="center"/>
                </w:tcPr>
                <w:p w14:paraId="0F170BF7">
                  <w:pPr>
                    <w:pageBreakBefore w:val="0"/>
                    <w:kinsoku/>
                    <w:bidi w:val="0"/>
                    <w:snapToGrid w:val="0"/>
                    <w:spacing w:line="240" w:lineRule="atLeast"/>
                    <w:jc w:val="center"/>
                    <w:rPr>
                      <w:rFonts w:hint="default" w:ascii="Times New Roman" w:hAnsi="Times New Roman" w:eastAsia="仿宋" w:cs="Times New Roman"/>
                      <w:b w:val="0"/>
                      <w:bCs w:val="0"/>
                      <w:color w:val="auto"/>
                      <w:spacing w:val="0"/>
                      <w:w w:val="100"/>
                      <w:kern w:val="2"/>
                      <w:sz w:val="21"/>
                      <w:szCs w:val="21"/>
                      <w:highlight w:val="none"/>
                      <w:lang w:val="en-US" w:eastAsia="zh-CN" w:bidi="ar-SA"/>
                    </w:rPr>
                  </w:pPr>
                  <w:r>
                    <w:rPr>
                      <w:rFonts w:hint="eastAsia" w:eastAsia="仿宋" w:cs="Times New Roman"/>
                      <w:b w:val="0"/>
                      <w:bCs w:val="0"/>
                      <w:color w:val="auto"/>
                      <w:spacing w:val="0"/>
                      <w:w w:val="100"/>
                      <w:kern w:val="2"/>
                      <w:sz w:val="21"/>
                      <w:szCs w:val="21"/>
                      <w:highlight w:val="none"/>
                      <w:lang w:val="en-US" w:eastAsia="zh-CN" w:bidi="ar-SA"/>
                    </w:rPr>
                    <w:t>/</w:t>
                  </w:r>
                </w:p>
              </w:tc>
              <w:tc>
                <w:tcPr>
                  <w:tcW w:w="349" w:type="pct"/>
                  <w:tcBorders>
                    <w:tl2br w:val="nil"/>
                    <w:tr2bl w:val="nil"/>
                  </w:tcBorders>
                  <w:noWrap w:val="0"/>
                  <w:vAlign w:val="center"/>
                </w:tcPr>
                <w:p w14:paraId="60F3DB23">
                  <w:pPr>
                    <w:pageBreakBefore w:val="0"/>
                    <w:kinsoku/>
                    <w:bidi w:val="0"/>
                    <w:snapToGrid w:val="0"/>
                    <w:spacing w:line="240" w:lineRule="atLeast"/>
                    <w:jc w:val="center"/>
                    <w:rPr>
                      <w:rFonts w:hint="default" w:ascii="Times New Roman" w:hAnsi="Times New Roman" w:eastAsia="仿宋" w:cs="Times New Roman"/>
                      <w:b w:val="0"/>
                      <w:bCs w:val="0"/>
                      <w:color w:val="auto"/>
                      <w:spacing w:val="0"/>
                      <w:w w:val="100"/>
                      <w:kern w:val="2"/>
                      <w:sz w:val="21"/>
                      <w:szCs w:val="21"/>
                      <w:highlight w:val="none"/>
                      <w:lang w:val="en-US" w:eastAsia="zh-CN" w:bidi="ar-SA"/>
                    </w:rPr>
                  </w:pPr>
                  <w:r>
                    <w:rPr>
                      <w:rFonts w:hint="eastAsia" w:ascii="Times New Roman" w:hAnsi="Times New Roman" w:eastAsia="仿宋" w:cs="Times New Roman"/>
                      <w:b w:val="0"/>
                      <w:bCs w:val="0"/>
                      <w:color w:val="auto"/>
                      <w:spacing w:val="0"/>
                      <w:w w:val="100"/>
                      <w:kern w:val="2"/>
                      <w:sz w:val="21"/>
                      <w:szCs w:val="21"/>
                      <w:highlight w:val="none"/>
                      <w:lang w:val="en-US" w:eastAsia="zh-CN" w:bidi="ar-SA"/>
                    </w:rPr>
                    <w:t>9</w:t>
                  </w:r>
                  <w:r>
                    <w:rPr>
                      <w:rFonts w:hint="eastAsia" w:eastAsia="仿宋" w:cs="Times New Roman"/>
                      <w:b w:val="0"/>
                      <w:bCs w:val="0"/>
                      <w:color w:val="auto"/>
                      <w:spacing w:val="0"/>
                      <w:w w:val="100"/>
                      <w:kern w:val="2"/>
                      <w:sz w:val="21"/>
                      <w:szCs w:val="21"/>
                      <w:highlight w:val="none"/>
                      <w:lang w:val="en-US" w:eastAsia="zh-CN" w:bidi="ar-SA"/>
                    </w:rPr>
                    <w:t>0</w:t>
                  </w:r>
                  <w:r>
                    <w:rPr>
                      <w:rFonts w:hint="eastAsia" w:ascii="Times New Roman" w:hAnsi="Times New Roman" w:eastAsia="仿宋" w:cs="Times New Roman"/>
                      <w:b w:val="0"/>
                      <w:bCs w:val="0"/>
                      <w:color w:val="auto"/>
                      <w:spacing w:val="0"/>
                      <w:w w:val="100"/>
                      <w:kern w:val="2"/>
                      <w:sz w:val="21"/>
                      <w:szCs w:val="21"/>
                      <w:highlight w:val="none"/>
                      <w:lang w:val="en-US" w:eastAsia="zh-CN" w:bidi="ar-SA"/>
                    </w:rPr>
                    <w:t>%</w:t>
                  </w:r>
                </w:p>
              </w:tc>
              <w:tc>
                <w:tcPr>
                  <w:tcW w:w="508" w:type="pct"/>
                  <w:tcBorders>
                    <w:tl2br w:val="nil"/>
                    <w:tr2bl w:val="nil"/>
                  </w:tcBorders>
                  <w:noWrap w:val="0"/>
                  <w:vAlign w:val="center"/>
                </w:tcPr>
                <w:p w14:paraId="76175E58">
                  <w:pPr>
                    <w:keepNext w:val="0"/>
                    <w:keepLines w:val="0"/>
                    <w:widowControl/>
                    <w:suppressLineNumbers w:val="0"/>
                    <w:jc w:val="center"/>
                    <w:textAlignment w:val="center"/>
                    <w:rPr>
                      <w:rFonts w:hint="default" w:ascii="Times New Roman" w:hAnsi="Times New Roman" w:eastAsia="仿宋" w:cs="Times New Roman"/>
                      <w:b w:val="0"/>
                      <w:bCs w:val="0"/>
                      <w:color w:val="auto"/>
                      <w:spacing w:val="0"/>
                      <w:w w:val="100"/>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p>
              </w:tc>
              <w:tc>
                <w:tcPr>
                  <w:tcW w:w="646" w:type="pct"/>
                  <w:tcBorders>
                    <w:tl2br w:val="nil"/>
                    <w:tr2bl w:val="nil"/>
                  </w:tcBorders>
                  <w:noWrap w:val="0"/>
                  <w:vAlign w:val="center"/>
                </w:tcPr>
                <w:p w14:paraId="6A841124">
                  <w:pPr>
                    <w:pageBreakBefore w:val="0"/>
                    <w:kinsoku/>
                    <w:bidi w:val="0"/>
                    <w:snapToGrid w:val="0"/>
                    <w:spacing w:line="240" w:lineRule="atLeast"/>
                    <w:jc w:val="center"/>
                    <w:rPr>
                      <w:rFonts w:hint="default" w:ascii="Times New Roman" w:hAnsi="Times New Roman" w:eastAsia="仿宋" w:cs="Times New Roman"/>
                      <w:b w:val="0"/>
                      <w:bCs w:val="0"/>
                      <w:color w:val="auto"/>
                      <w:spacing w:val="0"/>
                      <w:w w:val="100"/>
                      <w:kern w:val="2"/>
                      <w:sz w:val="21"/>
                      <w:szCs w:val="21"/>
                      <w:highlight w:val="none"/>
                      <w:lang w:val="en-US" w:eastAsia="zh-CN" w:bidi="ar-SA"/>
                    </w:rPr>
                  </w:pPr>
                  <w:r>
                    <w:rPr>
                      <w:rFonts w:hint="eastAsia" w:eastAsia="仿宋" w:cs="Times New Roman"/>
                      <w:b w:val="0"/>
                      <w:bCs w:val="0"/>
                      <w:color w:val="auto"/>
                      <w:spacing w:val="0"/>
                      <w:w w:val="100"/>
                      <w:kern w:val="2"/>
                      <w:sz w:val="21"/>
                      <w:szCs w:val="21"/>
                      <w:highlight w:val="none"/>
                      <w:lang w:val="en-US" w:eastAsia="zh-CN" w:bidi="ar-SA"/>
                    </w:rPr>
                    <w:t>油雾净化装置</w:t>
                  </w:r>
                </w:p>
              </w:tc>
              <w:tc>
                <w:tcPr>
                  <w:tcW w:w="507" w:type="pct"/>
                  <w:tcBorders>
                    <w:tl2br w:val="nil"/>
                    <w:tr2bl w:val="nil"/>
                  </w:tcBorders>
                  <w:noWrap w:val="0"/>
                  <w:vAlign w:val="center"/>
                </w:tcPr>
                <w:p w14:paraId="2345D953">
                  <w:pPr>
                    <w:pageBreakBefore w:val="0"/>
                    <w:kinsoku/>
                    <w:bidi w:val="0"/>
                    <w:snapToGrid w:val="0"/>
                    <w:spacing w:line="240" w:lineRule="atLeast"/>
                    <w:jc w:val="center"/>
                    <w:rPr>
                      <w:rFonts w:hint="default" w:ascii="Times New Roman" w:hAnsi="Times New Roman" w:eastAsia="仿宋" w:cs="Times New Roman"/>
                      <w:b w:val="0"/>
                      <w:bCs w:val="0"/>
                      <w:color w:val="auto"/>
                      <w:spacing w:val="0"/>
                      <w:w w:val="100"/>
                      <w:kern w:val="2"/>
                      <w:sz w:val="21"/>
                      <w:szCs w:val="21"/>
                      <w:highlight w:val="none"/>
                      <w:lang w:val="en-US" w:eastAsia="zh-CN" w:bidi="ar-SA"/>
                    </w:rPr>
                  </w:pPr>
                  <w:r>
                    <w:rPr>
                      <w:rFonts w:hint="default" w:ascii="Times New Roman" w:hAnsi="Times New Roman" w:eastAsia="仿宋" w:cs="Times New Roman"/>
                      <w:b w:val="0"/>
                      <w:bCs w:val="0"/>
                      <w:color w:val="auto"/>
                      <w:spacing w:val="0"/>
                      <w:w w:val="100"/>
                      <w:kern w:val="2"/>
                      <w:sz w:val="21"/>
                      <w:szCs w:val="21"/>
                      <w:highlight w:val="none"/>
                      <w:lang w:val="en-US" w:eastAsia="zh-CN" w:bidi="ar-SA"/>
                    </w:rPr>
                    <w:t>是</w:t>
                  </w:r>
                </w:p>
              </w:tc>
              <w:tc>
                <w:tcPr>
                  <w:tcW w:w="514" w:type="pct"/>
                  <w:tcBorders>
                    <w:tl2br w:val="nil"/>
                    <w:tr2bl w:val="nil"/>
                  </w:tcBorders>
                  <w:noWrap w:val="0"/>
                  <w:vAlign w:val="center"/>
                </w:tcPr>
                <w:p w14:paraId="05C69BFE">
                  <w:pPr>
                    <w:keepNext w:val="0"/>
                    <w:keepLines w:val="0"/>
                    <w:widowControl/>
                    <w:suppressLineNumbers w:val="0"/>
                    <w:jc w:val="center"/>
                    <w:textAlignment w:val="center"/>
                    <w:rPr>
                      <w:rFonts w:hint="default" w:ascii="Times New Roman" w:hAnsi="Times New Roman" w:eastAsia="仿宋" w:cs="Times New Roman"/>
                      <w:b w:val="0"/>
                      <w:bCs w:val="0"/>
                      <w:color w:val="auto"/>
                      <w:spacing w:val="0"/>
                      <w:w w:val="100"/>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p>
              </w:tc>
              <w:tc>
                <w:tcPr>
                  <w:tcW w:w="527" w:type="pct"/>
                  <w:tcBorders>
                    <w:tl2br w:val="nil"/>
                    <w:tr2bl w:val="nil"/>
                  </w:tcBorders>
                  <w:noWrap w:val="0"/>
                  <w:vAlign w:val="center"/>
                </w:tcPr>
                <w:p w14:paraId="38535A13">
                  <w:pPr>
                    <w:keepNext w:val="0"/>
                    <w:keepLines w:val="0"/>
                    <w:widowControl/>
                    <w:suppressLineNumbers w:val="0"/>
                    <w:jc w:val="center"/>
                    <w:textAlignment w:val="center"/>
                    <w:rPr>
                      <w:rFonts w:hint="default" w:ascii="Times New Roman" w:hAnsi="Times New Roman" w:eastAsia="仿宋" w:cs="Times New Roman"/>
                      <w:b w:val="0"/>
                      <w:bCs w:val="0"/>
                      <w:color w:val="auto"/>
                      <w:spacing w:val="0"/>
                      <w:w w:val="100"/>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w:t>
                  </w:r>
                </w:p>
              </w:tc>
              <w:tc>
                <w:tcPr>
                  <w:tcW w:w="577" w:type="pct"/>
                  <w:tcBorders>
                    <w:tl2br w:val="nil"/>
                    <w:tr2bl w:val="nil"/>
                  </w:tcBorders>
                  <w:noWrap w:val="0"/>
                  <w:vAlign w:val="center"/>
                </w:tcPr>
                <w:p w14:paraId="7FFA1692">
                  <w:pPr>
                    <w:keepNext w:val="0"/>
                    <w:keepLines w:val="0"/>
                    <w:widowControl/>
                    <w:suppressLineNumbers w:val="0"/>
                    <w:jc w:val="center"/>
                    <w:textAlignment w:val="center"/>
                    <w:rPr>
                      <w:rFonts w:hint="default" w:ascii="Times New Roman" w:hAnsi="Times New Roman" w:eastAsia="仿宋" w:cs="Times New Roman"/>
                      <w:color w:val="auto"/>
                      <w:kern w:val="0"/>
                      <w:sz w:val="21"/>
                      <w:szCs w:val="21"/>
                      <w:highlight w:val="none"/>
                      <w:lang w:val="en-US" w:eastAsia="zh-CN" w:bidi="ar"/>
                    </w:rPr>
                  </w:pPr>
                  <w:r>
                    <w:rPr>
                      <w:rFonts w:hint="eastAsia" w:eastAsia="仿宋" w:cs="Times New Roman"/>
                      <w:color w:val="auto"/>
                      <w:kern w:val="0"/>
                      <w:sz w:val="21"/>
                      <w:szCs w:val="21"/>
                      <w:highlight w:val="none"/>
                      <w:lang w:val="en-US" w:eastAsia="zh-CN" w:bidi="ar"/>
                    </w:rPr>
                    <w:t>/</w:t>
                  </w:r>
                </w:p>
              </w:tc>
            </w:tr>
          </w:tbl>
          <w:p w14:paraId="41498511">
            <w:pPr>
              <w:keepNext w:val="0"/>
              <w:keepLines w:val="0"/>
              <w:pageBreakBefore w:val="0"/>
              <w:widowControl w:val="0"/>
              <w:numPr>
                <w:ilvl w:val="0"/>
                <w:numId w:val="6"/>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color w:val="auto"/>
                <w:kern w:val="0"/>
                <w:sz w:val="24"/>
                <w:szCs w:val="24"/>
                <w:highlight w:val="none"/>
                <w:lang w:val="en-US" w:eastAsia="zh-CN"/>
              </w:rPr>
            </w:pPr>
            <w:r>
              <w:rPr>
                <w:rFonts w:hint="eastAsia" w:ascii="Times New Roman" w:hAnsi="Times New Roman" w:eastAsia="宋体" w:cs="Times New Roman"/>
                <w:b/>
                <w:color w:val="auto"/>
                <w:kern w:val="0"/>
                <w:sz w:val="24"/>
                <w:szCs w:val="24"/>
                <w:highlight w:val="none"/>
                <w:lang w:val="en-US" w:eastAsia="zh-CN"/>
              </w:rPr>
              <w:t>无组织</w:t>
            </w:r>
            <w:r>
              <w:rPr>
                <w:rFonts w:hint="default" w:ascii="Times New Roman" w:hAnsi="Times New Roman" w:eastAsia="宋体" w:cs="Times New Roman"/>
                <w:b/>
                <w:color w:val="auto"/>
                <w:kern w:val="0"/>
                <w:sz w:val="24"/>
                <w:szCs w:val="24"/>
                <w:highlight w:val="none"/>
                <w:lang w:val="en-US" w:eastAsia="zh-CN"/>
              </w:rPr>
              <w:t>废气</w:t>
            </w:r>
            <w:r>
              <w:rPr>
                <w:rFonts w:hint="eastAsia" w:ascii="Times New Roman" w:hAnsi="Times New Roman" w:eastAsia="宋体" w:cs="Times New Roman"/>
                <w:b/>
                <w:color w:val="auto"/>
                <w:kern w:val="0"/>
                <w:sz w:val="24"/>
                <w:szCs w:val="24"/>
                <w:highlight w:val="none"/>
                <w:lang w:val="en-US" w:eastAsia="zh-CN"/>
              </w:rPr>
              <w:t>排放情况</w:t>
            </w:r>
            <w:r>
              <w:rPr>
                <w:rFonts w:hint="default" w:ascii="Times New Roman" w:hAnsi="Times New Roman" w:eastAsia="宋体" w:cs="Times New Roman"/>
                <w:b/>
                <w:color w:val="auto"/>
                <w:kern w:val="0"/>
                <w:sz w:val="24"/>
                <w:szCs w:val="24"/>
                <w:highlight w:val="none"/>
                <w:lang w:val="en-US" w:eastAsia="zh-CN"/>
              </w:rPr>
              <w:t>一览表</w:t>
            </w:r>
          </w:p>
          <w:tbl>
            <w:tblPr>
              <w:tblStyle w:val="22"/>
              <w:tblW w:w="4996"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143"/>
              <w:gridCol w:w="868"/>
              <w:gridCol w:w="1307"/>
              <w:gridCol w:w="1505"/>
              <w:gridCol w:w="1285"/>
              <w:gridCol w:w="900"/>
              <w:gridCol w:w="1249"/>
              <w:gridCol w:w="1154"/>
            </w:tblGrid>
            <w:tr w14:paraId="3BE11E1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7" w:type="pct"/>
                  <w:vMerge w:val="restart"/>
                  <w:tcBorders>
                    <w:tl2br w:val="nil"/>
                    <w:tr2bl w:val="nil"/>
                  </w:tcBorders>
                  <w:vAlign w:val="center"/>
                </w:tcPr>
                <w:p w14:paraId="27ACB9F6">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污染源位置</w:t>
                  </w:r>
                </w:p>
              </w:tc>
              <w:tc>
                <w:tcPr>
                  <w:tcW w:w="461" w:type="pct"/>
                  <w:vMerge w:val="restart"/>
                  <w:tcBorders>
                    <w:tl2br w:val="nil"/>
                    <w:tr2bl w:val="nil"/>
                  </w:tcBorders>
                  <w:vAlign w:val="center"/>
                </w:tcPr>
                <w:p w14:paraId="170ADA7A">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污染源</w:t>
                  </w:r>
                </w:p>
              </w:tc>
              <w:tc>
                <w:tcPr>
                  <w:tcW w:w="694" w:type="pct"/>
                  <w:vMerge w:val="restart"/>
                  <w:tcBorders>
                    <w:tl2br w:val="nil"/>
                    <w:tr2bl w:val="nil"/>
                  </w:tcBorders>
                  <w:vAlign w:val="center"/>
                </w:tcPr>
                <w:p w14:paraId="79F7E412">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污染物</w:t>
                  </w:r>
                </w:p>
              </w:tc>
              <w:tc>
                <w:tcPr>
                  <w:tcW w:w="1481" w:type="pct"/>
                  <w:gridSpan w:val="2"/>
                  <w:tcBorders>
                    <w:tl2br w:val="nil"/>
                    <w:tr2bl w:val="nil"/>
                  </w:tcBorders>
                  <w:vAlign w:val="center"/>
                </w:tcPr>
                <w:p w14:paraId="136C8968">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污染物排放情况</w:t>
                  </w:r>
                </w:p>
              </w:tc>
              <w:tc>
                <w:tcPr>
                  <w:tcW w:w="478" w:type="pct"/>
                  <w:vMerge w:val="restart"/>
                  <w:tcBorders>
                    <w:tl2br w:val="nil"/>
                    <w:tr2bl w:val="nil"/>
                  </w:tcBorders>
                  <w:vAlign w:val="center"/>
                </w:tcPr>
                <w:p w14:paraId="743061A9">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排放时间h</w:t>
                  </w:r>
                </w:p>
              </w:tc>
              <w:tc>
                <w:tcPr>
                  <w:tcW w:w="663" w:type="pct"/>
                  <w:vMerge w:val="restart"/>
                  <w:tcBorders>
                    <w:tl2br w:val="nil"/>
                    <w:tr2bl w:val="nil"/>
                  </w:tcBorders>
                  <w:vAlign w:val="center"/>
                </w:tcPr>
                <w:p w14:paraId="220329CB">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面源面积（m</w:t>
                  </w:r>
                  <w:r>
                    <w:rPr>
                      <w:rFonts w:hint="default" w:ascii="Times New Roman" w:hAnsi="Times New Roman" w:eastAsia="仿宋" w:cs="Times New Roman"/>
                      <w:b/>
                      <w:bCs/>
                      <w:color w:val="auto"/>
                      <w:sz w:val="21"/>
                      <w:szCs w:val="21"/>
                      <w:highlight w:val="none"/>
                      <w:vertAlign w:val="superscript"/>
                      <w:lang w:val="en-US" w:eastAsia="zh-CN"/>
                    </w:rPr>
                    <w:t>2</w:t>
                  </w:r>
                  <w:r>
                    <w:rPr>
                      <w:rFonts w:hint="default" w:ascii="Times New Roman" w:hAnsi="Times New Roman" w:eastAsia="仿宋" w:cs="Times New Roman"/>
                      <w:b/>
                      <w:bCs/>
                      <w:color w:val="auto"/>
                      <w:sz w:val="21"/>
                      <w:szCs w:val="21"/>
                      <w:highlight w:val="none"/>
                      <w:lang w:val="en-US" w:eastAsia="zh-CN"/>
                    </w:rPr>
                    <w:t>）</w:t>
                  </w:r>
                </w:p>
              </w:tc>
              <w:tc>
                <w:tcPr>
                  <w:tcW w:w="612" w:type="pct"/>
                  <w:vMerge w:val="restart"/>
                  <w:tcBorders>
                    <w:tl2br w:val="nil"/>
                    <w:tr2bl w:val="nil"/>
                  </w:tcBorders>
                  <w:vAlign w:val="center"/>
                </w:tcPr>
                <w:p w14:paraId="53DBF85B">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面源</w:t>
                  </w:r>
                  <w:r>
                    <w:rPr>
                      <w:rFonts w:hint="eastAsia" w:cs="Times New Roman"/>
                      <w:b/>
                      <w:bCs/>
                      <w:color w:val="auto"/>
                      <w:sz w:val="21"/>
                      <w:szCs w:val="21"/>
                      <w:highlight w:val="none"/>
                      <w:lang w:val="en-US" w:eastAsia="zh-CN"/>
                    </w:rPr>
                    <w:t>海拔</w:t>
                  </w:r>
                  <w:r>
                    <w:rPr>
                      <w:rFonts w:hint="default" w:ascii="Times New Roman" w:hAnsi="Times New Roman" w:eastAsia="仿宋" w:cs="Times New Roman"/>
                      <w:b/>
                      <w:bCs/>
                      <w:color w:val="auto"/>
                      <w:sz w:val="21"/>
                      <w:szCs w:val="21"/>
                      <w:highlight w:val="none"/>
                      <w:lang w:val="en-US" w:eastAsia="zh-CN"/>
                    </w:rPr>
                    <w:t>高度（m）</w:t>
                  </w:r>
                </w:p>
              </w:tc>
            </w:tr>
            <w:tr w14:paraId="11AFBB2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7" w:type="pct"/>
                  <w:vMerge w:val="continue"/>
                  <w:tcBorders>
                    <w:tl2br w:val="nil"/>
                    <w:tr2bl w:val="nil"/>
                  </w:tcBorders>
                  <w:vAlign w:val="center"/>
                </w:tcPr>
                <w:p w14:paraId="3EB38A38">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rPr>
                  </w:pPr>
                </w:p>
              </w:tc>
              <w:tc>
                <w:tcPr>
                  <w:tcW w:w="461" w:type="pct"/>
                  <w:vMerge w:val="continue"/>
                  <w:tcBorders>
                    <w:tl2br w:val="nil"/>
                    <w:tr2bl w:val="nil"/>
                  </w:tcBorders>
                  <w:vAlign w:val="center"/>
                </w:tcPr>
                <w:p w14:paraId="3F2A2C64">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rPr>
                  </w:pPr>
                </w:p>
              </w:tc>
              <w:tc>
                <w:tcPr>
                  <w:tcW w:w="694" w:type="pct"/>
                  <w:vMerge w:val="continue"/>
                  <w:tcBorders>
                    <w:tl2br w:val="nil"/>
                    <w:tr2bl w:val="nil"/>
                  </w:tcBorders>
                  <w:vAlign w:val="center"/>
                </w:tcPr>
                <w:p w14:paraId="11AB058F">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rPr>
                  </w:pPr>
                </w:p>
              </w:tc>
              <w:tc>
                <w:tcPr>
                  <w:tcW w:w="799" w:type="pct"/>
                  <w:tcBorders>
                    <w:tl2br w:val="nil"/>
                    <w:tr2bl w:val="nil"/>
                  </w:tcBorders>
                  <w:vAlign w:val="center"/>
                </w:tcPr>
                <w:p w14:paraId="2A523211">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lang w:val="en-US" w:eastAsia="zh-CN"/>
                    </w:rPr>
                    <w:t>排放</w:t>
                  </w:r>
                  <w:r>
                    <w:rPr>
                      <w:rFonts w:hint="default" w:ascii="Times New Roman" w:hAnsi="Times New Roman" w:eastAsia="仿宋" w:cs="Times New Roman"/>
                      <w:b/>
                      <w:bCs/>
                      <w:color w:val="auto"/>
                      <w:sz w:val="21"/>
                      <w:szCs w:val="21"/>
                      <w:highlight w:val="none"/>
                    </w:rPr>
                    <w:t>量t/a</w:t>
                  </w:r>
                </w:p>
              </w:tc>
              <w:tc>
                <w:tcPr>
                  <w:tcW w:w="682" w:type="pct"/>
                  <w:tcBorders>
                    <w:tl2br w:val="nil"/>
                    <w:tr2bl w:val="nil"/>
                  </w:tcBorders>
                  <w:vAlign w:val="center"/>
                </w:tcPr>
                <w:p w14:paraId="73B565E4">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速率kg/h</w:t>
                  </w:r>
                </w:p>
              </w:tc>
              <w:tc>
                <w:tcPr>
                  <w:tcW w:w="478" w:type="pct"/>
                  <w:vMerge w:val="continue"/>
                  <w:tcBorders>
                    <w:tl2br w:val="nil"/>
                    <w:tr2bl w:val="nil"/>
                  </w:tcBorders>
                  <w:vAlign w:val="center"/>
                </w:tcPr>
                <w:p w14:paraId="576A8158">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rPr>
                  </w:pPr>
                </w:p>
              </w:tc>
              <w:tc>
                <w:tcPr>
                  <w:tcW w:w="663" w:type="pct"/>
                  <w:vMerge w:val="continue"/>
                  <w:tcBorders>
                    <w:tl2br w:val="nil"/>
                    <w:tr2bl w:val="nil"/>
                  </w:tcBorders>
                  <w:vAlign w:val="center"/>
                </w:tcPr>
                <w:p w14:paraId="2A9597EA">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rPr>
                  </w:pPr>
                </w:p>
              </w:tc>
              <w:tc>
                <w:tcPr>
                  <w:tcW w:w="612" w:type="pct"/>
                  <w:vMerge w:val="continue"/>
                  <w:tcBorders>
                    <w:tl2br w:val="nil"/>
                    <w:tr2bl w:val="nil"/>
                  </w:tcBorders>
                  <w:vAlign w:val="center"/>
                </w:tcPr>
                <w:p w14:paraId="73F51AB6">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rPr>
                  </w:pPr>
                </w:p>
              </w:tc>
            </w:tr>
            <w:tr w14:paraId="794F683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7" w:type="pct"/>
                  <w:tcBorders>
                    <w:tl2br w:val="nil"/>
                    <w:tr2bl w:val="nil"/>
                  </w:tcBorders>
                  <w:vAlign w:val="center"/>
                </w:tcPr>
                <w:p w14:paraId="2E9E8B20">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生产</w:t>
                  </w:r>
                  <w:r>
                    <w:rPr>
                      <w:rFonts w:hint="default" w:ascii="Times New Roman" w:hAnsi="Times New Roman" w:eastAsia="仿宋" w:cs="Times New Roman"/>
                      <w:color w:val="auto"/>
                      <w:sz w:val="21"/>
                      <w:szCs w:val="21"/>
                      <w:highlight w:val="none"/>
                      <w:lang w:val="en-US" w:eastAsia="zh-CN"/>
                    </w:rPr>
                    <w:t>车间</w:t>
                  </w:r>
                </w:p>
              </w:tc>
              <w:tc>
                <w:tcPr>
                  <w:tcW w:w="461" w:type="pct"/>
                  <w:tcBorders>
                    <w:tl2br w:val="nil"/>
                    <w:tr2bl w:val="nil"/>
                  </w:tcBorders>
                  <w:vAlign w:val="center"/>
                </w:tcPr>
                <w:p w14:paraId="08FC0E73">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无组织</w:t>
                  </w:r>
                </w:p>
              </w:tc>
              <w:tc>
                <w:tcPr>
                  <w:tcW w:w="694" w:type="pct"/>
                  <w:tcBorders>
                    <w:tl2br w:val="nil"/>
                    <w:tr2bl w:val="nil"/>
                  </w:tcBorders>
                  <w:vAlign w:val="center"/>
                </w:tcPr>
                <w:p w14:paraId="54DA7D6D">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非甲烷总烃</w:t>
                  </w:r>
                </w:p>
              </w:tc>
              <w:tc>
                <w:tcPr>
                  <w:tcW w:w="799" w:type="pct"/>
                  <w:tcBorders>
                    <w:tl2br w:val="nil"/>
                    <w:tr2bl w:val="nil"/>
                  </w:tcBorders>
                  <w:vAlign w:val="center"/>
                </w:tcPr>
                <w:p w14:paraId="1A9696D5">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682" w:type="pct"/>
                  <w:tcBorders>
                    <w:tl2br w:val="nil"/>
                    <w:tr2bl w:val="nil"/>
                  </w:tcBorders>
                  <w:vAlign w:val="center"/>
                </w:tcPr>
                <w:p w14:paraId="208963D4">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78" w:type="pct"/>
                  <w:tcBorders>
                    <w:tl2br w:val="nil"/>
                    <w:tr2bl w:val="nil"/>
                  </w:tcBorders>
                  <w:vAlign w:val="center"/>
                </w:tcPr>
                <w:p w14:paraId="409F52FB">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7200</w:t>
                  </w:r>
                </w:p>
              </w:tc>
              <w:tc>
                <w:tcPr>
                  <w:tcW w:w="663" w:type="pct"/>
                  <w:tcBorders>
                    <w:tl2br w:val="nil"/>
                    <w:tr2bl w:val="nil"/>
                  </w:tcBorders>
                  <w:vAlign w:val="center"/>
                </w:tcPr>
                <w:p w14:paraId="79B992D2">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4738.27</w:t>
                  </w:r>
                </w:p>
              </w:tc>
              <w:tc>
                <w:tcPr>
                  <w:tcW w:w="612" w:type="pct"/>
                  <w:tcBorders>
                    <w:tl2br w:val="nil"/>
                    <w:tr2bl w:val="nil"/>
                  </w:tcBorders>
                  <w:vAlign w:val="center"/>
                </w:tcPr>
                <w:p w14:paraId="3F408C46">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仿宋" w:cs="Times New Roman"/>
                      <w:color w:val="auto"/>
                      <w:sz w:val="21"/>
                      <w:szCs w:val="21"/>
                      <w:highlight w:val="none"/>
                      <w:lang w:val="en-US" w:eastAsia="zh-CN"/>
                    </w:rPr>
                  </w:pPr>
                  <w:r>
                    <w:rPr>
                      <w:rFonts w:hint="eastAsia" w:cs="Times New Roman"/>
                      <w:color w:val="auto"/>
                      <w:sz w:val="21"/>
                      <w:szCs w:val="21"/>
                      <w:highlight w:val="none"/>
                      <w:lang w:val="en-US" w:eastAsia="zh-CN"/>
                    </w:rPr>
                    <w:t>30</w:t>
                  </w:r>
                </w:p>
              </w:tc>
            </w:tr>
            <w:bookmarkEnd w:id="13"/>
          </w:tbl>
          <w:p w14:paraId="6AA15AE9">
            <w:pPr>
              <w:pStyle w:val="34"/>
              <w:keepNext w:val="0"/>
              <w:keepLines w:val="0"/>
              <w:pageBreakBefore w:val="0"/>
              <w:widowControl/>
              <w:kinsoku/>
              <w:wordWrap/>
              <w:overflowPunct/>
              <w:topLinePunct w:val="0"/>
              <w:autoSpaceDE/>
              <w:autoSpaceDN/>
              <w:bidi w:val="0"/>
              <w:adjustRightInd/>
              <w:snapToGrid/>
              <w:spacing w:before="120" w:beforeLines="50" w:line="360" w:lineRule="auto"/>
              <w:ind w:left="0" w:leftChars="0" w:firstLine="0" w:firstLineChars="0"/>
              <w:textAlignment w:val="auto"/>
              <w:rPr>
                <w:rFonts w:hint="default" w:ascii="Times New Roman" w:hAnsi="Times New Roman" w:eastAsia="宋体" w:cs="Times New Roman"/>
                <w:b w:val="0"/>
                <w:bCs/>
                <w:color w:val="auto"/>
                <w:highlight w:val="none"/>
                <w:lang w:eastAsia="zh-CN"/>
              </w:rPr>
            </w:pPr>
            <w:r>
              <w:rPr>
                <w:rFonts w:hint="default" w:ascii="Times New Roman" w:hAnsi="Times New Roman" w:eastAsia="宋体" w:cs="Times New Roman"/>
                <w:b/>
                <w:bCs w:val="0"/>
                <w:color w:val="auto"/>
                <w:highlight w:val="none"/>
                <w:lang w:val="en-US" w:eastAsia="zh-CN"/>
              </w:rPr>
              <w:t>1.</w:t>
            </w:r>
            <w:r>
              <w:rPr>
                <w:rFonts w:hint="eastAsia" w:ascii="Times New Roman" w:hAnsi="Times New Roman" w:eastAsia="宋体" w:cs="Times New Roman"/>
                <w:b/>
                <w:bCs w:val="0"/>
                <w:color w:val="auto"/>
                <w:highlight w:val="none"/>
                <w:lang w:val="en-US" w:eastAsia="zh-CN"/>
              </w:rPr>
              <w:t>4</w:t>
            </w:r>
            <w:r>
              <w:rPr>
                <w:rFonts w:hint="default" w:ascii="Times New Roman" w:hAnsi="Times New Roman" w:eastAsia="宋体" w:cs="Times New Roman"/>
                <w:b/>
                <w:bCs w:val="0"/>
                <w:color w:val="auto"/>
                <w:highlight w:val="none"/>
                <w:lang w:val="en-US" w:eastAsia="zh-CN"/>
              </w:rPr>
              <w:t xml:space="preserve">  </w:t>
            </w:r>
            <w:r>
              <w:rPr>
                <w:rFonts w:hint="default" w:ascii="Times New Roman" w:hAnsi="Times New Roman" w:eastAsia="宋体" w:cs="Times New Roman"/>
                <w:b/>
                <w:bCs w:val="0"/>
                <w:color w:val="auto"/>
                <w:highlight w:val="none"/>
              </w:rPr>
              <w:t>非正</w:t>
            </w:r>
            <w:r>
              <w:rPr>
                <w:rFonts w:hint="default" w:ascii="Times New Roman" w:hAnsi="Times New Roman" w:eastAsia="宋体" w:cs="Times New Roman"/>
                <w:b/>
                <w:bCs w:val="0"/>
                <w:color w:val="auto"/>
                <w:highlight w:val="none"/>
              </w:rPr>
              <w:t>常工况</w:t>
            </w:r>
          </w:p>
          <w:p w14:paraId="3FA3A65E">
            <w:pPr>
              <w:pStyle w:val="34"/>
              <w:spacing w:line="360" w:lineRule="auto"/>
              <w:ind w:firstLine="480"/>
              <w:rPr>
                <w:rFonts w:hint="default" w:ascii="Times New Roman" w:hAnsi="Times New Roman" w:cs="Times New Roman"/>
                <w:bCs w:val="0"/>
                <w:color w:val="auto"/>
                <w:sz w:val="24"/>
                <w:szCs w:val="24"/>
                <w:highlight w:val="none"/>
              </w:rPr>
            </w:pPr>
            <w:r>
              <w:rPr>
                <w:rFonts w:hint="default" w:ascii="Times New Roman" w:hAnsi="Times New Roman" w:cs="Times New Roman"/>
                <w:bCs w:val="0"/>
                <w:color w:val="auto"/>
                <w:sz w:val="24"/>
                <w:szCs w:val="24"/>
                <w:highlight w:val="none"/>
              </w:rPr>
              <w:t>非正常排放一般包括开停车、检修、环保设施不达标三种情况。</w:t>
            </w:r>
          </w:p>
          <w:p w14:paraId="5FFA993B">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eastAsia="Calibri" w:cs="Times New Roman"/>
                <w:color w:val="auto"/>
                <w:sz w:val="24"/>
                <w:szCs w:val="24"/>
                <w:highlight w:val="none"/>
              </w:rPr>
              <w:t>设备检修以及突发性故障（如：区域性停电时的停车），企业会事先调整生产计划。因此，本项目非正常工况考虑废气环保设施运行不正常的情况，本报告按最不利的情况考虑</w:t>
            </w:r>
            <w:r>
              <w:rPr>
                <w:rFonts w:hint="default" w:ascii="Times New Roman" w:hAnsi="Times New Roman" w:cs="Times New Roman"/>
                <w:color w:val="auto"/>
                <w:sz w:val="24"/>
                <w:szCs w:val="24"/>
                <w:highlight w:val="none"/>
              </w:rPr>
              <w:t>，即废气处理设施完全失效，处理效率下降至0%。</w:t>
            </w:r>
            <w:r>
              <w:rPr>
                <w:rFonts w:hint="default" w:ascii="Times New Roman" w:hAnsi="Times New Roman" w:eastAsia="宋体" w:cs="Times New Roman"/>
                <w:color w:val="auto"/>
                <w:sz w:val="24"/>
                <w:szCs w:val="24"/>
                <w:highlight w:val="none"/>
              </w:rPr>
              <w:t>本项目非正常工况为各废气处理装置发生故障，事故持续时间以60min（1h）计。</w:t>
            </w:r>
            <w:r>
              <w:rPr>
                <w:rFonts w:hint="default" w:ascii="Times New Roman" w:hAnsi="Times New Roman" w:cs="Times New Roman"/>
                <w:color w:val="auto"/>
                <w:sz w:val="24"/>
                <w:szCs w:val="24"/>
                <w:highlight w:val="none"/>
              </w:rPr>
              <w:t>则非正常工况下，本项目污染物排放情况见下表。</w:t>
            </w:r>
          </w:p>
          <w:p w14:paraId="33FBD4D1">
            <w:pPr>
              <w:keepNext w:val="0"/>
              <w:keepLines w:val="0"/>
              <w:pageBreakBefore w:val="0"/>
              <w:widowControl w:val="0"/>
              <w:numPr>
                <w:ilvl w:val="0"/>
                <w:numId w:val="6"/>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宋体" w:cs="Times New Roman"/>
                <w:b/>
                <w:color w:val="auto"/>
                <w:kern w:val="0"/>
                <w:sz w:val="24"/>
                <w:szCs w:val="24"/>
                <w:highlight w:val="none"/>
                <w:lang w:val="en-US" w:eastAsia="zh-CN"/>
              </w:rPr>
            </w:pPr>
            <w:r>
              <w:rPr>
                <w:rFonts w:hint="eastAsia" w:ascii="Times New Roman" w:hAnsi="Times New Roman" w:eastAsia="宋体" w:cs="Times New Roman"/>
                <w:b/>
                <w:color w:val="auto"/>
                <w:kern w:val="0"/>
                <w:sz w:val="24"/>
                <w:szCs w:val="24"/>
                <w:highlight w:val="none"/>
                <w:lang w:val="en-US" w:eastAsia="zh-CN"/>
              </w:rPr>
              <w:t>本项目废气非正常工况排放情况</w:t>
            </w:r>
          </w:p>
          <w:tbl>
            <w:tblPr>
              <w:tblStyle w:val="23"/>
              <w:tblW w:w="4996"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912"/>
              <w:gridCol w:w="1162"/>
              <w:gridCol w:w="878"/>
              <w:gridCol w:w="1100"/>
              <w:gridCol w:w="1228"/>
              <w:gridCol w:w="821"/>
              <w:gridCol w:w="754"/>
              <w:gridCol w:w="2099"/>
            </w:tblGrid>
            <w:tr w14:paraId="432D8FF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tcBorders>
                    <w:tl2br w:val="nil"/>
                    <w:tr2bl w:val="nil"/>
                  </w:tcBorders>
                  <w:noWrap w:val="0"/>
                  <w:vAlign w:val="center"/>
                </w:tcPr>
                <w:p w14:paraId="04CEA7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序号</w:t>
                  </w:r>
                </w:p>
              </w:tc>
              <w:tc>
                <w:tcPr>
                  <w:tcW w:w="484" w:type="pct"/>
                  <w:tcBorders>
                    <w:tl2br w:val="nil"/>
                    <w:tr2bl w:val="nil"/>
                  </w:tcBorders>
                  <w:noWrap w:val="0"/>
                  <w:vAlign w:val="center"/>
                </w:tcPr>
                <w:p w14:paraId="48D2D3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非正常排放源</w:t>
                  </w:r>
                </w:p>
              </w:tc>
              <w:tc>
                <w:tcPr>
                  <w:tcW w:w="617" w:type="pct"/>
                  <w:tcBorders>
                    <w:tl2br w:val="nil"/>
                    <w:tr2bl w:val="nil"/>
                  </w:tcBorders>
                  <w:noWrap w:val="0"/>
                  <w:vAlign w:val="center"/>
                </w:tcPr>
                <w:p w14:paraId="4144A8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非正常排放原因</w:t>
                  </w:r>
                </w:p>
              </w:tc>
              <w:tc>
                <w:tcPr>
                  <w:tcW w:w="466" w:type="pct"/>
                  <w:tcBorders>
                    <w:tl2br w:val="nil"/>
                    <w:tr2bl w:val="nil"/>
                  </w:tcBorders>
                  <w:noWrap w:val="0"/>
                  <w:vAlign w:val="center"/>
                </w:tcPr>
                <w:p w14:paraId="4782C1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污染物</w:t>
                  </w:r>
                </w:p>
              </w:tc>
              <w:tc>
                <w:tcPr>
                  <w:tcW w:w="584" w:type="pct"/>
                  <w:tcBorders>
                    <w:tl2br w:val="nil"/>
                    <w:tr2bl w:val="nil"/>
                  </w:tcBorders>
                  <w:noWrap w:val="0"/>
                  <w:vAlign w:val="center"/>
                </w:tcPr>
                <w:p w14:paraId="28FE3547">
                  <w:pPr>
                    <w:pStyle w:val="6"/>
                    <w:pageBreakBefore w:val="0"/>
                    <w:kinsoku/>
                    <w:overflowPunct/>
                    <w:topLinePunct w:val="0"/>
                    <w:bidi w:val="0"/>
                    <w:spacing w:before="0" w:after="0" w:line="240" w:lineRule="auto"/>
                    <w:ind w:left="0" w:leftChars="0" w:right="0" w:rightChars="0"/>
                    <w:jc w:val="center"/>
                    <w:rPr>
                      <w:rFonts w:hint="default" w:ascii="Times New Roman" w:hAnsi="Times New Roman" w:eastAsia="仿宋" w:cs="Times New Roman"/>
                      <w:b/>
                      <w:bCs/>
                      <w:color w:val="auto"/>
                      <w:spacing w:val="-6"/>
                      <w:kern w:val="2"/>
                      <w:sz w:val="21"/>
                      <w:szCs w:val="21"/>
                      <w:highlight w:val="none"/>
                      <w:u w:val="none"/>
                      <w:vertAlign w:val="baseline"/>
                      <w:lang w:val="en-US" w:eastAsia="zh-CN" w:bidi="ar-SA"/>
                    </w:rPr>
                  </w:pPr>
                  <w:r>
                    <w:rPr>
                      <w:rFonts w:hint="default" w:ascii="Times New Roman" w:hAnsi="Times New Roman" w:eastAsia="仿宋" w:cs="Times New Roman"/>
                      <w:b/>
                      <w:bCs/>
                      <w:color w:val="auto"/>
                      <w:sz w:val="21"/>
                      <w:szCs w:val="21"/>
                      <w:highlight w:val="none"/>
                    </w:rPr>
                    <w:t>非正常排放速率（kg/h）</w:t>
                  </w:r>
                </w:p>
              </w:tc>
              <w:tc>
                <w:tcPr>
                  <w:tcW w:w="652" w:type="pct"/>
                  <w:tcBorders>
                    <w:tl2br w:val="nil"/>
                    <w:tr2bl w:val="nil"/>
                  </w:tcBorders>
                  <w:noWrap w:val="0"/>
                  <w:vAlign w:val="center"/>
                </w:tcPr>
                <w:p w14:paraId="383BFA99">
                  <w:pPr>
                    <w:pStyle w:val="6"/>
                    <w:pageBreakBefore w:val="0"/>
                    <w:kinsoku/>
                    <w:overflowPunct/>
                    <w:topLinePunct w:val="0"/>
                    <w:bidi w:val="0"/>
                    <w:spacing w:before="0" w:after="0" w:line="240" w:lineRule="auto"/>
                    <w:ind w:left="0" w:leftChars="0" w:right="0" w:rightChars="0"/>
                    <w:jc w:val="center"/>
                    <w:rPr>
                      <w:rFonts w:hint="default" w:ascii="Times New Roman" w:hAnsi="Times New Roman" w:eastAsia="仿宋" w:cs="Times New Roman"/>
                      <w:b/>
                      <w:bCs/>
                      <w:color w:val="auto"/>
                      <w:spacing w:val="-6"/>
                      <w:kern w:val="2"/>
                      <w:sz w:val="21"/>
                      <w:szCs w:val="21"/>
                      <w:highlight w:val="none"/>
                      <w:u w:val="none"/>
                      <w:vertAlign w:val="baseline"/>
                      <w:lang w:val="en-US" w:eastAsia="zh-CN" w:bidi="ar-SA"/>
                    </w:rPr>
                  </w:pPr>
                  <w:r>
                    <w:rPr>
                      <w:rFonts w:hint="default" w:ascii="Times New Roman" w:hAnsi="Times New Roman" w:eastAsia="仿宋" w:cs="Times New Roman"/>
                      <w:b/>
                      <w:bCs/>
                      <w:color w:val="auto"/>
                      <w:sz w:val="21"/>
                      <w:szCs w:val="21"/>
                      <w:highlight w:val="none"/>
                    </w:rPr>
                    <w:t>非正常排放浓度（mg/m</w:t>
                  </w:r>
                  <w:r>
                    <w:rPr>
                      <w:rFonts w:hint="default" w:ascii="Times New Roman" w:hAnsi="Times New Roman" w:eastAsia="仿宋" w:cs="Times New Roman"/>
                      <w:b/>
                      <w:bCs/>
                      <w:color w:val="auto"/>
                      <w:sz w:val="21"/>
                      <w:szCs w:val="21"/>
                      <w:highlight w:val="none"/>
                      <w:vertAlign w:val="superscript"/>
                    </w:rPr>
                    <w:t>3</w:t>
                  </w:r>
                  <w:r>
                    <w:rPr>
                      <w:rFonts w:hint="default" w:ascii="Times New Roman" w:hAnsi="Times New Roman" w:eastAsia="仿宋" w:cs="Times New Roman"/>
                      <w:b/>
                      <w:bCs/>
                      <w:color w:val="auto"/>
                      <w:sz w:val="21"/>
                      <w:szCs w:val="21"/>
                      <w:highlight w:val="none"/>
                    </w:rPr>
                    <w:t>）</w:t>
                  </w:r>
                </w:p>
              </w:tc>
              <w:tc>
                <w:tcPr>
                  <w:tcW w:w="436" w:type="pct"/>
                  <w:tcBorders>
                    <w:tl2br w:val="nil"/>
                    <w:tr2bl w:val="nil"/>
                  </w:tcBorders>
                  <w:noWrap w:val="0"/>
                  <w:vAlign w:val="center"/>
                </w:tcPr>
                <w:p w14:paraId="32F29F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单次持续时间/h</w:t>
                  </w:r>
                </w:p>
              </w:tc>
              <w:tc>
                <w:tcPr>
                  <w:tcW w:w="400" w:type="pct"/>
                  <w:tcBorders>
                    <w:tl2br w:val="nil"/>
                    <w:tr2bl w:val="nil"/>
                  </w:tcBorders>
                  <w:noWrap w:val="0"/>
                  <w:vAlign w:val="center"/>
                </w:tcPr>
                <w:p w14:paraId="2D4C7E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年发生频次/次</w:t>
                  </w:r>
                </w:p>
              </w:tc>
              <w:tc>
                <w:tcPr>
                  <w:tcW w:w="1114" w:type="pct"/>
                  <w:tcBorders>
                    <w:tl2br w:val="nil"/>
                    <w:tr2bl w:val="nil"/>
                  </w:tcBorders>
                  <w:noWrap w:val="0"/>
                  <w:vAlign w:val="center"/>
                </w:tcPr>
                <w:p w14:paraId="4BA17A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bCs/>
                      <w:color w:val="auto"/>
                      <w:spacing w:val="-6"/>
                      <w:sz w:val="21"/>
                      <w:szCs w:val="21"/>
                      <w:highlight w:val="none"/>
                      <w:u w:val="none"/>
                      <w:vertAlign w:val="baseline"/>
                      <w:lang w:val="en-US" w:eastAsia="zh-CN"/>
                    </w:rPr>
                  </w:pPr>
                  <w:r>
                    <w:rPr>
                      <w:rFonts w:hint="default" w:ascii="Times New Roman" w:hAnsi="Times New Roman" w:eastAsia="仿宋" w:cs="Times New Roman"/>
                      <w:b/>
                      <w:bCs/>
                      <w:color w:val="auto"/>
                      <w:spacing w:val="-6"/>
                      <w:sz w:val="21"/>
                      <w:szCs w:val="21"/>
                      <w:highlight w:val="none"/>
                      <w:u w:val="none"/>
                      <w:vertAlign w:val="baseline"/>
                      <w:lang w:val="en-US" w:eastAsia="zh-CN"/>
                    </w:rPr>
                    <w:t>应对措施</w:t>
                  </w:r>
                </w:p>
              </w:tc>
            </w:tr>
            <w:tr w14:paraId="0309B12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tcBorders>
                    <w:tl2br w:val="nil"/>
                    <w:tr2bl w:val="nil"/>
                  </w:tcBorders>
                  <w:noWrap w:val="0"/>
                  <w:vAlign w:val="center"/>
                </w:tcPr>
                <w:p w14:paraId="44E02A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1</w:t>
                  </w:r>
                </w:p>
              </w:tc>
              <w:tc>
                <w:tcPr>
                  <w:tcW w:w="484" w:type="pct"/>
                  <w:tcBorders>
                    <w:tl2br w:val="nil"/>
                    <w:tr2bl w:val="nil"/>
                  </w:tcBorders>
                  <w:noWrap w:val="0"/>
                  <w:vAlign w:val="center"/>
                </w:tcPr>
                <w:p w14:paraId="26E9AA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val="0"/>
                      <w:bCs w:val="0"/>
                      <w:color w:val="auto"/>
                      <w:spacing w:val="-6"/>
                      <w:kern w:val="2"/>
                      <w:sz w:val="21"/>
                      <w:szCs w:val="21"/>
                      <w:highlight w:val="none"/>
                      <w:u w:val="none"/>
                      <w:vertAlign w:val="baseline"/>
                      <w:lang w:val="en-US" w:eastAsia="zh-CN" w:bidi="ar-SA"/>
                    </w:rPr>
                  </w:pPr>
                  <w:r>
                    <w:rPr>
                      <w:rFonts w:hint="eastAsia" w:eastAsia="仿宋" w:cs="Times New Roman"/>
                      <w:b w:val="0"/>
                      <w:bCs w:val="0"/>
                      <w:color w:val="auto"/>
                      <w:spacing w:val="-6"/>
                      <w:kern w:val="2"/>
                      <w:sz w:val="21"/>
                      <w:szCs w:val="21"/>
                      <w:highlight w:val="none"/>
                      <w:u w:val="none"/>
                      <w:vertAlign w:val="baseline"/>
                      <w:lang w:val="en-US" w:eastAsia="zh-CN" w:bidi="ar-SA"/>
                    </w:rPr>
                    <w:t>车间</w:t>
                  </w:r>
                </w:p>
              </w:tc>
              <w:tc>
                <w:tcPr>
                  <w:tcW w:w="617" w:type="pct"/>
                  <w:tcBorders>
                    <w:tl2br w:val="nil"/>
                    <w:tr2bl w:val="nil"/>
                  </w:tcBorders>
                  <w:noWrap w:val="0"/>
                  <w:vAlign w:val="center"/>
                </w:tcPr>
                <w:p w14:paraId="093226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废气处理装置开停车、检修、运转异常</w:t>
                  </w:r>
                </w:p>
              </w:tc>
              <w:tc>
                <w:tcPr>
                  <w:tcW w:w="466" w:type="pct"/>
                  <w:tcBorders>
                    <w:tl2br w:val="nil"/>
                    <w:tr2bl w:val="nil"/>
                  </w:tcBorders>
                  <w:noWrap w:val="0"/>
                  <w:vAlign w:val="center"/>
                </w:tcPr>
                <w:p w14:paraId="32E04B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eastAsia" w:eastAsia="仿宋" w:cs="Times New Roman"/>
                      <w:b w:val="0"/>
                      <w:bCs w:val="0"/>
                      <w:color w:val="auto"/>
                      <w:spacing w:val="-6"/>
                      <w:sz w:val="21"/>
                      <w:szCs w:val="21"/>
                      <w:highlight w:val="none"/>
                      <w:u w:val="none"/>
                      <w:vertAlign w:val="baseline"/>
                      <w:lang w:val="en-US" w:eastAsia="zh-CN"/>
                    </w:rPr>
                    <w:t>非甲烷总烃</w:t>
                  </w:r>
                </w:p>
              </w:tc>
              <w:tc>
                <w:tcPr>
                  <w:tcW w:w="1092" w:type="dxa"/>
                  <w:tcBorders>
                    <w:tl2br w:val="nil"/>
                    <w:tr2bl w:val="nil"/>
                  </w:tcBorders>
                  <w:noWrap w:val="0"/>
                  <w:vAlign w:val="center"/>
                </w:tcPr>
                <w:p w14:paraId="6416D4A7">
                  <w:pPr>
                    <w:keepNext w:val="0"/>
                    <w:keepLines w:val="0"/>
                    <w:widowControl/>
                    <w:suppressLineNumbers w:val="0"/>
                    <w:jc w:val="center"/>
                    <w:textAlignment w:val="center"/>
                    <w:rPr>
                      <w:rFonts w:hint="default" w:ascii="Times New Roman" w:hAnsi="Times New Roman" w:eastAsia="仿宋" w:cs="Times New Roman"/>
                      <w:b w:val="0"/>
                      <w:bCs w:val="0"/>
                      <w:color w:val="auto"/>
                      <w:spacing w:val="-6"/>
                      <w:kern w:val="2"/>
                      <w:sz w:val="21"/>
                      <w:szCs w:val="21"/>
                      <w:highlight w:val="none"/>
                      <w:u w:val="none"/>
                      <w:vertAlign w:val="baseline"/>
                      <w:lang w:val="en-US" w:eastAsia="zh-CN" w:bidi="ar-SA"/>
                    </w:rPr>
                  </w:pPr>
                  <w:r>
                    <w:rPr>
                      <w:rFonts w:hint="eastAsia" w:eastAsia="仿宋" w:cs="Times New Roman"/>
                      <w:b w:val="0"/>
                      <w:bCs w:val="0"/>
                      <w:color w:val="auto"/>
                      <w:spacing w:val="-6"/>
                      <w:kern w:val="2"/>
                      <w:sz w:val="21"/>
                      <w:szCs w:val="21"/>
                      <w:highlight w:val="none"/>
                      <w:u w:val="none"/>
                      <w:vertAlign w:val="baseline"/>
                      <w:lang w:val="en-US" w:eastAsia="zh-CN" w:bidi="ar-SA"/>
                    </w:rPr>
                    <w:t>/</w:t>
                  </w:r>
                </w:p>
              </w:tc>
              <w:tc>
                <w:tcPr>
                  <w:tcW w:w="1219" w:type="dxa"/>
                  <w:tcBorders>
                    <w:tl2br w:val="nil"/>
                    <w:tr2bl w:val="nil"/>
                  </w:tcBorders>
                  <w:noWrap w:val="0"/>
                  <w:vAlign w:val="center"/>
                </w:tcPr>
                <w:p w14:paraId="6742D460">
                  <w:pPr>
                    <w:keepNext w:val="0"/>
                    <w:keepLines w:val="0"/>
                    <w:widowControl/>
                    <w:suppressLineNumbers w:val="0"/>
                    <w:jc w:val="center"/>
                    <w:textAlignment w:val="center"/>
                    <w:rPr>
                      <w:rFonts w:hint="default" w:ascii="Times New Roman" w:hAnsi="Times New Roman" w:eastAsia="仿宋" w:cs="Times New Roman"/>
                      <w:b w:val="0"/>
                      <w:bCs w:val="0"/>
                      <w:color w:val="auto"/>
                      <w:spacing w:val="-6"/>
                      <w:kern w:val="2"/>
                      <w:sz w:val="21"/>
                      <w:szCs w:val="21"/>
                      <w:highlight w:val="none"/>
                      <w:u w:val="none"/>
                      <w:vertAlign w:val="baseline"/>
                      <w:lang w:val="en-US" w:eastAsia="zh-CN" w:bidi="ar-SA"/>
                    </w:rPr>
                  </w:pPr>
                  <w:r>
                    <w:rPr>
                      <w:rFonts w:hint="eastAsia" w:eastAsia="仿宋" w:cs="Times New Roman"/>
                      <w:b w:val="0"/>
                      <w:bCs w:val="0"/>
                      <w:color w:val="auto"/>
                      <w:spacing w:val="-6"/>
                      <w:kern w:val="2"/>
                      <w:sz w:val="21"/>
                      <w:szCs w:val="21"/>
                      <w:highlight w:val="none"/>
                      <w:u w:val="none"/>
                      <w:vertAlign w:val="baseline"/>
                      <w:lang w:val="en-US" w:eastAsia="zh-CN" w:bidi="ar-SA"/>
                    </w:rPr>
                    <w:t>/</w:t>
                  </w:r>
                </w:p>
              </w:tc>
              <w:tc>
                <w:tcPr>
                  <w:tcW w:w="436" w:type="pct"/>
                  <w:tcBorders>
                    <w:tl2br w:val="nil"/>
                    <w:tr2bl w:val="nil"/>
                  </w:tcBorders>
                  <w:shd w:val="clear" w:color="auto" w:fill="auto"/>
                  <w:noWrap w:val="0"/>
                  <w:vAlign w:val="center"/>
                </w:tcPr>
                <w:p w14:paraId="160A32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val="0"/>
                      <w:bCs w:val="0"/>
                      <w:color w:val="auto"/>
                      <w:spacing w:val="-6"/>
                      <w:kern w:val="2"/>
                      <w:sz w:val="21"/>
                      <w:szCs w:val="21"/>
                      <w:highlight w:val="none"/>
                      <w:u w:val="none"/>
                      <w:vertAlign w:val="baseline"/>
                      <w:lang w:val="en-US" w:eastAsia="zh-CN" w:bidi="ar-SA"/>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1</w:t>
                  </w:r>
                </w:p>
              </w:tc>
              <w:tc>
                <w:tcPr>
                  <w:tcW w:w="400" w:type="pct"/>
                  <w:tcBorders>
                    <w:tl2br w:val="nil"/>
                    <w:tr2bl w:val="nil"/>
                  </w:tcBorders>
                  <w:shd w:val="clear" w:color="auto" w:fill="auto"/>
                  <w:noWrap w:val="0"/>
                  <w:vAlign w:val="center"/>
                </w:tcPr>
                <w:p w14:paraId="1A2E56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val="0"/>
                      <w:bCs w:val="0"/>
                      <w:color w:val="auto"/>
                      <w:spacing w:val="-6"/>
                      <w:kern w:val="2"/>
                      <w:sz w:val="21"/>
                      <w:szCs w:val="21"/>
                      <w:highlight w:val="none"/>
                      <w:u w:val="none"/>
                      <w:vertAlign w:val="baseline"/>
                      <w:lang w:val="en-US" w:eastAsia="zh-CN" w:bidi="ar-SA"/>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1次</w:t>
                  </w:r>
                </w:p>
              </w:tc>
              <w:tc>
                <w:tcPr>
                  <w:tcW w:w="1114" w:type="pct"/>
                  <w:tcBorders>
                    <w:tl2br w:val="nil"/>
                    <w:tr2bl w:val="nil"/>
                  </w:tcBorders>
                  <w:noWrap w:val="0"/>
                  <w:vAlign w:val="center"/>
                </w:tcPr>
                <w:p w14:paraId="5A1121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b w:val="0"/>
                      <w:bCs w:val="0"/>
                      <w:color w:val="auto"/>
                      <w:spacing w:val="-6"/>
                      <w:sz w:val="21"/>
                      <w:szCs w:val="21"/>
                      <w:highlight w:val="none"/>
                      <w:u w:val="none"/>
                      <w:vertAlign w:val="baseline"/>
                      <w:lang w:val="en-US" w:eastAsia="zh-CN"/>
                    </w:rPr>
                  </w:pPr>
                  <w:r>
                    <w:rPr>
                      <w:rFonts w:hint="default" w:ascii="Times New Roman" w:hAnsi="Times New Roman" w:eastAsia="仿宋" w:cs="Times New Roman"/>
                      <w:b w:val="0"/>
                      <w:bCs w:val="0"/>
                      <w:color w:val="auto"/>
                      <w:spacing w:val="-6"/>
                      <w:sz w:val="21"/>
                      <w:szCs w:val="21"/>
                      <w:highlight w:val="none"/>
                      <w:u w:val="none"/>
                      <w:vertAlign w:val="baseline"/>
                      <w:lang w:val="en-US" w:eastAsia="zh-CN"/>
                    </w:rPr>
                    <w:t>定期进行设备维护和保养，废气处理装置出现故障不能短时间恢复时停止生产</w:t>
                  </w:r>
                </w:p>
              </w:tc>
            </w:tr>
          </w:tbl>
          <w:p w14:paraId="18E89BC2">
            <w:pPr>
              <w:pStyle w:val="21"/>
              <w:keepNext w:val="0"/>
              <w:keepLines w:val="0"/>
              <w:pageBreakBefore w:val="0"/>
              <w:widowControl w:val="0"/>
              <w:kinsoku/>
              <w:wordWrap/>
              <w:overflowPunct/>
              <w:topLinePunct w:val="0"/>
              <w:bidi w:val="0"/>
              <w:snapToGrid/>
              <w:spacing w:after="0" w:line="360" w:lineRule="auto"/>
              <w:ind w:left="0" w:leftChars="0" w:firstLine="480" w:firstLineChars="200"/>
              <w:rPr>
                <w:rFonts w:hint="eastAsia" w:ascii="Times New Roman" w:hAnsi="Times New Roman" w:eastAsia="宋体" w:cs="Times New Roman"/>
                <w:b/>
                <w:bCs/>
                <w:color w:val="auto"/>
                <w:sz w:val="24"/>
                <w:szCs w:val="24"/>
                <w:highlight w:val="none"/>
                <w:lang w:eastAsia="zh-CN"/>
              </w:rPr>
            </w:pPr>
            <w:r>
              <w:rPr>
                <w:rFonts w:ascii="Times New Roman" w:hAnsi="Times New Roman" w:cs="Times New Roman"/>
                <w:color w:val="auto"/>
                <w:kern w:val="2"/>
                <w:sz w:val="24"/>
                <w:szCs w:val="24"/>
                <w:highlight w:val="none"/>
              </w:rPr>
              <w:t>为确保项目废气处理装置正常运行，建设方在日常运行过程中，建议采取如下措施：①由公司委派专人负责每日巡检各废气处理装置</w:t>
            </w:r>
            <w:r>
              <w:rPr>
                <w:rFonts w:hint="eastAsia" w:ascii="Times New Roman" w:hAnsi="Times New Roman" w:cs="Times New Roman"/>
                <w:color w:val="auto"/>
                <w:kern w:val="2"/>
                <w:sz w:val="24"/>
                <w:szCs w:val="24"/>
                <w:highlight w:val="none"/>
              </w:rPr>
              <w:t>；②</w:t>
            </w:r>
            <w:r>
              <w:rPr>
                <w:rFonts w:ascii="Times New Roman" w:hAnsi="Times New Roman" w:cs="Times New Roman"/>
                <w:color w:val="auto"/>
                <w:kern w:val="2"/>
                <w:sz w:val="24"/>
                <w:szCs w:val="24"/>
                <w:highlight w:val="none"/>
              </w:rPr>
              <w:t>建立废气处理装置运行管理台账，由专人负责记录。</w:t>
            </w:r>
          </w:p>
          <w:p w14:paraId="7551E476">
            <w:pPr>
              <w:pStyle w:val="21"/>
              <w:keepNext w:val="0"/>
              <w:keepLines w:val="0"/>
              <w:pageBreakBefore w:val="0"/>
              <w:widowControl w:val="0"/>
              <w:kinsoku/>
              <w:wordWrap/>
              <w:overflowPunct/>
              <w:topLinePunct w:val="0"/>
              <w:bidi w:val="0"/>
              <w:snapToGrid/>
              <w:spacing w:after="0" w:line="360" w:lineRule="auto"/>
              <w:ind w:left="0" w:leftChars="0" w:firstLine="0" w:firstLineChars="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1.</w:t>
            </w:r>
            <w:r>
              <w:rPr>
                <w:rFonts w:hint="eastAsia" w:cs="Times New Roman"/>
                <w:b/>
                <w:bCs/>
                <w:color w:val="auto"/>
                <w:sz w:val="24"/>
                <w:szCs w:val="24"/>
                <w:highlight w:val="none"/>
                <w:lang w:val="en-US" w:eastAsia="zh-CN"/>
              </w:rPr>
              <w:t xml:space="preserve">5  </w:t>
            </w:r>
            <w:r>
              <w:rPr>
                <w:rFonts w:hint="default" w:ascii="Times New Roman" w:hAnsi="Times New Roman" w:eastAsia="宋体" w:cs="Times New Roman"/>
                <w:b/>
                <w:bCs/>
                <w:color w:val="auto"/>
                <w:sz w:val="24"/>
                <w:szCs w:val="24"/>
                <w:highlight w:val="none"/>
              </w:rPr>
              <w:t>废气</w:t>
            </w:r>
            <w:r>
              <w:rPr>
                <w:rFonts w:hint="eastAsia" w:ascii="Times New Roman" w:hAnsi="Times New Roman" w:eastAsia="宋体" w:cs="Times New Roman"/>
                <w:b/>
                <w:bCs/>
                <w:color w:val="auto"/>
                <w:sz w:val="24"/>
                <w:szCs w:val="24"/>
                <w:highlight w:val="none"/>
                <w:lang w:val="en-US" w:eastAsia="zh-CN"/>
              </w:rPr>
              <w:t>处理措施可行性分析</w:t>
            </w:r>
          </w:p>
          <w:p w14:paraId="1B4DB130">
            <w:pPr>
              <w:pStyle w:val="34"/>
              <w:keepNext w:val="0"/>
              <w:keepLines w:val="0"/>
              <w:pageBreakBefore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（1）废气治理流程</w:t>
            </w:r>
          </w:p>
          <w:p w14:paraId="0856BBA0">
            <w:pPr>
              <w:pStyle w:val="34"/>
              <w:adjustRightInd w:val="0"/>
              <w:snapToGrid w:val="0"/>
              <w:spacing w:line="360" w:lineRule="auto"/>
              <w:ind w:firstLine="482"/>
              <w:jc w:val="both"/>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w:t>
            </w:r>
            <w:r>
              <w:rPr>
                <w:rFonts w:hint="eastAsia" w:ascii="Times New Roman" w:hAnsi="Times New Roman" w:eastAsia="宋体" w:cs="Times New Roman"/>
                <w:color w:val="auto"/>
                <w:sz w:val="24"/>
                <w:szCs w:val="24"/>
                <w:highlight w:val="none"/>
                <w:lang w:val="en-US" w:eastAsia="zh-CN"/>
              </w:rPr>
              <w:t>机加工</w:t>
            </w:r>
            <w:r>
              <w:rPr>
                <w:rFonts w:hint="eastAsia" w:cs="Times New Roman"/>
                <w:color w:val="auto"/>
                <w:kern w:val="0"/>
                <w:sz w:val="24"/>
                <w:szCs w:val="24"/>
                <w:highlight w:val="none"/>
                <w:lang w:val="en-US" w:eastAsia="zh-CN"/>
              </w:rPr>
              <w:t>废气经油雾净化装置处理后在车间无组织排放。</w:t>
            </w:r>
          </w:p>
          <w:p w14:paraId="5E643E22">
            <w:pPr>
              <w:keepNext w:val="0"/>
              <w:keepLines w:val="0"/>
              <w:pageBreakBefore w:val="0"/>
              <w:widowControl w:val="0"/>
              <w:kinsoku/>
              <w:wordWrap/>
              <w:overflowPunct/>
              <w:topLinePunct w:val="0"/>
              <w:bidi w:val="0"/>
              <w:snapToGrid/>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项目废气处理工艺流程如下图所示：</w:t>
            </w:r>
          </w:p>
          <w:p w14:paraId="1FD3BADC">
            <w:pPr>
              <w:keepNext w:val="0"/>
              <w:keepLines w:val="0"/>
              <w:pageBreakBefore w:val="0"/>
              <w:widowControl w:val="0"/>
              <w:kinsoku/>
              <w:wordWrap/>
              <w:overflowPunct/>
              <w:topLinePunct w:val="0"/>
              <w:bidi w:val="0"/>
              <w:snapToGrid/>
              <w:spacing w:line="360" w:lineRule="auto"/>
              <w:jc w:val="center"/>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object>
                <v:shape id="_x0000_i1029" o:spt="75" type="#_x0000_t75" style="height:39.25pt;width:444.45pt;" o:ole="t" filled="f" o:preferrelative="t" stroked="f" coordsize="21600,21600">
                  <v:path/>
                  <v:fill on="f" focussize="0,0"/>
                  <v:stroke on="f"/>
                  <v:imagedata r:id="rId19" o:title=""/>
                  <o:lock v:ext="edit" aspectratio="f"/>
                  <w10:wrap type="none"/>
                  <w10:anchorlock/>
                </v:shape>
                <o:OLEObject Type="Embed" ProgID="Visio.Drawing.15" ShapeID="_x0000_i1029" DrawAspect="Content" ObjectID="_1468075729" r:id="rId18">
                  <o:LockedField>false</o:LockedField>
                </o:OLEObject>
              </w:object>
            </w:r>
          </w:p>
          <w:p w14:paraId="510CB46D">
            <w:pPr>
              <w:pStyle w:val="9"/>
              <w:ind w:left="0" w:leftChars="0" w:firstLine="0" w:firstLineChars="0"/>
              <w:jc w:val="center"/>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图4-1  项目废气治理工艺流程图</w:t>
            </w:r>
          </w:p>
          <w:p w14:paraId="66D36FF0">
            <w:pPr>
              <w:keepNext w:val="0"/>
              <w:keepLines w:val="0"/>
              <w:pageBreakBefore w:val="0"/>
              <w:widowControl w:val="0"/>
              <w:kinsoku/>
              <w:wordWrap/>
              <w:overflowPunct/>
              <w:topLinePunct w:val="0"/>
              <w:bidi w:val="0"/>
              <w:snapToGrid/>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废气处理</w:t>
            </w:r>
            <w:r>
              <w:rPr>
                <w:rFonts w:hint="eastAsia" w:ascii="Times New Roman" w:hAnsi="Times New Roman" w:eastAsia="宋体" w:cs="Times New Roman"/>
                <w:color w:val="auto"/>
                <w:sz w:val="24"/>
                <w:szCs w:val="24"/>
                <w:highlight w:val="none"/>
                <w:lang w:val="en-US" w:eastAsia="zh-CN"/>
              </w:rPr>
              <w:t>技术可行性分析</w:t>
            </w:r>
          </w:p>
          <w:p w14:paraId="356ECE6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color w:val="auto"/>
                <w:kern w:val="0"/>
                <w:sz w:val="24"/>
                <w:highlight w:val="none"/>
                <w:lang w:eastAsia="zh-CN"/>
              </w:rPr>
            </w:pPr>
            <w:r>
              <w:rPr>
                <w:rFonts w:hint="eastAsia" w:ascii="Times New Roman" w:hAnsi="Times New Roman" w:eastAsia="宋体" w:cs="Times New Roman"/>
                <w:b/>
                <w:bCs/>
                <w:color w:val="auto"/>
                <w:kern w:val="0"/>
                <w:sz w:val="24"/>
                <w:highlight w:val="none"/>
              </w:rPr>
              <w:t>油雾净化</w:t>
            </w:r>
            <w:r>
              <w:rPr>
                <w:rFonts w:hint="eastAsia" w:ascii="Times New Roman" w:hAnsi="Times New Roman" w:eastAsia="宋体" w:cs="Times New Roman"/>
                <w:b/>
                <w:bCs/>
                <w:color w:val="auto"/>
                <w:kern w:val="0"/>
                <w:sz w:val="24"/>
                <w:highlight w:val="none"/>
                <w:lang w:val="en-US" w:eastAsia="zh-CN"/>
              </w:rPr>
              <w:t>装置</w:t>
            </w:r>
            <w:r>
              <w:rPr>
                <w:rFonts w:hint="eastAsia" w:ascii="Times New Roman" w:hAnsi="Times New Roman" w:eastAsia="宋体" w:cs="Times New Roman"/>
                <w:b/>
                <w:bCs/>
                <w:color w:val="auto"/>
                <w:kern w:val="0"/>
                <w:sz w:val="24"/>
                <w:highlight w:val="none"/>
              </w:rPr>
              <w:t>工作原理：</w:t>
            </w:r>
            <w:r>
              <w:rPr>
                <w:rFonts w:hint="eastAsia" w:ascii="Times New Roman" w:hAnsi="Times New Roman" w:eastAsia="宋体" w:cs="Times New Roman"/>
                <w:color w:val="auto"/>
                <w:kern w:val="0"/>
                <w:sz w:val="24"/>
                <w:highlight w:val="none"/>
              </w:rPr>
              <w:t>本项目油雾净化器采用离心分离技术，在圆形壳体内，由高速电机带动有孔和叶片的转鼓高速旋转，将油雾收集至转鼓中，经离心旋转撞击到壳体内壁的金属丝网，形成大的油滴继续流回使用，气体经顶部的过滤器过滤后排出。作为一种常用的机加工废气处理装置，油雾净化器能够较为有效</w:t>
            </w:r>
            <w:r>
              <w:rPr>
                <w:rFonts w:hint="eastAsia" w:ascii="Times New Roman" w:hAnsi="Times New Roman" w:eastAsia="宋体" w:cs="Times New Roman"/>
                <w:color w:val="auto"/>
                <w:kern w:val="0"/>
                <w:sz w:val="24"/>
                <w:highlight w:val="none"/>
                <w:lang w:eastAsia="zh-CN"/>
              </w:rPr>
              <w:t>地</w:t>
            </w:r>
            <w:r>
              <w:rPr>
                <w:rFonts w:hint="eastAsia" w:ascii="Times New Roman" w:hAnsi="Times New Roman" w:eastAsia="宋体" w:cs="Times New Roman"/>
                <w:color w:val="auto"/>
                <w:kern w:val="0"/>
                <w:sz w:val="24"/>
                <w:highlight w:val="none"/>
              </w:rPr>
              <w:t>去除油雾废气。本项目属于C3311金属结构制造</w:t>
            </w:r>
            <w:r>
              <w:rPr>
                <w:rFonts w:hint="eastAsia" w:cs="Times New Roman"/>
                <w:color w:val="auto"/>
                <w:kern w:val="0"/>
                <w:sz w:val="24"/>
                <w:highlight w:val="none"/>
                <w:lang w:val="en-US" w:eastAsia="zh-CN"/>
              </w:rPr>
              <w:t>和</w:t>
            </w:r>
            <w:r>
              <w:rPr>
                <w:rFonts w:hint="eastAsia" w:ascii="Times New Roman" w:hAnsi="Times New Roman" w:eastAsia="宋体" w:cs="Times New Roman"/>
                <w:color w:val="auto"/>
                <w:kern w:val="0"/>
                <w:sz w:val="24"/>
                <w:highlight w:val="none"/>
              </w:rPr>
              <w:t>C3741飞机制造，参考《排污许可证申请与核发技术规范铁路、船舶、航空航天和其他运输设备制造业》（HJ 1124-2020）中机加工油雾可行技术规范涉及油雾净化装置，项目所用的废气处理技术属于排污许可证申请与核发技术规范中的推荐可行技术</w:t>
            </w:r>
            <w:r>
              <w:rPr>
                <w:rFonts w:hint="eastAsia" w:ascii="Times New Roman" w:hAnsi="Times New Roman" w:eastAsia="宋体" w:cs="Times New Roman"/>
                <w:color w:val="auto"/>
                <w:kern w:val="0"/>
                <w:sz w:val="24"/>
                <w:highlight w:val="none"/>
                <w:lang w:eastAsia="zh-CN"/>
              </w:rPr>
              <w:t>；</w:t>
            </w:r>
            <w:r>
              <w:rPr>
                <w:rFonts w:hint="eastAsia" w:ascii="Times New Roman" w:hAnsi="Times New Roman" w:eastAsia="宋体" w:cs="Times New Roman"/>
                <w:color w:val="auto"/>
                <w:kern w:val="0"/>
                <w:sz w:val="24"/>
                <w:highlight w:val="none"/>
                <w:lang w:val="en-US" w:eastAsia="zh-CN"/>
              </w:rPr>
              <w:t>对照《国家污染防治技术指导目录（2025年）》，油雾净化装置不属于低效类技术，因此该</w:t>
            </w:r>
            <w:r>
              <w:rPr>
                <w:rFonts w:hint="eastAsia" w:ascii="Times New Roman" w:hAnsi="Times New Roman" w:eastAsia="宋体" w:cs="Times New Roman"/>
                <w:color w:val="auto"/>
                <w:kern w:val="0"/>
                <w:sz w:val="24"/>
                <w:highlight w:val="none"/>
              </w:rPr>
              <w:t>废气处理技术可行</w:t>
            </w:r>
            <w:r>
              <w:rPr>
                <w:rFonts w:hint="eastAsia" w:ascii="Times New Roman" w:hAnsi="Times New Roman" w:eastAsia="宋体" w:cs="Times New Roman"/>
                <w:color w:val="auto"/>
                <w:kern w:val="0"/>
                <w:sz w:val="24"/>
                <w:highlight w:val="none"/>
                <w:lang w:eastAsia="zh-CN"/>
              </w:rPr>
              <w:t>。</w:t>
            </w:r>
          </w:p>
          <w:p w14:paraId="377E1B2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highlight w:val="none"/>
              </w:rPr>
            </w:pPr>
            <w:r>
              <w:rPr>
                <w:rFonts w:hint="eastAsia" w:cs="Times New Roman"/>
                <w:b/>
                <w:bCs/>
                <w:color w:val="auto"/>
                <w:sz w:val="24"/>
                <w:highlight w:val="none"/>
                <w:lang w:val="en-US" w:eastAsia="zh-CN"/>
              </w:rPr>
              <w:t xml:space="preserve">1.6  </w:t>
            </w:r>
            <w:r>
              <w:rPr>
                <w:rFonts w:hint="default" w:ascii="Times New Roman" w:hAnsi="Times New Roman" w:cs="Times New Roman"/>
                <w:b/>
                <w:bCs/>
                <w:color w:val="auto"/>
                <w:sz w:val="24"/>
                <w:highlight w:val="none"/>
              </w:rPr>
              <w:t>卫生防护距离</w:t>
            </w:r>
          </w:p>
          <w:p w14:paraId="54371D21">
            <w:pPr>
              <w:keepNext w:val="0"/>
              <w:keepLines w:val="0"/>
              <w:pageBreakBefore w:val="0"/>
              <w:widowControl w:val="0"/>
              <w:kinsoku/>
              <w:overflowPunct/>
              <w:topLinePunct w:val="0"/>
              <w:autoSpaceDE/>
              <w:autoSpaceDN/>
              <w:bidi w:val="0"/>
              <w:spacing w:line="360" w:lineRule="auto"/>
              <w:ind w:firstLine="480"/>
              <w:textAlignment w:val="auto"/>
              <w:rPr>
                <w:rFonts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w:t>
            </w:r>
            <w:r>
              <w:rPr>
                <w:rFonts w:hint="eastAsia" w:cs="Times New Roman"/>
                <w:color w:val="auto"/>
                <w:sz w:val="24"/>
                <w:szCs w:val="24"/>
                <w:highlight w:val="none"/>
                <w:lang w:val="en-US" w:eastAsia="zh-CN"/>
              </w:rPr>
              <w:t>污染物只有非甲烷总烃，因此</w:t>
            </w:r>
            <w:r>
              <w:rPr>
                <w:rFonts w:hint="default" w:ascii="Times New Roman" w:hAnsi="Times New Roman" w:eastAsia="宋体" w:cs="Times New Roman"/>
                <w:color w:val="auto"/>
                <w:sz w:val="24"/>
                <w:szCs w:val="24"/>
                <w:highlight w:val="none"/>
              </w:rPr>
              <w:t>选取无组织排放的</w:t>
            </w:r>
            <w:r>
              <w:rPr>
                <w:rFonts w:hint="eastAsia" w:cs="Times New Roman"/>
                <w:color w:val="auto"/>
                <w:sz w:val="24"/>
                <w:szCs w:val="24"/>
                <w:highlight w:val="none"/>
                <w:lang w:val="en-US" w:eastAsia="zh-CN"/>
              </w:rPr>
              <w:t>非甲烷总烃</w:t>
            </w:r>
            <w:r>
              <w:rPr>
                <w:rFonts w:hint="default" w:ascii="Times New Roman" w:hAnsi="Times New Roman" w:eastAsia="宋体" w:cs="Times New Roman"/>
                <w:color w:val="auto"/>
                <w:sz w:val="24"/>
                <w:szCs w:val="24"/>
                <w:highlight w:val="none"/>
              </w:rPr>
              <w:t>来计算卫生防护距离，卫生防护距离初值计算公式采用《制定地方大气污染物排放标准的技术方法》</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GB/T3840-1991</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中 7.4推荐的估算方法进行计算，计算公式如下</w:t>
            </w:r>
            <w:r>
              <w:rPr>
                <w:rFonts w:hint="eastAsia" w:ascii="Times New Roman" w:hAnsi="Times New Roman" w:eastAsia="宋体" w:cs="Times New Roman"/>
                <w:color w:val="auto"/>
                <w:sz w:val="24"/>
                <w:szCs w:val="24"/>
                <w:highlight w:val="none"/>
                <w:lang w:eastAsia="zh-CN"/>
              </w:rPr>
              <w:t>：</w:t>
            </w:r>
          </w:p>
          <w:p w14:paraId="6CCE75D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ascii="Times New Roman" w:hAnsi="Times New Roman" w:cs="Times New Roman"/>
                <w:color w:val="auto"/>
                <w:sz w:val="24"/>
                <w:szCs w:val="24"/>
                <w:highlight w:val="none"/>
              </w:rPr>
            </w:pPr>
            <w:r>
              <w:rPr>
                <w:rFonts w:ascii="Times New Roman" w:hAnsi="Times New Roman" w:cs="Times New Roman"/>
                <w:color w:val="auto"/>
                <w:position w:val="-30"/>
                <w:sz w:val="24"/>
                <w:szCs w:val="24"/>
                <w:highlight w:val="none"/>
              </w:rPr>
              <w:object>
                <v:shape id="_x0000_i1030" o:spt="75" type="#_x0000_t75" style="height:35.3pt;width:154.85pt;" o:ole="t" filled="f" stroked="f" coordsize="21600,21600">
                  <v:path/>
                  <v:fill on="f" focussize="0,0"/>
                  <v:stroke on="f"/>
                  <v:imagedata r:id="rId21" o:title=""/>
                  <o:lock v:ext="edit" aspectratio="t"/>
                  <w10:wrap type="none"/>
                  <w10:anchorlock/>
                </v:shape>
                <o:OLEObject Type="Embed" ProgID="Equation.3" ShapeID="_x0000_i1030" DrawAspect="Content" ObjectID="_1468075730" r:id="rId20">
                  <o:LockedField>false</o:LockedField>
                </o:OLEObject>
              </w:object>
            </w:r>
          </w:p>
          <w:p w14:paraId="229F3960">
            <w:pPr>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式中：Qc—大气有害物质的无组织排放量，单位为千克每小时（kg/h）；</w:t>
            </w:r>
          </w:p>
          <w:p w14:paraId="1871B702">
            <w:pPr>
              <w:keepNext w:val="0"/>
              <w:keepLines w:val="0"/>
              <w:pageBreakBefore w:val="0"/>
              <w:widowControl w:val="0"/>
              <w:kinsoku/>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C</w:t>
            </w:r>
            <w:r>
              <w:rPr>
                <w:rFonts w:hint="default" w:ascii="Times New Roman" w:hAnsi="Times New Roman" w:cs="Times New Roman"/>
                <w:color w:val="auto"/>
                <w:sz w:val="24"/>
                <w:szCs w:val="24"/>
                <w:highlight w:val="none"/>
                <w:vertAlign w:val="subscript"/>
              </w:rPr>
              <w:t>m</w:t>
            </w:r>
            <w:r>
              <w:rPr>
                <w:rFonts w:hint="default" w:ascii="Times New Roman" w:hAnsi="Times New Roman" w:cs="Times New Roman"/>
                <w:color w:val="auto"/>
                <w:sz w:val="24"/>
                <w:szCs w:val="24"/>
                <w:highlight w:val="none"/>
              </w:rPr>
              <w:t>—大气有害物质环境空气质量的标准限值，单位为毫克每立方米（mg/m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w:t>
            </w:r>
          </w:p>
          <w:p w14:paraId="35DFDCC3">
            <w:pPr>
              <w:keepNext w:val="0"/>
              <w:keepLines w:val="0"/>
              <w:pageBreakBefore w:val="0"/>
              <w:widowControl w:val="0"/>
              <w:kinsoku/>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L—大气有害物质卫生防护距离初值，单位为米（m）；</w:t>
            </w:r>
          </w:p>
          <w:p w14:paraId="661B441D">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r—有害气体无组织排放源所在生产单元等效半径，单位为米（m）；</w:t>
            </w:r>
          </w:p>
          <w:p w14:paraId="67CD8B95">
            <w:pPr>
              <w:keepNext w:val="0"/>
              <w:keepLines w:val="0"/>
              <w:pageBreakBefore w:val="0"/>
              <w:widowControl w:val="0"/>
              <w:kinsoku/>
              <w:overflowPunct/>
              <w:topLinePunct w:val="0"/>
              <w:autoSpaceDE/>
              <w:autoSpaceDN/>
              <w:bidi w:val="0"/>
              <w:spacing w:line="360" w:lineRule="auto"/>
              <w:ind w:firstLine="48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A、B、C、D—卫生防护距离计算系数，无因次，根据工业企业所在地区近五年平均风速，及工业企业大气污染源构成类</w:t>
            </w:r>
            <w:r>
              <w:rPr>
                <w:rFonts w:hint="default" w:ascii="Times New Roman" w:hAnsi="Times New Roman" w:cs="Times New Roman"/>
                <w:color w:val="auto"/>
                <w:sz w:val="24"/>
                <w:highlight w:val="none"/>
                <w:lang w:val="en-US" w:eastAsia="zh-CN"/>
              </w:rPr>
              <w:t>别</w:t>
            </w:r>
            <w:r>
              <w:rPr>
                <w:rFonts w:hint="default" w:ascii="Times New Roman" w:hAnsi="Times New Roman" w:cs="Times New Roman"/>
                <w:color w:val="auto"/>
                <w:sz w:val="24"/>
                <w:highlight w:val="none"/>
              </w:rPr>
              <w:t>从表中查取。</w:t>
            </w:r>
          </w:p>
          <w:p w14:paraId="35A2CD9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color w:val="auto"/>
                <w:spacing w:val="-6"/>
                <w:sz w:val="24"/>
                <w:szCs w:val="24"/>
                <w:highlight w:val="none"/>
              </w:rPr>
            </w:pPr>
            <w:r>
              <w:rPr>
                <w:rFonts w:hint="eastAsia" w:cs="Times New Roman"/>
                <w:snapToGrid w:val="0"/>
                <w:color w:val="auto"/>
                <w:kern w:val="0"/>
                <w:sz w:val="24"/>
                <w:szCs w:val="24"/>
                <w:highlight w:val="none"/>
                <w:lang w:val="en-US" w:eastAsia="zh-CN"/>
              </w:rPr>
              <w:t>本次污染物仅非甲烷总烃，且废气仅定性分析，未定量</w:t>
            </w:r>
            <w:r>
              <w:rPr>
                <w:rFonts w:hint="default" w:ascii="Times New Roman" w:hAnsi="Times New Roman" w:cs="Times New Roman"/>
                <w:snapToGrid w:val="0"/>
                <w:color w:val="auto"/>
                <w:kern w:val="0"/>
                <w:sz w:val="24"/>
                <w:szCs w:val="24"/>
                <w:highlight w:val="none"/>
                <w:lang w:val="en-US" w:eastAsia="zh-CN"/>
              </w:rPr>
              <w:t>，同时考虑到非甲烷总烃污染物为多种物质混合物，确定本项目实施后，以车间为边界向外设置100m为本项目的卫生防护距离，目前在本项目卫生防护距离范围内无居住区等敏感保护目标，满足卫生防护距离的设置要求。项目建成后，卫生防护距离内不得新建居住区、医院、学校等生活环境敏感点。</w:t>
            </w:r>
          </w:p>
          <w:p w14:paraId="645D3F83">
            <w:pPr>
              <w:pStyle w:val="21"/>
              <w:keepNext w:val="0"/>
              <w:keepLines w:val="0"/>
              <w:pageBreakBefore w:val="0"/>
              <w:widowControl w:val="0"/>
              <w:kinsoku/>
              <w:wordWrap/>
              <w:overflowPunct/>
              <w:topLinePunct w:val="0"/>
              <w:bidi w:val="0"/>
              <w:snapToGrid/>
              <w:spacing w:after="0" w:line="360" w:lineRule="auto"/>
              <w:ind w:left="0" w:leftChars="0" w:firstLine="0" w:firstLineChars="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1.</w:t>
            </w: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rPr>
              <w:t xml:space="preserve">  大气环境影响分析</w:t>
            </w:r>
          </w:p>
          <w:p w14:paraId="49994AB5">
            <w:pPr>
              <w:keepNext w:val="0"/>
              <w:keepLines w:val="0"/>
              <w:pageBreakBefore w:val="0"/>
              <w:widowControl w:val="0"/>
              <w:kinsoku/>
              <w:wordWrap/>
              <w:overflowPunct/>
              <w:topLinePunct w:val="0"/>
              <w:bidi w:val="0"/>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本项目营运期主要污染物为</w:t>
            </w:r>
            <w:r>
              <w:rPr>
                <w:rFonts w:hint="eastAsia" w:cs="Times New Roman"/>
                <w:color w:val="auto"/>
                <w:sz w:val="24"/>
                <w:szCs w:val="24"/>
                <w:highlight w:val="none"/>
                <w:lang w:val="en-US" w:eastAsia="zh-CN"/>
              </w:rPr>
              <w:t>非甲烷总烃</w:t>
            </w:r>
            <w:r>
              <w:rPr>
                <w:rFonts w:hint="default" w:ascii="Times New Roman" w:hAnsi="Times New Roman" w:eastAsia="宋体" w:cs="Times New Roman"/>
                <w:color w:val="auto"/>
                <w:sz w:val="24"/>
                <w:szCs w:val="24"/>
                <w:highlight w:val="none"/>
                <w:lang w:val="en-US" w:eastAsia="zh-CN"/>
              </w:rPr>
              <w:t>等</w:t>
            </w:r>
            <w:r>
              <w:rPr>
                <w:rFonts w:hint="default" w:ascii="Times New Roman" w:hAnsi="Times New Roman" w:eastAsia="宋体" w:cs="Times New Roman"/>
                <w:color w:val="auto"/>
                <w:sz w:val="24"/>
                <w:szCs w:val="24"/>
                <w:highlight w:val="none"/>
              </w:rPr>
              <w:t>，</w:t>
            </w:r>
            <w:r>
              <w:rPr>
                <w:rFonts w:ascii="Times New Roman" w:hAnsi="Times New Roman" w:cs="Times New Roman"/>
                <w:color w:val="auto"/>
                <w:sz w:val="24"/>
                <w:szCs w:val="21"/>
                <w:highlight w:val="none"/>
              </w:rPr>
              <w:t>本项目所在区域环境质量现状</w:t>
            </w:r>
            <w:r>
              <w:rPr>
                <w:rFonts w:hint="eastAsia" w:ascii="Times New Roman" w:hAnsi="Times New Roman" w:cs="Times New Roman"/>
                <w:color w:val="auto"/>
                <w:sz w:val="24"/>
                <w:szCs w:val="21"/>
                <w:highlight w:val="none"/>
              </w:rPr>
              <w:t>O</w:t>
            </w:r>
            <w:r>
              <w:rPr>
                <w:rFonts w:hint="eastAsia" w:ascii="Times New Roman" w:hAnsi="Times New Roman" w:cs="Times New Roman"/>
                <w:color w:val="auto"/>
                <w:sz w:val="24"/>
                <w:szCs w:val="21"/>
                <w:highlight w:val="none"/>
                <w:vertAlign w:val="subscript"/>
              </w:rPr>
              <w:t>3</w:t>
            </w:r>
            <w:r>
              <w:rPr>
                <w:rFonts w:ascii="Times New Roman" w:hAnsi="Times New Roman" w:cs="Times New Roman"/>
                <w:color w:val="auto"/>
                <w:sz w:val="24"/>
                <w:szCs w:val="21"/>
                <w:highlight w:val="none"/>
              </w:rPr>
              <w:t>超标，其他污染物达标；</w:t>
            </w:r>
            <w:r>
              <w:rPr>
                <w:rFonts w:hint="eastAsia" w:ascii="Times New Roman" w:hAnsi="Times New Roman" w:cs="Times New Roman"/>
                <w:color w:val="auto"/>
                <w:sz w:val="24"/>
                <w:szCs w:val="21"/>
                <w:highlight w:val="none"/>
                <w:lang w:val="en-US" w:eastAsia="zh-CN"/>
              </w:rPr>
              <w:t>以生产车间边界</w:t>
            </w:r>
            <w:r>
              <w:rPr>
                <w:rFonts w:hint="eastAsia" w:ascii="Times New Roman" w:hAnsi="Times New Roman" w:cs="Times New Roman"/>
                <w:color w:val="auto"/>
                <w:sz w:val="24"/>
                <w:szCs w:val="21"/>
                <w:highlight w:val="none"/>
                <w:lang w:eastAsia="zh-CN"/>
              </w:rPr>
              <w:t>设置</w:t>
            </w:r>
            <w:r>
              <w:rPr>
                <w:rFonts w:hint="eastAsia" w:cs="Times New Roman"/>
                <w:color w:val="auto"/>
                <w:sz w:val="24"/>
                <w:szCs w:val="21"/>
                <w:highlight w:val="none"/>
                <w:lang w:val="en-US" w:eastAsia="zh-CN"/>
              </w:rPr>
              <w:t>100</w:t>
            </w:r>
            <w:r>
              <w:rPr>
                <w:rFonts w:hint="eastAsia" w:ascii="Times New Roman" w:hAnsi="Times New Roman" w:cs="Times New Roman"/>
                <w:color w:val="auto"/>
                <w:sz w:val="24"/>
                <w:szCs w:val="21"/>
                <w:highlight w:val="none"/>
                <w:lang w:val="en-US" w:eastAsia="zh-CN"/>
              </w:rPr>
              <w:t>米</w:t>
            </w:r>
            <w:r>
              <w:rPr>
                <w:rFonts w:hint="eastAsia" w:ascii="Times New Roman" w:hAnsi="Times New Roman" w:cs="Times New Roman"/>
                <w:color w:val="auto"/>
                <w:sz w:val="24"/>
                <w:szCs w:val="21"/>
                <w:highlight w:val="none"/>
              </w:rPr>
              <w:t>卫生防护距离</w:t>
            </w:r>
            <w:r>
              <w:rPr>
                <w:rFonts w:hint="eastAsia" w:ascii="Times New Roman" w:hAnsi="Times New Roman" w:cs="Times New Roman"/>
                <w:color w:val="auto"/>
                <w:sz w:val="24"/>
                <w:szCs w:val="21"/>
                <w:highlight w:val="none"/>
                <w:lang w:eastAsia="zh-CN"/>
              </w:rPr>
              <w:t>，</w:t>
            </w:r>
            <w:r>
              <w:rPr>
                <w:rFonts w:hint="default" w:ascii="Times New Roman" w:hAnsi="Times New Roman" w:cs="Times New Roman"/>
                <w:color w:val="auto"/>
                <w:sz w:val="24"/>
                <w:highlight w:val="none"/>
              </w:rPr>
              <w:t>卫生防护距离</w:t>
            </w:r>
            <w:r>
              <w:rPr>
                <w:rFonts w:ascii="Times New Roman" w:hAnsi="Times New Roman" w:cs="Times New Roman"/>
                <w:color w:val="auto"/>
                <w:sz w:val="24"/>
                <w:szCs w:val="21"/>
                <w:highlight w:val="none"/>
              </w:rPr>
              <w:t>内无环境保护目标；项目采取的污染治理措施为可行技术，无组织废气</w:t>
            </w:r>
            <w:r>
              <w:rPr>
                <w:rFonts w:hint="eastAsia" w:cs="Times New Roman"/>
                <w:color w:val="auto"/>
                <w:sz w:val="24"/>
                <w:szCs w:val="21"/>
                <w:highlight w:val="none"/>
                <w:lang w:val="en-US" w:eastAsia="zh-CN"/>
              </w:rPr>
              <w:t>满足厂界达标要求</w:t>
            </w:r>
            <w:r>
              <w:rPr>
                <w:rFonts w:ascii="Times New Roman" w:hAnsi="Times New Roman" w:cs="Times New Roman"/>
                <w:color w:val="auto"/>
                <w:sz w:val="24"/>
                <w:szCs w:val="21"/>
                <w:highlight w:val="none"/>
              </w:rPr>
              <w:t>，对周围大气环境的影响较小，不会改变项目所在地的环境功能级别</w:t>
            </w:r>
            <w:r>
              <w:rPr>
                <w:rFonts w:hint="default" w:ascii="Times New Roman" w:hAnsi="Times New Roman" w:eastAsia="宋体" w:cs="Times New Roman"/>
                <w:color w:val="auto"/>
                <w:sz w:val="24"/>
                <w:szCs w:val="24"/>
                <w:highlight w:val="none"/>
              </w:rPr>
              <w:t>。</w:t>
            </w:r>
          </w:p>
          <w:p w14:paraId="134CCB44">
            <w:pPr>
              <w:keepNext w:val="0"/>
              <w:keepLines w:val="0"/>
              <w:pageBreakBefore w:val="0"/>
              <w:widowControl w:val="0"/>
              <w:kinsoku/>
              <w:wordWrap/>
              <w:overflowPunct/>
              <w:topLinePunct w:val="0"/>
              <w:bidi w:val="0"/>
              <w:snapToGrid/>
              <w:spacing w:line="360" w:lineRule="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eastAsia"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rPr>
              <w:t xml:space="preserve">  废气监测计划</w:t>
            </w:r>
          </w:p>
          <w:p w14:paraId="22B7B345">
            <w:pPr>
              <w:pStyle w:val="28"/>
              <w:spacing w:line="360" w:lineRule="auto"/>
              <w:ind w:firstLine="480" w:firstLineChars="200"/>
              <w:jc w:val="both"/>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根据</w:t>
            </w:r>
            <w:r>
              <w:rPr>
                <w:rFonts w:hint="default" w:ascii="Times New Roman" w:hAnsi="Times New Roman" w:cs="Times New Roman"/>
                <w:color w:val="auto"/>
                <w:sz w:val="24"/>
                <w:szCs w:val="24"/>
                <w:highlight w:val="none"/>
              </w:rPr>
              <w:t>《排污单位自行监测技术指南 总则》（HJ 819-2017）制定并实施切实可行的环境监测计划</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监测计划</w:t>
            </w:r>
            <w:r>
              <w:rPr>
                <w:rFonts w:hint="default" w:ascii="Times New Roman" w:hAnsi="Times New Roman" w:cs="Times New Roman"/>
                <w:color w:val="auto"/>
                <w:sz w:val="24"/>
                <w:szCs w:val="24"/>
                <w:highlight w:val="none"/>
                <w:lang w:val="en-US" w:eastAsia="zh-CN"/>
              </w:rPr>
              <w:t>如</w:t>
            </w:r>
            <w:r>
              <w:rPr>
                <w:rFonts w:hint="default" w:ascii="Times New Roman" w:hAnsi="Times New Roman" w:eastAsia="宋体" w:cs="Times New Roman"/>
                <w:color w:val="auto"/>
                <w:sz w:val="24"/>
                <w:szCs w:val="24"/>
                <w:highlight w:val="none"/>
              </w:rPr>
              <w:t>下表。</w:t>
            </w:r>
          </w:p>
          <w:p w14:paraId="107CD5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kern w:val="0"/>
                <w:sz w:val="24"/>
                <w:szCs w:val="24"/>
                <w:highlight w:val="none"/>
                <w:lang w:val="en-US" w:eastAsia="zh-CN"/>
              </w:rPr>
            </w:pPr>
            <w:r>
              <w:rPr>
                <w:rFonts w:hint="default" w:ascii="Times New Roman" w:hAnsi="Times New Roman" w:eastAsia="宋体" w:cs="Times New Roman"/>
                <w:b/>
                <w:color w:val="auto"/>
                <w:kern w:val="0"/>
                <w:sz w:val="24"/>
                <w:szCs w:val="24"/>
                <w:highlight w:val="none"/>
                <w:lang w:val="en-US" w:eastAsia="zh-CN"/>
              </w:rPr>
              <w:t>表4</w:t>
            </w:r>
            <w:r>
              <w:rPr>
                <w:rFonts w:hint="eastAsia" w:ascii="Times New Roman" w:hAnsi="Times New Roman" w:eastAsia="宋体" w:cs="Times New Roman"/>
                <w:b/>
                <w:color w:val="auto"/>
                <w:kern w:val="0"/>
                <w:sz w:val="24"/>
                <w:szCs w:val="24"/>
                <w:highlight w:val="none"/>
                <w:lang w:val="en-US" w:eastAsia="zh-CN"/>
              </w:rPr>
              <w:t>-</w:t>
            </w:r>
            <w:r>
              <w:rPr>
                <w:rFonts w:hint="eastAsia" w:cs="Times New Roman"/>
                <w:b/>
                <w:color w:val="auto"/>
                <w:kern w:val="0"/>
                <w:sz w:val="24"/>
                <w:szCs w:val="24"/>
                <w:highlight w:val="none"/>
                <w:lang w:val="en-US" w:eastAsia="zh-CN"/>
              </w:rPr>
              <w:t>9</w:t>
            </w:r>
            <w:r>
              <w:rPr>
                <w:rFonts w:hint="default" w:ascii="Times New Roman" w:hAnsi="Times New Roman" w:eastAsia="宋体" w:cs="Times New Roman"/>
                <w:b/>
                <w:color w:val="auto"/>
                <w:kern w:val="0"/>
                <w:sz w:val="24"/>
                <w:szCs w:val="24"/>
                <w:highlight w:val="none"/>
                <w:lang w:val="en-US" w:eastAsia="zh-CN"/>
              </w:rPr>
              <w:t xml:space="preserve">  项目废气自行监测要求表</w:t>
            </w:r>
          </w:p>
          <w:tbl>
            <w:tblPr>
              <w:tblStyle w:val="22"/>
              <w:tblW w:w="5000"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1396"/>
              <w:gridCol w:w="1462"/>
              <w:gridCol w:w="4633"/>
            </w:tblGrid>
            <w:tr w14:paraId="35DD999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1023" w:type="pct"/>
                  <w:tcBorders>
                    <w:tl2br w:val="nil"/>
                    <w:tr2bl w:val="nil"/>
                  </w:tcBorders>
                  <w:vAlign w:val="center"/>
                </w:tcPr>
                <w:p w14:paraId="0F813C6F">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监测点位</w:t>
                  </w:r>
                </w:p>
              </w:tc>
              <w:tc>
                <w:tcPr>
                  <w:tcW w:w="741" w:type="pct"/>
                  <w:tcBorders>
                    <w:tl2br w:val="nil"/>
                    <w:tr2bl w:val="nil"/>
                  </w:tcBorders>
                  <w:vAlign w:val="center"/>
                </w:tcPr>
                <w:p w14:paraId="00541A53">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监测因子</w:t>
                  </w:r>
                </w:p>
              </w:tc>
              <w:tc>
                <w:tcPr>
                  <w:tcW w:w="776" w:type="pct"/>
                  <w:tcBorders>
                    <w:tl2br w:val="nil"/>
                    <w:tr2bl w:val="nil"/>
                  </w:tcBorders>
                  <w:vAlign w:val="center"/>
                </w:tcPr>
                <w:p w14:paraId="16DB378B">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监测频次</w:t>
                  </w:r>
                </w:p>
              </w:tc>
              <w:tc>
                <w:tcPr>
                  <w:tcW w:w="2458" w:type="pct"/>
                  <w:tcBorders>
                    <w:tl2br w:val="nil"/>
                    <w:tr2bl w:val="nil"/>
                  </w:tcBorders>
                  <w:vAlign w:val="center"/>
                </w:tcPr>
                <w:p w14:paraId="19551082">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执行排放标准</w:t>
                  </w:r>
                </w:p>
              </w:tc>
            </w:tr>
            <w:tr w14:paraId="13874EA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1023" w:type="pct"/>
                  <w:tcBorders>
                    <w:tl2br w:val="nil"/>
                    <w:tr2bl w:val="nil"/>
                  </w:tcBorders>
                  <w:vAlign w:val="center"/>
                </w:tcPr>
                <w:p w14:paraId="13ECAD2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Cs/>
                      <w:color w:val="auto"/>
                      <w:sz w:val="21"/>
                      <w:szCs w:val="21"/>
                      <w:highlight w:val="none"/>
                    </w:rPr>
                    <w:t>厂界上风向1个，下风向3个点位</w:t>
                  </w:r>
                </w:p>
              </w:tc>
              <w:tc>
                <w:tcPr>
                  <w:tcW w:w="741" w:type="pct"/>
                  <w:tcBorders>
                    <w:tl2br w:val="nil"/>
                    <w:tr2bl w:val="nil"/>
                  </w:tcBorders>
                  <w:vAlign w:val="center"/>
                </w:tcPr>
                <w:p w14:paraId="2F88572F">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i w:val="0"/>
                      <w:iCs w:val="0"/>
                      <w:color w:val="auto"/>
                      <w:kern w:val="2"/>
                      <w:sz w:val="21"/>
                      <w:szCs w:val="21"/>
                      <w:highlight w:val="none"/>
                      <w:u w:val="none"/>
                      <w:lang w:val="en-US" w:eastAsia="zh-CN" w:bidi="ar-SA"/>
                    </w:rPr>
                    <w:t>非甲烷总烃</w:t>
                  </w:r>
                </w:p>
              </w:tc>
              <w:tc>
                <w:tcPr>
                  <w:tcW w:w="776" w:type="pct"/>
                  <w:tcBorders>
                    <w:tl2br w:val="nil"/>
                    <w:tr2bl w:val="nil"/>
                  </w:tcBorders>
                  <w:vAlign w:val="center"/>
                </w:tcPr>
                <w:p w14:paraId="57F70C72">
                  <w:pPr>
                    <w:pStyle w:val="29"/>
                    <w:pageBreakBefore w:val="0"/>
                    <w:kinsoku/>
                    <w:bidi w:val="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1次/年</w:t>
                  </w:r>
                </w:p>
              </w:tc>
              <w:tc>
                <w:tcPr>
                  <w:tcW w:w="2458" w:type="pct"/>
                  <w:tcBorders>
                    <w:tl2br w:val="nil"/>
                    <w:tr2bl w:val="nil"/>
                  </w:tcBorders>
                  <w:vAlign w:val="center"/>
                </w:tcPr>
                <w:p w14:paraId="3A365ED8">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《大气污染物综合排放标准》（DB</w:t>
                  </w:r>
                  <w:r>
                    <w:rPr>
                      <w:rFonts w:hint="eastAsia" w:eastAsia="仿宋" w:cs="Times New Roman"/>
                      <w:color w:val="auto"/>
                      <w:sz w:val="21"/>
                      <w:szCs w:val="21"/>
                      <w:highlight w:val="none"/>
                      <w:lang w:val="en-US" w:eastAsia="zh-CN"/>
                    </w:rPr>
                    <w:t xml:space="preserve"> </w:t>
                  </w:r>
                  <w:r>
                    <w:rPr>
                      <w:rFonts w:hint="default" w:ascii="Times New Roman" w:hAnsi="Times New Roman" w:eastAsia="仿宋" w:cs="Times New Roman"/>
                      <w:color w:val="auto"/>
                      <w:sz w:val="21"/>
                      <w:szCs w:val="21"/>
                      <w:highlight w:val="none"/>
                    </w:rPr>
                    <w:t>32/4041-2021）表3</w:t>
                  </w:r>
                </w:p>
              </w:tc>
            </w:tr>
            <w:tr w14:paraId="3DCFBE9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1023" w:type="pct"/>
                  <w:tcBorders>
                    <w:tl2br w:val="nil"/>
                    <w:tr2bl w:val="nil"/>
                  </w:tcBorders>
                  <w:vAlign w:val="center"/>
                </w:tcPr>
                <w:p w14:paraId="08FBEAD0">
                  <w:pPr>
                    <w:pStyle w:val="29"/>
                    <w:pageBreakBefore w:val="0"/>
                    <w:kinsoku/>
                    <w:bidi w:val="0"/>
                    <w:jc w:val="center"/>
                    <w:rPr>
                      <w:rFonts w:hint="default" w:ascii="Times New Roman" w:hAnsi="Times New Roman" w:eastAsia="仿宋" w:cs="Times New Roman"/>
                      <w:bCs/>
                      <w:color w:val="auto"/>
                      <w:sz w:val="21"/>
                      <w:szCs w:val="21"/>
                      <w:highlight w:val="none"/>
                    </w:rPr>
                  </w:pPr>
                  <w:r>
                    <w:rPr>
                      <w:rFonts w:hint="eastAsia" w:eastAsia="仿宋" w:cs="Times New Roman"/>
                      <w:bCs/>
                      <w:color w:val="auto"/>
                      <w:sz w:val="21"/>
                      <w:szCs w:val="21"/>
                      <w:highlight w:val="none"/>
                      <w:lang w:val="en-US" w:eastAsia="zh-CN"/>
                    </w:rPr>
                    <w:t>厂区内</w:t>
                  </w:r>
                </w:p>
              </w:tc>
              <w:tc>
                <w:tcPr>
                  <w:tcW w:w="741" w:type="pct"/>
                  <w:tcBorders>
                    <w:tl2br w:val="nil"/>
                    <w:tr2bl w:val="nil"/>
                  </w:tcBorders>
                  <w:vAlign w:val="center"/>
                </w:tcPr>
                <w:p w14:paraId="4563C5A0">
                  <w:pPr>
                    <w:pageBreakBefore w:val="0"/>
                    <w:kinsoku/>
                    <w:bidi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kern w:val="2"/>
                      <w:sz w:val="21"/>
                      <w:szCs w:val="21"/>
                      <w:highlight w:val="none"/>
                      <w:lang w:val="en-US" w:eastAsia="zh-CN" w:bidi="ar"/>
                    </w:rPr>
                    <w:t>非甲烷总烃</w:t>
                  </w:r>
                </w:p>
              </w:tc>
              <w:tc>
                <w:tcPr>
                  <w:tcW w:w="776" w:type="pct"/>
                  <w:tcBorders>
                    <w:tl2br w:val="nil"/>
                    <w:tr2bl w:val="nil"/>
                  </w:tcBorders>
                  <w:vAlign w:val="center"/>
                </w:tcPr>
                <w:p w14:paraId="03C8ED73">
                  <w:pPr>
                    <w:pageBreakBefore w:val="0"/>
                    <w:kinsoku/>
                    <w:bidi w:val="0"/>
                    <w:snapToGrid w:val="0"/>
                    <w:jc w:val="center"/>
                    <w:rPr>
                      <w:rFonts w:hint="default" w:ascii="Times New Roman" w:hAnsi="Times New Roman" w:eastAsia="仿宋" w:cs="Times New Roman"/>
                      <w:color w:val="auto"/>
                      <w:sz w:val="21"/>
                      <w:szCs w:val="21"/>
                      <w:highlight w:val="none"/>
                    </w:rPr>
                  </w:pPr>
                  <w:r>
                    <w:rPr>
                      <w:rFonts w:eastAsia="仿宋"/>
                      <w:color w:val="auto"/>
                      <w:szCs w:val="21"/>
                      <w:highlight w:val="none"/>
                      <w:lang w:bidi="ar"/>
                    </w:rPr>
                    <w:t>1次/年</w:t>
                  </w:r>
                </w:p>
              </w:tc>
              <w:tc>
                <w:tcPr>
                  <w:tcW w:w="2458" w:type="pct"/>
                  <w:tcBorders>
                    <w:tl2br w:val="nil"/>
                    <w:tr2bl w:val="nil"/>
                  </w:tcBorders>
                  <w:vAlign w:val="center"/>
                </w:tcPr>
                <w:p w14:paraId="4AD1344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《挥发性有机物无组织排放控制标准》（GB37822-2019）附录A表A.1规定的特别排放限值</w:t>
                  </w:r>
                </w:p>
              </w:tc>
            </w:tr>
          </w:tbl>
          <w:p w14:paraId="0D732516">
            <w:pPr>
              <w:adjustRightInd w:val="0"/>
              <w:snapToGrid w:val="0"/>
              <w:spacing w:line="360" w:lineRule="auto"/>
              <w:rPr>
                <w:b/>
                <w:color w:val="auto"/>
                <w:sz w:val="24"/>
                <w:szCs w:val="24"/>
                <w:highlight w:val="none"/>
              </w:rPr>
            </w:pPr>
            <w:r>
              <w:rPr>
                <w:rFonts w:hint="eastAsia"/>
                <w:b/>
                <w:color w:val="auto"/>
                <w:sz w:val="24"/>
                <w:szCs w:val="24"/>
                <w:highlight w:val="none"/>
                <w:lang w:val="en-US" w:eastAsia="zh-CN"/>
              </w:rPr>
              <w:t>2、</w:t>
            </w:r>
            <w:r>
              <w:rPr>
                <w:b/>
                <w:color w:val="auto"/>
                <w:sz w:val="24"/>
                <w:szCs w:val="24"/>
                <w:highlight w:val="none"/>
              </w:rPr>
              <w:t>废水</w:t>
            </w:r>
          </w:p>
          <w:p w14:paraId="415AC920">
            <w:pPr>
              <w:spacing w:line="360" w:lineRule="auto"/>
              <w:ind w:firstLine="480" w:firstLineChars="200"/>
              <w:rPr>
                <w:rFonts w:hint="eastAsia"/>
                <w:color w:val="auto"/>
                <w:kern w:val="0"/>
                <w:sz w:val="24"/>
                <w:szCs w:val="24"/>
                <w:highlight w:val="none"/>
                <w:lang w:val="en-US" w:eastAsia="zh-CN"/>
              </w:rPr>
            </w:pPr>
            <w:r>
              <w:rPr>
                <w:rFonts w:hint="eastAsia"/>
                <w:color w:val="auto"/>
                <w:kern w:val="0"/>
                <w:sz w:val="24"/>
                <w:szCs w:val="24"/>
                <w:highlight w:val="none"/>
              </w:rPr>
              <w:t>本项目生产过程中的废水主要为生活污水</w:t>
            </w:r>
            <w:r>
              <w:rPr>
                <w:rFonts w:hint="eastAsia"/>
                <w:color w:val="auto"/>
                <w:highlight w:val="none"/>
                <w:lang w:eastAsia="zh-CN"/>
              </w:rPr>
              <w:t>，</w:t>
            </w:r>
            <w:r>
              <w:rPr>
                <w:rFonts w:hint="eastAsia"/>
                <w:color w:val="auto"/>
                <w:kern w:val="0"/>
                <w:sz w:val="24"/>
                <w:szCs w:val="24"/>
                <w:highlight w:val="none"/>
                <w:lang w:val="en-US" w:eastAsia="zh-CN"/>
              </w:rPr>
              <w:t>湿式去毛刺的水循环使用不外排。</w:t>
            </w:r>
          </w:p>
          <w:p w14:paraId="0CA9CAFA">
            <w:pPr>
              <w:spacing w:line="360" w:lineRule="auto"/>
              <w:ind w:firstLine="482" w:firstLineChars="200"/>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①生活污水</w:t>
            </w:r>
          </w:p>
          <w:p w14:paraId="3F118D39">
            <w:pPr>
              <w:spacing w:line="360" w:lineRule="auto"/>
              <w:ind w:firstLine="480" w:firstLineChars="200"/>
              <w:rPr>
                <w:rFonts w:hint="eastAsia"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bCs/>
                <w:color w:val="auto"/>
                <w:sz w:val="24"/>
                <w:szCs w:val="24"/>
                <w:highlight w:val="none"/>
              </w:rPr>
              <w:t>员工</w:t>
            </w:r>
            <w:r>
              <w:rPr>
                <w:rFonts w:hint="eastAsia" w:cs="Times New Roman"/>
                <w:bCs/>
                <w:color w:val="auto"/>
                <w:sz w:val="24"/>
                <w:szCs w:val="24"/>
                <w:highlight w:val="none"/>
                <w:lang w:val="en-US" w:eastAsia="zh-CN"/>
              </w:rPr>
              <w:t>25</w:t>
            </w:r>
            <w:r>
              <w:rPr>
                <w:rFonts w:hint="default" w:ascii="Times New Roman" w:hAnsi="Times New Roman" w:eastAsia="宋体" w:cs="Times New Roman"/>
                <w:bCs/>
                <w:color w:val="auto"/>
                <w:sz w:val="24"/>
                <w:szCs w:val="24"/>
                <w:highlight w:val="none"/>
              </w:rPr>
              <w:t>人</w:t>
            </w:r>
            <w:r>
              <w:rPr>
                <w:rFonts w:hint="default" w:ascii="Times New Roman" w:hAnsi="Times New Roman" w:eastAsia="宋体" w:cs="Times New Roman"/>
                <w:color w:val="auto"/>
                <w:sz w:val="24"/>
                <w:szCs w:val="24"/>
                <w:highlight w:val="none"/>
              </w:rPr>
              <w:t>，年运行天数</w:t>
            </w:r>
            <w:r>
              <w:rPr>
                <w:rFonts w:hint="eastAsia"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天</w:t>
            </w:r>
            <w:r>
              <w:rPr>
                <w:rFonts w:hint="default" w:ascii="Times New Roman" w:hAnsi="Times New Roman" w:eastAsia="宋体" w:cs="Times New Roman"/>
                <w:color w:val="auto"/>
                <w:sz w:val="24"/>
                <w:szCs w:val="24"/>
                <w:highlight w:val="none"/>
                <w:lang w:eastAsia="zh-CN"/>
              </w:rPr>
              <w:t>（</w:t>
            </w:r>
            <w:r>
              <w:rPr>
                <w:rFonts w:hint="eastAsia" w:cs="Times New Roman"/>
                <w:color w:val="auto"/>
                <w:sz w:val="24"/>
                <w:szCs w:val="24"/>
                <w:highlight w:val="none"/>
                <w:lang w:val="en-US" w:eastAsia="zh-CN"/>
              </w:rPr>
              <w:t>两</w:t>
            </w:r>
            <w:r>
              <w:rPr>
                <w:rFonts w:hint="default" w:ascii="Times New Roman" w:hAnsi="Times New Roman" w:eastAsia="宋体" w:cs="Times New Roman"/>
                <w:color w:val="auto"/>
                <w:sz w:val="24"/>
                <w:szCs w:val="24"/>
                <w:highlight w:val="none"/>
                <w:lang w:val="en-US" w:eastAsia="zh-CN"/>
              </w:rPr>
              <w:t>班制</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根据《建筑给水排水设计标准》</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GB50015-2019</w:t>
            </w:r>
            <w:r>
              <w:rPr>
                <w:rFonts w:hint="eastAsia" w:cs="Times New Roman"/>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中</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车</w:t>
            </w:r>
            <w:r>
              <w:rPr>
                <w:rFonts w:hint="default" w:ascii="Times New Roman" w:hAnsi="Times New Roman" w:eastAsia="宋体" w:cs="Times New Roman"/>
                <w:color w:val="auto"/>
                <w:sz w:val="24"/>
                <w:szCs w:val="24"/>
                <w:highlight w:val="none"/>
              </w:rPr>
              <w:t>间工人的生活用水定额应根据车间性质确定</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宜采用30L/</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人·班</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~50L/</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人·班</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本项目取</w:t>
            </w:r>
            <w:r>
              <w:rPr>
                <w:rFonts w:hint="default" w:ascii="Times New Roman" w:hAnsi="Times New Roman" w:eastAsia="宋体" w:cs="Times New Roman"/>
                <w:color w:val="auto"/>
                <w:sz w:val="24"/>
                <w:szCs w:val="24"/>
                <w:highlight w:val="none"/>
              </w:rPr>
              <w:t>50L/</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人·班</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则用水量为</w:t>
            </w:r>
            <w:r>
              <w:rPr>
                <w:rFonts w:hint="eastAsia" w:cs="Times New Roman"/>
                <w:color w:val="auto"/>
                <w:sz w:val="24"/>
                <w:szCs w:val="24"/>
                <w:highlight w:val="none"/>
                <w:lang w:val="en-US" w:eastAsia="zh-CN"/>
              </w:rPr>
              <w:t>375</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生活污水（</w:t>
            </w:r>
            <w:r>
              <w:rPr>
                <w:rFonts w:hint="eastAsia"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t/a，排污系数按0.8计）进入</w:t>
            </w:r>
            <w:r>
              <w:rPr>
                <w:rFonts w:hint="eastAsia" w:cs="Times New Roman"/>
                <w:color w:val="auto"/>
                <w:sz w:val="24"/>
                <w:szCs w:val="24"/>
                <w:highlight w:val="none"/>
                <w:lang w:eastAsia="zh-CN"/>
              </w:rPr>
              <w:t>苏州市相城区</w:t>
            </w:r>
            <w:r>
              <w:rPr>
                <w:rFonts w:hint="eastAsia" w:cs="Times New Roman"/>
                <w:color w:val="auto"/>
                <w:sz w:val="24"/>
                <w:szCs w:val="24"/>
                <w:highlight w:val="none"/>
                <w:lang w:val="en-US" w:eastAsia="zh-CN"/>
              </w:rPr>
              <w:t>漕湖</w:t>
            </w:r>
            <w:r>
              <w:rPr>
                <w:rFonts w:hint="eastAsia" w:cs="Times New Roman"/>
                <w:color w:val="auto"/>
                <w:sz w:val="24"/>
                <w:szCs w:val="24"/>
                <w:highlight w:val="none"/>
                <w:lang w:eastAsia="zh-CN"/>
              </w:rPr>
              <w:t>污水处理有限公司</w:t>
            </w:r>
            <w:r>
              <w:rPr>
                <w:rFonts w:hint="default" w:ascii="Times New Roman" w:hAnsi="Times New Roman" w:eastAsia="宋体" w:cs="Times New Roman"/>
                <w:color w:val="auto"/>
                <w:sz w:val="24"/>
                <w:szCs w:val="24"/>
                <w:highlight w:val="none"/>
              </w:rPr>
              <w:t>处理</w:t>
            </w:r>
            <w:r>
              <w:rPr>
                <w:rFonts w:hint="eastAsia" w:eastAsia="宋体" w:cs="Times New Roman"/>
                <w:color w:val="auto"/>
                <w:sz w:val="24"/>
                <w:szCs w:val="24"/>
                <w:highlight w:val="none"/>
                <w:lang w:eastAsia="zh-CN"/>
              </w:rPr>
              <w:t>。</w:t>
            </w:r>
          </w:p>
          <w:p w14:paraId="4F429974">
            <w:pPr>
              <w:adjustRightInd w:val="0"/>
              <w:snapToGrid w:val="0"/>
              <w:spacing w:line="360" w:lineRule="auto"/>
              <w:rPr>
                <w:b/>
                <w:bCs/>
                <w:color w:val="auto"/>
                <w:sz w:val="24"/>
                <w:szCs w:val="24"/>
                <w:highlight w:val="none"/>
              </w:rPr>
            </w:pPr>
            <w:r>
              <w:rPr>
                <w:rFonts w:hint="eastAsia"/>
                <w:b/>
                <w:bCs/>
                <w:color w:val="auto"/>
                <w:sz w:val="24"/>
                <w:szCs w:val="24"/>
                <w:highlight w:val="none"/>
                <w:lang w:val="en-US" w:eastAsia="zh-CN"/>
              </w:rPr>
              <w:t xml:space="preserve">2.1  </w:t>
            </w:r>
            <w:r>
              <w:rPr>
                <w:rFonts w:hint="eastAsia"/>
                <w:b/>
                <w:bCs/>
                <w:color w:val="auto"/>
                <w:sz w:val="24"/>
                <w:szCs w:val="24"/>
                <w:highlight w:val="none"/>
              </w:rPr>
              <w:t>废水污染物排放情况</w:t>
            </w:r>
          </w:p>
          <w:p w14:paraId="674DC2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4"/>
                <w:highlight w:val="none"/>
                <w:lang w:val="en-US" w:eastAsia="zh-CN"/>
              </w:rPr>
            </w:pPr>
            <w:r>
              <w:rPr>
                <w:rFonts w:hint="eastAsia" w:ascii="Times New Roman" w:hAnsi="Times New Roman" w:eastAsia="宋体" w:cs="Times New Roman"/>
                <w:b/>
                <w:color w:val="auto"/>
                <w:kern w:val="0"/>
                <w:sz w:val="24"/>
                <w:szCs w:val="24"/>
                <w:highlight w:val="none"/>
                <w:lang w:val="en-US" w:eastAsia="zh-CN"/>
              </w:rPr>
              <w:t>表4-</w:t>
            </w:r>
            <w:r>
              <w:rPr>
                <w:rFonts w:hint="eastAsia" w:cs="Times New Roman"/>
                <w:b/>
                <w:color w:val="auto"/>
                <w:kern w:val="0"/>
                <w:sz w:val="24"/>
                <w:szCs w:val="24"/>
                <w:highlight w:val="none"/>
                <w:lang w:val="en-US" w:eastAsia="zh-CN"/>
              </w:rPr>
              <w:t>10</w:t>
            </w:r>
            <w:r>
              <w:rPr>
                <w:rFonts w:hint="eastAsia" w:ascii="Times New Roman" w:hAnsi="Times New Roman" w:eastAsia="宋体" w:cs="Times New Roman"/>
                <w:b/>
                <w:color w:val="auto"/>
                <w:kern w:val="0"/>
                <w:sz w:val="24"/>
                <w:szCs w:val="24"/>
                <w:highlight w:val="none"/>
                <w:lang w:val="en-US" w:eastAsia="zh-CN"/>
              </w:rPr>
              <w:t xml:space="preserve">  本项目废水排放情况一览表</w:t>
            </w:r>
          </w:p>
          <w:tbl>
            <w:tblPr>
              <w:tblStyle w:val="22"/>
              <w:tblW w:w="0" w:type="auto"/>
              <w:tblInd w:w="-35"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28" w:type="dxa"/>
                <w:bottom w:w="0" w:type="dxa"/>
                <w:right w:w="28" w:type="dxa"/>
              </w:tblCellMar>
            </w:tblPr>
            <w:tblGrid>
              <w:gridCol w:w="580"/>
              <w:gridCol w:w="1290"/>
              <w:gridCol w:w="1310"/>
              <w:gridCol w:w="1120"/>
              <w:gridCol w:w="760"/>
              <w:gridCol w:w="1180"/>
              <w:gridCol w:w="1210"/>
              <w:gridCol w:w="1969"/>
            </w:tblGrid>
            <w:tr w14:paraId="535373F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28" w:type="dxa"/>
                  <w:bottom w:w="0" w:type="dxa"/>
                  <w:right w:w="28" w:type="dxa"/>
                </w:tblCellMar>
              </w:tblPrEx>
              <w:tc>
                <w:tcPr>
                  <w:tcW w:w="0" w:type="auto"/>
                  <w:vMerge w:val="restart"/>
                  <w:tcBorders>
                    <w:tl2br w:val="nil"/>
                    <w:tr2bl w:val="nil"/>
                  </w:tcBorders>
                  <w:vAlign w:val="center"/>
                </w:tcPr>
                <w:p w14:paraId="6E5AFC36">
                  <w:pPr>
                    <w:pStyle w:val="29"/>
                    <w:wordWrap/>
                    <w:jc w:val="center"/>
                    <w:rPr>
                      <w:rFonts w:hint="default" w:ascii="Times New Roman" w:hAnsi="Times New Roman" w:eastAsia="仿宋" w:cs="Times New Roman"/>
                      <w:b/>
                      <w:color w:val="auto"/>
                      <w:sz w:val="21"/>
                      <w:szCs w:val="21"/>
                      <w:highlight w:val="none"/>
                      <w:lang w:eastAsia="zh-CN"/>
                    </w:rPr>
                  </w:pPr>
                  <w:bookmarkStart w:id="14" w:name="_Hlk27145570"/>
                  <w:r>
                    <w:rPr>
                      <w:rFonts w:hint="default" w:ascii="Times New Roman" w:hAnsi="Times New Roman" w:eastAsia="仿宋" w:cs="Times New Roman"/>
                      <w:b/>
                      <w:color w:val="auto"/>
                      <w:sz w:val="21"/>
                      <w:szCs w:val="21"/>
                      <w:highlight w:val="none"/>
                      <w:lang w:val="en-US" w:eastAsia="zh-CN"/>
                    </w:rPr>
                    <w:t>类别</w:t>
                  </w:r>
                </w:p>
              </w:tc>
              <w:tc>
                <w:tcPr>
                  <w:tcW w:w="1290" w:type="dxa"/>
                  <w:vMerge w:val="restart"/>
                  <w:tcBorders>
                    <w:tl2br w:val="nil"/>
                    <w:tr2bl w:val="nil"/>
                  </w:tcBorders>
                  <w:vAlign w:val="center"/>
                </w:tcPr>
                <w:p w14:paraId="47427D2F">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w:t>
                  </w:r>
                </w:p>
                <w:p w14:paraId="1F1C5F9A">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因子</w:t>
                  </w:r>
                </w:p>
              </w:tc>
              <w:tc>
                <w:tcPr>
                  <w:tcW w:w="2430" w:type="dxa"/>
                  <w:gridSpan w:val="2"/>
                  <w:tcBorders>
                    <w:tl2br w:val="nil"/>
                    <w:tr2bl w:val="nil"/>
                  </w:tcBorders>
                  <w:vAlign w:val="center"/>
                </w:tcPr>
                <w:p w14:paraId="1E90EEAA">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污染物产生情况</w:t>
                  </w:r>
                </w:p>
              </w:tc>
              <w:tc>
                <w:tcPr>
                  <w:tcW w:w="760" w:type="dxa"/>
                  <w:vMerge w:val="restart"/>
                  <w:tcBorders>
                    <w:tl2br w:val="nil"/>
                    <w:tr2bl w:val="nil"/>
                  </w:tcBorders>
                  <w:vAlign w:val="center"/>
                </w:tcPr>
                <w:p w14:paraId="5879F41D">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处理</w:t>
                  </w:r>
                </w:p>
                <w:p w14:paraId="0D3C2AA6">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措施</w:t>
                  </w:r>
                </w:p>
              </w:tc>
              <w:tc>
                <w:tcPr>
                  <w:tcW w:w="2390" w:type="dxa"/>
                  <w:gridSpan w:val="2"/>
                  <w:tcBorders>
                    <w:tl2br w:val="nil"/>
                    <w:tr2bl w:val="nil"/>
                  </w:tcBorders>
                  <w:vAlign w:val="center"/>
                </w:tcPr>
                <w:p w14:paraId="0AF2C8C6">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污染物排放情况</w:t>
                  </w:r>
                </w:p>
              </w:tc>
              <w:tc>
                <w:tcPr>
                  <w:tcW w:w="1969" w:type="dxa"/>
                  <w:vMerge w:val="restart"/>
                  <w:tcBorders>
                    <w:tl2br w:val="nil"/>
                    <w:tr2bl w:val="nil"/>
                  </w:tcBorders>
                  <w:vAlign w:val="center"/>
                </w:tcPr>
                <w:p w14:paraId="56273D5B">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排放方式与去向</w:t>
                  </w:r>
                </w:p>
              </w:tc>
            </w:tr>
            <w:tr w14:paraId="022A082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28" w:type="dxa"/>
                  <w:bottom w:w="0" w:type="dxa"/>
                  <w:right w:w="28" w:type="dxa"/>
                </w:tblCellMar>
              </w:tblPrEx>
              <w:tc>
                <w:tcPr>
                  <w:tcW w:w="0" w:type="auto"/>
                  <w:vMerge w:val="continue"/>
                  <w:tcBorders>
                    <w:tl2br w:val="nil"/>
                    <w:tr2bl w:val="nil"/>
                  </w:tcBorders>
                  <w:vAlign w:val="center"/>
                </w:tcPr>
                <w:p w14:paraId="098ECD2E">
                  <w:pPr>
                    <w:pStyle w:val="29"/>
                    <w:wordWrap/>
                    <w:jc w:val="center"/>
                    <w:rPr>
                      <w:rFonts w:hint="default" w:ascii="Times New Roman" w:hAnsi="Times New Roman" w:eastAsia="仿宋" w:cs="Times New Roman"/>
                      <w:b/>
                      <w:color w:val="auto"/>
                      <w:sz w:val="21"/>
                      <w:szCs w:val="21"/>
                      <w:highlight w:val="none"/>
                    </w:rPr>
                  </w:pPr>
                </w:p>
              </w:tc>
              <w:tc>
                <w:tcPr>
                  <w:tcW w:w="1290" w:type="dxa"/>
                  <w:vMerge w:val="continue"/>
                  <w:tcBorders>
                    <w:tl2br w:val="nil"/>
                    <w:tr2bl w:val="nil"/>
                  </w:tcBorders>
                  <w:vAlign w:val="center"/>
                </w:tcPr>
                <w:p w14:paraId="58801C42">
                  <w:pPr>
                    <w:pStyle w:val="29"/>
                    <w:wordWrap/>
                    <w:jc w:val="center"/>
                    <w:rPr>
                      <w:rFonts w:hint="default" w:ascii="Times New Roman" w:hAnsi="Times New Roman" w:eastAsia="仿宋" w:cs="Times New Roman"/>
                      <w:b/>
                      <w:color w:val="auto"/>
                      <w:sz w:val="21"/>
                      <w:szCs w:val="21"/>
                      <w:highlight w:val="none"/>
                    </w:rPr>
                  </w:pPr>
                </w:p>
              </w:tc>
              <w:tc>
                <w:tcPr>
                  <w:tcW w:w="1310" w:type="dxa"/>
                  <w:tcBorders>
                    <w:tl2br w:val="nil"/>
                    <w:tr2bl w:val="nil"/>
                  </w:tcBorders>
                  <w:vAlign w:val="center"/>
                </w:tcPr>
                <w:p w14:paraId="361826C8">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产生浓度（mg/L）</w:t>
                  </w:r>
                </w:p>
              </w:tc>
              <w:tc>
                <w:tcPr>
                  <w:tcW w:w="1120" w:type="dxa"/>
                  <w:tcBorders>
                    <w:tl2br w:val="nil"/>
                    <w:tr2bl w:val="nil"/>
                  </w:tcBorders>
                  <w:vAlign w:val="center"/>
                </w:tcPr>
                <w:p w14:paraId="3E92518D">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产生量</w:t>
                  </w:r>
                </w:p>
                <w:p w14:paraId="23050682">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(t/a)</w:t>
                  </w:r>
                </w:p>
              </w:tc>
              <w:tc>
                <w:tcPr>
                  <w:tcW w:w="760" w:type="dxa"/>
                  <w:vMerge w:val="continue"/>
                  <w:tcBorders>
                    <w:tl2br w:val="nil"/>
                    <w:tr2bl w:val="nil"/>
                  </w:tcBorders>
                  <w:vAlign w:val="center"/>
                </w:tcPr>
                <w:p w14:paraId="3E3ABAE7">
                  <w:pPr>
                    <w:pStyle w:val="29"/>
                    <w:wordWrap/>
                    <w:jc w:val="center"/>
                    <w:rPr>
                      <w:rFonts w:hint="default" w:ascii="Times New Roman" w:hAnsi="Times New Roman" w:eastAsia="仿宋" w:cs="Times New Roman"/>
                      <w:b/>
                      <w:color w:val="auto"/>
                      <w:sz w:val="21"/>
                      <w:szCs w:val="21"/>
                      <w:highlight w:val="none"/>
                    </w:rPr>
                  </w:pPr>
                </w:p>
              </w:tc>
              <w:tc>
                <w:tcPr>
                  <w:tcW w:w="1180" w:type="dxa"/>
                  <w:tcBorders>
                    <w:tl2br w:val="nil"/>
                    <w:tr2bl w:val="nil"/>
                  </w:tcBorders>
                  <w:vAlign w:val="center"/>
                </w:tcPr>
                <w:p w14:paraId="079D16B5">
                  <w:pPr>
                    <w:pStyle w:val="29"/>
                    <w:wordWrap/>
                    <w:jc w:val="center"/>
                    <w:rPr>
                      <w:rFonts w:hint="default" w:ascii="Times New Roman" w:hAnsi="Times New Roman" w:eastAsia="仿宋" w:cs="Times New Roman"/>
                      <w:b/>
                      <w:color w:val="auto"/>
                      <w:sz w:val="21"/>
                      <w:szCs w:val="21"/>
                      <w:highlight w:val="none"/>
                      <w:lang w:eastAsia="zh-CN"/>
                    </w:rPr>
                  </w:pPr>
                  <w:r>
                    <w:rPr>
                      <w:rFonts w:hint="default" w:ascii="Times New Roman" w:hAnsi="Times New Roman" w:eastAsia="仿宋" w:cs="Times New Roman"/>
                      <w:b/>
                      <w:color w:val="auto"/>
                      <w:sz w:val="21"/>
                      <w:szCs w:val="21"/>
                      <w:highlight w:val="none"/>
                    </w:rPr>
                    <w:t>排放浓度</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rPr>
                    <w:t>mg/L</w:t>
                  </w:r>
                  <w:r>
                    <w:rPr>
                      <w:rFonts w:hint="default" w:ascii="Times New Roman" w:hAnsi="Times New Roman" w:eastAsia="仿宋" w:cs="Times New Roman"/>
                      <w:b/>
                      <w:color w:val="auto"/>
                      <w:sz w:val="21"/>
                      <w:szCs w:val="21"/>
                      <w:highlight w:val="none"/>
                      <w:lang w:eastAsia="zh-CN"/>
                    </w:rPr>
                    <w:t>）</w:t>
                  </w:r>
                </w:p>
              </w:tc>
              <w:tc>
                <w:tcPr>
                  <w:tcW w:w="1210" w:type="dxa"/>
                  <w:tcBorders>
                    <w:tl2br w:val="nil"/>
                    <w:tr2bl w:val="nil"/>
                  </w:tcBorders>
                  <w:vAlign w:val="center"/>
                </w:tcPr>
                <w:p w14:paraId="7E3D48A1">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排放量</w:t>
                  </w:r>
                </w:p>
                <w:p w14:paraId="7A9C4741">
                  <w:pPr>
                    <w:pStyle w:val="29"/>
                    <w:wordWrap/>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（t/a）</w:t>
                  </w:r>
                </w:p>
              </w:tc>
              <w:tc>
                <w:tcPr>
                  <w:tcW w:w="1969" w:type="dxa"/>
                  <w:vMerge w:val="continue"/>
                  <w:tcBorders>
                    <w:tl2br w:val="nil"/>
                    <w:tr2bl w:val="nil"/>
                  </w:tcBorders>
                  <w:vAlign w:val="center"/>
                </w:tcPr>
                <w:p w14:paraId="3B3AE75E">
                  <w:pPr>
                    <w:pStyle w:val="29"/>
                    <w:wordWrap/>
                    <w:jc w:val="center"/>
                    <w:rPr>
                      <w:rFonts w:hint="default" w:ascii="Times New Roman" w:hAnsi="Times New Roman" w:eastAsia="仿宋" w:cs="Times New Roman"/>
                      <w:b/>
                      <w:color w:val="auto"/>
                      <w:sz w:val="21"/>
                      <w:szCs w:val="21"/>
                      <w:highlight w:val="none"/>
                    </w:rPr>
                  </w:pPr>
                </w:p>
              </w:tc>
            </w:tr>
            <w:tr w14:paraId="7E5DC0D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28" w:type="dxa"/>
                  <w:bottom w:w="0" w:type="dxa"/>
                  <w:right w:w="28" w:type="dxa"/>
                </w:tblCellMar>
              </w:tblPrEx>
              <w:tc>
                <w:tcPr>
                  <w:tcW w:w="0" w:type="auto"/>
                  <w:vMerge w:val="restart"/>
                  <w:tcBorders>
                    <w:tl2br w:val="nil"/>
                    <w:tr2bl w:val="nil"/>
                  </w:tcBorders>
                  <w:vAlign w:val="center"/>
                </w:tcPr>
                <w:p w14:paraId="0546B5BC">
                  <w:pPr>
                    <w:pStyle w:val="29"/>
                    <w:wordWrap/>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生活污水</w:t>
                  </w:r>
                </w:p>
              </w:tc>
              <w:tc>
                <w:tcPr>
                  <w:tcW w:w="1290" w:type="dxa"/>
                  <w:tcBorders>
                    <w:tl2br w:val="nil"/>
                    <w:tr2bl w:val="nil"/>
                  </w:tcBorders>
                  <w:vAlign w:val="center"/>
                </w:tcPr>
                <w:p w14:paraId="30F2B1AF">
                  <w:pPr>
                    <w:pStyle w:val="29"/>
                    <w:wordWrap/>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废水量</w:t>
                  </w:r>
                </w:p>
              </w:tc>
              <w:tc>
                <w:tcPr>
                  <w:tcW w:w="1310" w:type="dxa"/>
                  <w:tcBorders>
                    <w:tl2br w:val="nil"/>
                    <w:tr2bl w:val="nil"/>
                  </w:tcBorders>
                  <w:vAlign w:val="center"/>
                </w:tcPr>
                <w:p w14:paraId="1535B94A">
                  <w:pPr>
                    <w:pStyle w:val="29"/>
                    <w:wordWrap/>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c>
                <w:tcPr>
                  <w:tcW w:w="1120" w:type="dxa"/>
                  <w:tcBorders>
                    <w:tl2br w:val="nil"/>
                    <w:tr2bl w:val="nil"/>
                  </w:tcBorders>
                  <w:vAlign w:val="center"/>
                </w:tcPr>
                <w:p w14:paraId="287DDE15">
                  <w:pPr>
                    <w:pStyle w:val="29"/>
                    <w:wordWrap/>
                    <w:jc w:val="center"/>
                    <w:rPr>
                      <w:rFonts w:hint="default"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300</w:t>
                  </w:r>
                </w:p>
              </w:tc>
              <w:tc>
                <w:tcPr>
                  <w:tcW w:w="760" w:type="dxa"/>
                  <w:vMerge w:val="restart"/>
                  <w:tcBorders>
                    <w:tl2br w:val="nil"/>
                    <w:tr2bl w:val="nil"/>
                  </w:tcBorders>
                  <w:vAlign w:val="center"/>
                </w:tcPr>
                <w:p w14:paraId="2C3AB276">
                  <w:pPr>
                    <w:pStyle w:val="29"/>
                    <w:wordWrap/>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kern w:val="0"/>
                      <w:sz w:val="21"/>
                      <w:szCs w:val="21"/>
                      <w:highlight w:val="none"/>
                      <w:lang w:val="en-US" w:eastAsia="zh-CN"/>
                    </w:rPr>
                    <w:t>/</w:t>
                  </w:r>
                </w:p>
              </w:tc>
              <w:tc>
                <w:tcPr>
                  <w:tcW w:w="1180" w:type="dxa"/>
                  <w:tcBorders>
                    <w:tl2br w:val="nil"/>
                    <w:tr2bl w:val="nil"/>
                  </w:tcBorders>
                  <w:vAlign w:val="center"/>
                </w:tcPr>
                <w:p w14:paraId="4667324E">
                  <w:pPr>
                    <w:pStyle w:val="29"/>
                    <w:wordWrap/>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c>
                <w:tcPr>
                  <w:tcW w:w="1210" w:type="dxa"/>
                  <w:tcBorders>
                    <w:tl2br w:val="nil"/>
                    <w:tr2bl w:val="nil"/>
                  </w:tcBorders>
                  <w:vAlign w:val="center"/>
                </w:tcPr>
                <w:p w14:paraId="0BE101E3">
                  <w:pPr>
                    <w:pStyle w:val="29"/>
                    <w:wordWrap/>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300</w:t>
                  </w:r>
                </w:p>
              </w:tc>
              <w:tc>
                <w:tcPr>
                  <w:tcW w:w="1969" w:type="dxa"/>
                  <w:vMerge w:val="restart"/>
                  <w:tcBorders>
                    <w:tl2br w:val="nil"/>
                    <w:tr2bl w:val="nil"/>
                  </w:tcBorders>
                  <w:vAlign w:val="center"/>
                </w:tcPr>
                <w:p w14:paraId="10AB598A">
                  <w:pPr>
                    <w:pStyle w:val="29"/>
                    <w:wordWrap/>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经市政污水管网排放至苏州市相润排水管理有限公司（漕湖污水处理厂）</w:t>
                  </w:r>
                  <w:r>
                    <w:rPr>
                      <w:rFonts w:hint="default" w:ascii="Times New Roman" w:hAnsi="Times New Roman" w:eastAsia="仿宋" w:cs="Times New Roman"/>
                      <w:color w:val="auto"/>
                      <w:sz w:val="21"/>
                      <w:szCs w:val="21"/>
                      <w:highlight w:val="none"/>
                      <w:lang w:val="en-US" w:eastAsia="zh-CN"/>
                    </w:rPr>
                    <w:t>集中</w:t>
                  </w:r>
                  <w:r>
                    <w:rPr>
                      <w:rFonts w:hint="default" w:ascii="Times New Roman" w:hAnsi="Times New Roman" w:eastAsia="仿宋" w:cs="Times New Roman"/>
                      <w:color w:val="auto"/>
                      <w:sz w:val="21"/>
                      <w:szCs w:val="21"/>
                      <w:highlight w:val="none"/>
                    </w:rPr>
                    <w:t>处理</w:t>
                  </w:r>
                </w:p>
              </w:tc>
            </w:tr>
            <w:tr w14:paraId="233F5D8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28" w:type="dxa"/>
                  <w:bottom w:w="0" w:type="dxa"/>
                  <w:right w:w="28" w:type="dxa"/>
                </w:tblCellMar>
              </w:tblPrEx>
              <w:tc>
                <w:tcPr>
                  <w:tcW w:w="0" w:type="auto"/>
                  <w:vMerge w:val="continue"/>
                  <w:tcBorders>
                    <w:tl2br w:val="nil"/>
                    <w:tr2bl w:val="nil"/>
                  </w:tcBorders>
                  <w:vAlign w:val="center"/>
                </w:tcPr>
                <w:p w14:paraId="0675E192">
                  <w:pPr>
                    <w:pStyle w:val="29"/>
                    <w:wordWrap/>
                    <w:jc w:val="center"/>
                    <w:rPr>
                      <w:rFonts w:hint="default" w:ascii="Times New Roman" w:hAnsi="Times New Roman" w:eastAsia="仿宋" w:cs="Times New Roman"/>
                      <w:color w:val="auto"/>
                      <w:sz w:val="21"/>
                      <w:szCs w:val="21"/>
                      <w:highlight w:val="none"/>
                    </w:rPr>
                  </w:pPr>
                </w:p>
              </w:tc>
              <w:tc>
                <w:tcPr>
                  <w:tcW w:w="1290" w:type="dxa"/>
                  <w:tcBorders>
                    <w:tl2br w:val="nil"/>
                    <w:tr2bl w:val="nil"/>
                  </w:tcBorders>
                  <w:vAlign w:val="center"/>
                </w:tcPr>
                <w:p w14:paraId="3B59ACAA">
                  <w:pPr>
                    <w:pStyle w:val="29"/>
                    <w:wordWrap/>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pH</w:t>
                  </w:r>
                </w:p>
              </w:tc>
              <w:tc>
                <w:tcPr>
                  <w:tcW w:w="2430" w:type="dxa"/>
                  <w:gridSpan w:val="2"/>
                  <w:tcBorders>
                    <w:tl2br w:val="nil"/>
                    <w:tr2bl w:val="nil"/>
                  </w:tcBorders>
                  <w:vAlign w:val="center"/>
                </w:tcPr>
                <w:p w14:paraId="56D6DAE9">
                  <w:pPr>
                    <w:pStyle w:val="29"/>
                    <w:wordWrap/>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6-9</w:t>
                  </w:r>
                </w:p>
              </w:tc>
              <w:tc>
                <w:tcPr>
                  <w:tcW w:w="760" w:type="dxa"/>
                  <w:vMerge w:val="continue"/>
                  <w:tcBorders>
                    <w:tl2br w:val="nil"/>
                    <w:tr2bl w:val="nil"/>
                  </w:tcBorders>
                  <w:vAlign w:val="center"/>
                </w:tcPr>
                <w:p w14:paraId="62C58AEA">
                  <w:pPr>
                    <w:pStyle w:val="29"/>
                    <w:wordWrap/>
                    <w:jc w:val="center"/>
                    <w:rPr>
                      <w:rFonts w:hint="default" w:ascii="Times New Roman" w:hAnsi="Times New Roman" w:eastAsia="仿宋" w:cs="Times New Roman"/>
                      <w:color w:val="auto"/>
                      <w:sz w:val="21"/>
                      <w:szCs w:val="21"/>
                      <w:highlight w:val="none"/>
                      <w:lang w:val="en-US" w:eastAsia="zh-CN"/>
                    </w:rPr>
                  </w:pPr>
                </w:p>
              </w:tc>
              <w:tc>
                <w:tcPr>
                  <w:tcW w:w="2390" w:type="dxa"/>
                  <w:gridSpan w:val="2"/>
                  <w:tcBorders>
                    <w:tl2br w:val="nil"/>
                    <w:tr2bl w:val="nil"/>
                  </w:tcBorders>
                  <w:vAlign w:val="center"/>
                </w:tcPr>
                <w:p w14:paraId="6C3AF015">
                  <w:pPr>
                    <w:pStyle w:val="29"/>
                    <w:wordWrap/>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6-9</w:t>
                  </w:r>
                </w:p>
              </w:tc>
              <w:tc>
                <w:tcPr>
                  <w:tcW w:w="1969" w:type="dxa"/>
                  <w:vMerge w:val="continue"/>
                  <w:tcBorders>
                    <w:tl2br w:val="nil"/>
                    <w:tr2bl w:val="nil"/>
                  </w:tcBorders>
                  <w:vAlign w:val="center"/>
                </w:tcPr>
                <w:p w14:paraId="0FA0EA52">
                  <w:pPr>
                    <w:pStyle w:val="29"/>
                    <w:wordWrap/>
                    <w:jc w:val="center"/>
                    <w:rPr>
                      <w:rFonts w:hint="default" w:ascii="Times New Roman" w:hAnsi="Times New Roman" w:eastAsia="仿宋" w:cs="Times New Roman"/>
                      <w:color w:val="auto"/>
                      <w:sz w:val="21"/>
                      <w:szCs w:val="21"/>
                      <w:highlight w:val="none"/>
                    </w:rPr>
                  </w:pPr>
                </w:p>
              </w:tc>
            </w:tr>
            <w:tr w14:paraId="28080F1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28" w:type="dxa"/>
                  <w:bottom w:w="0" w:type="dxa"/>
                  <w:right w:w="28" w:type="dxa"/>
                </w:tblCellMar>
              </w:tblPrEx>
              <w:tc>
                <w:tcPr>
                  <w:tcW w:w="0" w:type="auto"/>
                  <w:vMerge w:val="continue"/>
                  <w:tcBorders>
                    <w:tl2br w:val="nil"/>
                    <w:tr2bl w:val="nil"/>
                  </w:tcBorders>
                  <w:vAlign w:val="center"/>
                </w:tcPr>
                <w:p w14:paraId="2DD4F6B7">
                  <w:pPr>
                    <w:pStyle w:val="29"/>
                    <w:wordWrap/>
                    <w:jc w:val="center"/>
                    <w:rPr>
                      <w:rFonts w:hint="default" w:ascii="Times New Roman" w:hAnsi="Times New Roman" w:eastAsia="仿宋" w:cs="Times New Roman"/>
                      <w:color w:val="auto"/>
                      <w:sz w:val="21"/>
                      <w:szCs w:val="21"/>
                      <w:highlight w:val="none"/>
                    </w:rPr>
                  </w:pPr>
                </w:p>
              </w:tc>
              <w:tc>
                <w:tcPr>
                  <w:tcW w:w="1290" w:type="dxa"/>
                  <w:tcBorders>
                    <w:tl2br w:val="nil"/>
                    <w:tr2bl w:val="nil"/>
                  </w:tcBorders>
                  <w:vAlign w:val="center"/>
                </w:tcPr>
                <w:p w14:paraId="46847088">
                  <w:pPr>
                    <w:pStyle w:val="29"/>
                    <w:wordWrap/>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COD</w:t>
                  </w:r>
                </w:p>
              </w:tc>
              <w:tc>
                <w:tcPr>
                  <w:tcW w:w="1310" w:type="dxa"/>
                  <w:tcBorders>
                    <w:tl2br w:val="nil"/>
                    <w:tr2bl w:val="nil"/>
                  </w:tcBorders>
                  <w:vAlign w:val="center"/>
                </w:tcPr>
                <w:p w14:paraId="31559FC7">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400</w:t>
                  </w:r>
                </w:p>
              </w:tc>
              <w:tc>
                <w:tcPr>
                  <w:tcW w:w="1120" w:type="dxa"/>
                  <w:tcBorders>
                    <w:tl2br w:val="nil"/>
                    <w:tr2bl w:val="nil"/>
                  </w:tcBorders>
                  <w:vAlign w:val="center"/>
                </w:tcPr>
                <w:p w14:paraId="08F89187">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0.12</w:t>
                  </w:r>
                </w:p>
              </w:tc>
              <w:tc>
                <w:tcPr>
                  <w:tcW w:w="760" w:type="dxa"/>
                  <w:vMerge w:val="continue"/>
                  <w:tcBorders>
                    <w:tl2br w:val="nil"/>
                    <w:tr2bl w:val="nil"/>
                  </w:tcBorders>
                  <w:vAlign w:val="center"/>
                </w:tcPr>
                <w:p w14:paraId="65D74F28">
                  <w:pPr>
                    <w:pStyle w:val="29"/>
                    <w:wordWrap/>
                    <w:jc w:val="center"/>
                    <w:rPr>
                      <w:rFonts w:hint="default" w:ascii="Times New Roman" w:hAnsi="Times New Roman" w:eastAsia="仿宋" w:cs="Times New Roman"/>
                      <w:color w:val="auto"/>
                      <w:sz w:val="21"/>
                      <w:szCs w:val="21"/>
                      <w:highlight w:val="none"/>
                    </w:rPr>
                  </w:pPr>
                </w:p>
              </w:tc>
              <w:tc>
                <w:tcPr>
                  <w:tcW w:w="1180" w:type="dxa"/>
                  <w:tcBorders>
                    <w:tl2br w:val="nil"/>
                    <w:tr2bl w:val="nil"/>
                  </w:tcBorders>
                  <w:vAlign w:val="center"/>
                </w:tcPr>
                <w:p w14:paraId="67125491">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400</w:t>
                  </w:r>
                </w:p>
              </w:tc>
              <w:tc>
                <w:tcPr>
                  <w:tcW w:w="1210" w:type="dxa"/>
                  <w:tcBorders>
                    <w:tl2br w:val="nil"/>
                    <w:tr2bl w:val="nil"/>
                  </w:tcBorders>
                  <w:vAlign w:val="center"/>
                </w:tcPr>
                <w:p w14:paraId="249B76AB">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0.12</w:t>
                  </w:r>
                </w:p>
              </w:tc>
              <w:tc>
                <w:tcPr>
                  <w:tcW w:w="1969" w:type="dxa"/>
                  <w:vMerge w:val="continue"/>
                  <w:tcBorders>
                    <w:tl2br w:val="nil"/>
                    <w:tr2bl w:val="nil"/>
                  </w:tcBorders>
                  <w:vAlign w:val="center"/>
                </w:tcPr>
                <w:p w14:paraId="08D08F66">
                  <w:pPr>
                    <w:pStyle w:val="29"/>
                    <w:wordWrap/>
                    <w:jc w:val="center"/>
                    <w:rPr>
                      <w:rFonts w:hint="default" w:ascii="Times New Roman" w:hAnsi="Times New Roman" w:eastAsia="仿宋" w:cs="Times New Roman"/>
                      <w:color w:val="auto"/>
                      <w:sz w:val="21"/>
                      <w:szCs w:val="21"/>
                      <w:highlight w:val="none"/>
                    </w:rPr>
                  </w:pPr>
                </w:p>
              </w:tc>
            </w:tr>
            <w:tr w14:paraId="646A873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28" w:type="dxa"/>
                  <w:bottom w:w="0" w:type="dxa"/>
                  <w:right w:w="28" w:type="dxa"/>
                </w:tblCellMar>
              </w:tblPrEx>
              <w:tc>
                <w:tcPr>
                  <w:tcW w:w="0" w:type="auto"/>
                  <w:vMerge w:val="continue"/>
                  <w:tcBorders>
                    <w:tl2br w:val="nil"/>
                    <w:tr2bl w:val="nil"/>
                  </w:tcBorders>
                  <w:vAlign w:val="center"/>
                </w:tcPr>
                <w:p w14:paraId="3B889F3B">
                  <w:pPr>
                    <w:pStyle w:val="29"/>
                    <w:wordWrap/>
                    <w:jc w:val="center"/>
                    <w:rPr>
                      <w:rFonts w:hint="default" w:ascii="Times New Roman" w:hAnsi="Times New Roman" w:eastAsia="仿宋" w:cs="Times New Roman"/>
                      <w:color w:val="auto"/>
                      <w:sz w:val="21"/>
                      <w:szCs w:val="21"/>
                      <w:highlight w:val="none"/>
                    </w:rPr>
                  </w:pPr>
                </w:p>
              </w:tc>
              <w:tc>
                <w:tcPr>
                  <w:tcW w:w="1290" w:type="dxa"/>
                  <w:tcBorders>
                    <w:tl2br w:val="nil"/>
                    <w:tr2bl w:val="nil"/>
                  </w:tcBorders>
                  <w:vAlign w:val="center"/>
                </w:tcPr>
                <w:p w14:paraId="54479C6F">
                  <w:pPr>
                    <w:pStyle w:val="29"/>
                    <w:wordWrap/>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SS</w:t>
                  </w:r>
                </w:p>
              </w:tc>
              <w:tc>
                <w:tcPr>
                  <w:tcW w:w="1310" w:type="dxa"/>
                  <w:tcBorders>
                    <w:tl2br w:val="nil"/>
                    <w:tr2bl w:val="nil"/>
                  </w:tcBorders>
                  <w:vAlign w:val="center"/>
                </w:tcPr>
                <w:p w14:paraId="6938B2FF">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200</w:t>
                  </w:r>
                </w:p>
              </w:tc>
              <w:tc>
                <w:tcPr>
                  <w:tcW w:w="1120" w:type="dxa"/>
                  <w:tcBorders>
                    <w:tl2br w:val="nil"/>
                    <w:tr2bl w:val="nil"/>
                  </w:tcBorders>
                  <w:vAlign w:val="center"/>
                </w:tcPr>
                <w:p w14:paraId="31D2ABDB">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0.06</w:t>
                  </w:r>
                </w:p>
              </w:tc>
              <w:tc>
                <w:tcPr>
                  <w:tcW w:w="760" w:type="dxa"/>
                  <w:vMerge w:val="continue"/>
                  <w:tcBorders>
                    <w:tl2br w:val="nil"/>
                    <w:tr2bl w:val="nil"/>
                  </w:tcBorders>
                  <w:vAlign w:val="center"/>
                </w:tcPr>
                <w:p w14:paraId="1F5BD738">
                  <w:pPr>
                    <w:pStyle w:val="29"/>
                    <w:wordWrap/>
                    <w:jc w:val="center"/>
                    <w:rPr>
                      <w:rFonts w:hint="default" w:ascii="Times New Roman" w:hAnsi="Times New Roman" w:eastAsia="仿宋" w:cs="Times New Roman"/>
                      <w:color w:val="auto"/>
                      <w:sz w:val="21"/>
                      <w:szCs w:val="21"/>
                      <w:highlight w:val="none"/>
                    </w:rPr>
                  </w:pPr>
                </w:p>
              </w:tc>
              <w:tc>
                <w:tcPr>
                  <w:tcW w:w="1180" w:type="dxa"/>
                  <w:tcBorders>
                    <w:tl2br w:val="nil"/>
                    <w:tr2bl w:val="nil"/>
                  </w:tcBorders>
                  <w:vAlign w:val="center"/>
                </w:tcPr>
                <w:p w14:paraId="67C3ED8E">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200</w:t>
                  </w:r>
                </w:p>
              </w:tc>
              <w:tc>
                <w:tcPr>
                  <w:tcW w:w="1210" w:type="dxa"/>
                  <w:tcBorders>
                    <w:tl2br w:val="nil"/>
                    <w:tr2bl w:val="nil"/>
                  </w:tcBorders>
                  <w:vAlign w:val="center"/>
                </w:tcPr>
                <w:p w14:paraId="2231F1E1">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0.06</w:t>
                  </w:r>
                </w:p>
              </w:tc>
              <w:tc>
                <w:tcPr>
                  <w:tcW w:w="1969" w:type="dxa"/>
                  <w:vMerge w:val="continue"/>
                  <w:tcBorders>
                    <w:tl2br w:val="nil"/>
                    <w:tr2bl w:val="nil"/>
                  </w:tcBorders>
                  <w:vAlign w:val="center"/>
                </w:tcPr>
                <w:p w14:paraId="23E659C8">
                  <w:pPr>
                    <w:pStyle w:val="29"/>
                    <w:wordWrap/>
                    <w:jc w:val="center"/>
                    <w:rPr>
                      <w:rFonts w:hint="default" w:ascii="Times New Roman" w:hAnsi="Times New Roman" w:eastAsia="仿宋" w:cs="Times New Roman"/>
                      <w:color w:val="auto"/>
                      <w:sz w:val="21"/>
                      <w:szCs w:val="21"/>
                      <w:highlight w:val="none"/>
                    </w:rPr>
                  </w:pPr>
                </w:p>
              </w:tc>
            </w:tr>
            <w:tr w14:paraId="787AFEC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28" w:type="dxa"/>
                  <w:bottom w:w="0" w:type="dxa"/>
                  <w:right w:w="28" w:type="dxa"/>
                </w:tblCellMar>
              </w:tblPrEx>
              <w:tc>
                <w:tcPr>
                  <w:tcW w:w="0" w:type="auto"/>
                  <w:vMerge w:val="continue"/>
                  <w:tcBorders>
                    <w:tl2br w:val="nil"/>
                    <w:tr2bl w:val="nil"/>
                  </w:tcBorders>
                  <w:vAlign w:val="center"/>
                </w:tcPr>
                <w:p w14:paraId="2EE6680D">
                  <w:pPr>
                    <w:pStyle w:val="29"/>
                    <w:wordWrap/>
                    <w:jc w:val="center"/>
                    <w:rPr>
                      <w:rFonts w:hint="default" w:ascii="Times New Roman" w:hAnsi="Times New Roman" w:eastAsia="仿宋" w:cs="Times New Roman"/>
                      <w:color w:val="auto"/>
                      <w:sz w:val="21"/>
                      <w:szCs w:val="21"/>
                      <w:highlight w:val="none"/>
                    </w:rPr>
                  </w:pPr>
                </w:p>
              </w:tc>
              <w:tc>
                <w:tcPr>
                  <w:tcW w:w="1290" w:type="dxa"/>
                  <w:tcBorders>
                    <w:tl2br w:val="nil"/>
                    <w:tr2bl w:val="nil"/>
                  </w:tcBorders>
                  <w:vAlign w:val="center"/>
                </w:tcPr>
                <w:p w14:paraId="6D9C12B2">
                  <w:pPr>
                    <w:pStyle w:val="29"/>
                    <w:wordWrap/>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氨氮</w:t>
                  </w:r>
                </w:p>
              </w:tc>
              <w:tc>
                <w:tcPr>
                  <w:tcW w:w="1310" w:type="dxa"/>
                  <w:tcBorders>
                    <w:tl2br w:val="nil"/>
                    <w:tr2bl w:val="nil"/>
                  </w:tcBorders>
                  <w:vAlign w:val="center"/>
                </w:tcPr>
                <w:p w14:paraId="5183FC86">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35</w:t>
                  </w:r>
                </w:p>
              </w:tc>
              <w:tc>
                <w:tcPr>
                  <w:tcW w:w="1120" w:type="dxa"/>
                  <w:tcBorders>
                    <w:tl2br w:val="nil"/>
                    <w:tr2bl w:val="nil"/>
                  </w:tcBorders>
                  <w:vAlign w:val="center"/>
                </w:tcPr>
                <w:p w14:paraId="0FD2AD1A">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0.011</w:t>
                  </w:r>
                </w:p>
              </w:tc>
              <w:tc>
                <w:tcPr>
                  <w:tcW w:w="760" w:type="dxa"/>
                  <w:vMerge w:val="continue"/>
                  <w:tcBorders>
                    <w:tl2br w:val="nil"/>
                    <w:tr2bl w:val="nil"/>
                  </w:tcBorders>
                  <w:vAlign w:val="center"/>
                </w:tcPr>
                <w:p w14:paraId="2D6CEEFC">
                  <w:pPr>
                    <w:pStyle w:val="29"/>
                    <w:wordWrap/>
                    <w:jc w:val="center"/>
                    <w:rPr>
                      <w:rFonts w:hint="default" w:ascii="Times New Roman" w:hAnsi="Times New Roman" w:eastAsia="仿宋" w:cs="Times New Roman"/>
                      <w:color w:val="auto"/>
                      <w:sz w:val="21"/>
                      <w:szCs w:val="21"/>
                      <w:highlight w:val="none"/>
                    </w:rPr>
                  </w:pPr>
                </w:p>
              </w:tc>
              <w:tc>
                <w:tcPr>
                  <w:tcW w:w="1180" w:type="dxa"/>
                  <w:tcBorders>
                    <w:tl2br w:val="nil"/>
                    <w:tr2bl w:val="nil"/>
                  </w:tcBorders>
                  <w:vAlign w:val="center"/>
                </w:tcPr>
                <w:p w14:paraId="0ADF2EB9">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35</w:t>
                  </w:r>
                </w:p>
              </w:tc>
              <w:tc>
                <w:tcPr>
                  <w:tcW w:w="1210" w:type="dxa"/>
                  <w:tcBorders>
                    <w:tl2br w:val="nil"/>
                    <w:tr2bl w:val="nil"/>
                  </w:tcBorders>
                  <w:vAlign w:val="center"/>
                </w:tcPr>
                <w:p w14:paraId="0A58BDC7">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0.011</w:t>
                  </w:r>
                </w:p>
              </w:tc>
              <w:tc>
                <w:tcPr>
                  <w:tcW w:w="1969" w:type="dxa"/>
                  <w:vMerge w:val="continue"/>
                  <w:tcBorders>
                    <w:tl2br w:val="nil"/>
                    <w:tr2bl w:val="nil"/>
                  </w:tcBorders>
                  <w:vAlign w:val="center"/>
                </w:tcPr>
                <w:p w14:paraId="0514A87D">
                  <w:pPr>
                    <w:pStyle w:val="29"/>
                    <w:wordWrap/>
                    <w:jc w:val="center"/>
                    <w:rPr>
                      <w:rFonts w:hint="default" w:ascii="Times New Roman" w:hAnsi="Times New Roman" w:eastAsia="仿宋" w:cs="Times New Roman"/>
                      <w:color w:val="auto"/>
                      <w:sz w:val="21"/>
                      <w:szCs w:val="21"/>
                      <w:highlight w:val="none"/>
                    </w:rPr>
                  </w:pPr>
                </w:p>
              </w:tc>
            </w:tr>
            <w:tr w14:paraId="0929DD6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28" w:type="dxa"/>
                  <w:bottom w:w="0" w:type="dxa"/>
                  <w:right w:w="28" w:type="dxa"/>
                </w:tblCellMar>
              </w:tblPrEx>
              <w:tc>
                <w:tcPr>
                  <w:tcW w:w="0" w:type="auto"/>
                  <w:vMerge w:val="continue"/>
                  <w:tcBorders>
                    <w:tl2br w:val="nil"/>
                    <w:tr2bl w:val="nil"/>
                  </w:tcBorders>
                  <w:vAlign w:val="center"/>
                </w:tcPr>
                <w:p w14:paraId="4977917D">
                  <w:pPr>
                    <w:pStyle w:val="29"/>
                    <w:wordWrap/>
                    <w:jc w:val="center"/>
                    <w:rPr>
                      <w:rFonts w:hint="default" w:ascii="Times New Roman" w:hAnsi="Times New Roman" w:eastAsia="仿宋" w:cs="Times New Roman"/>
                      <w:color w:val="auto"/>
                      <w:sz w:val="21"/>
                      <w:szCs w:val="21"/>
                      <w:highlight w:val="none"/>
                    </w:rPr>
                  </w:pPr>
                </w:p>
              </w:tc>
              <w:tc>
                <w:tcPr>
                  <w:tcW w:w="1290" w:type="dxa"/>
                  <w:tcBorders>
                    <w:tl2br w:val="nil"/>
                    <w:tr2bl w:val="nil"/>
                  </w:tcBorders>
                  <w:vAlign w:val="center"/>
                </w:tcPr>
                <w:p w14:paraId="261C3663">
                  <w:pPr>
                    <w:pStyle w:val="29"/>
                    <w:wordWrap/>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总磷</w:t>
                  </w:r>
                </w:p>
              </w:tc>
              <w:tc>
                <w:tcPr>
                  <w:tcW w:w="1310" w:type="dxa"/>
                  <w:tcBorders>
                    <w:tl2br w:val="nil"/>
                    <w:tr2bl w:val="nil"/>
                  </w:tcBorders>
                  <w:vAlign w:val="center"/>
                </w:tcPr>
                <w:p w14:paraId="4D56A118">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5</w:t>
                  </w:r>
                </w:p>
              </w:tc>
              <w:tc>
                <w:tcPr>
                  <w:tcW w:w="1120" w:type="dxa"/>
                  <w:tcBorders>
                    <w:tl2br w:val="nil"/>
                    <w:tr2bl w:val="nil"/>
                  </w:tcBorders>
                  <w:vAlign w:val="center"/>
                </w:tcPr>
                <w:p w14:paraId="4842DC2F">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0.002</w:t>
                  </w:r>
                </w:p>
              </w:tc>
              <w:tc>
                <w:tcPr>
                  <w:tcW w:w="760" w:type="dxa"/>
                  <w:vMerge w:val="continue"/>
                  <w:tcBorders>
                    <w:tl2br w:val="nil"/>
                    <w:tr2bl w:val="nil"/>
                  </w:tcBorders>
                  <w:vAlign w:val="center"/>
                </w:tcPr>
                <w:p w14:paraId="5F48E783">
                  <w:pPr>
                    <w:pStyle w:val="29"/>
                    <w:wordWrap/>
                    <w:jc w:val="center"/>
                    <w:rPr>
                      <w:rFonts w:hint="default" w:ascii="Times New Roman" w:hAnsi="Times New Roman" w:eastAsia="仿宋" w:cs="Times New Roman"/>
                      <w:color w:val="auto"/>
                      <w:sz w:val="21"/>
                      <w:szCs w:val="21"/>
                      <w:highlight w:val="none"/>
                    </w:rPr>
                  </w:pPr>
                </w:p>
              </w:tc>
              <w:tc>
                <w:tcPr>
                  <w:tcW w:w="1180" w:type="dxa"/>
                  <w:tcBorders>
                    <w:tl2br w:val="nil"/>
                    <w:tr2bl w:val="nil"/>
                  </w:tcBorders>
                  <w:vAlign w:val="center"/>
                </w:tcPr>
                <w:p w14:paraId="7B601E12">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5</w:t>
                  </w:r>
                </w:p>
              </w:tc>
              <w:tc>
                <w:tcPr>
                  <w:tcW w:w="1210" w:type="dxa"/>
                  <w:tcBorders>
                    <w:tl2br w:val="nil"/>
                    <w:tr2bl w:val="nil"/>
                  </w:tcBorders>
                  <w:vAlign w:val="center"/>
                </w:tcPr>
                <w:p w14:paraId="23565C4D">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0.002</w:t>
                  </w:r>
                </w:p>
              </w:tc>
              <w:tc>
                <w:tcPr>
                  <w:tcW w:w="1969" w:type="dxa"/>
                  <w:vMerge w:val="continue"/>
                  <w:tcBorders>
                    <w:tl2br w:val="nil"/>
                    <w:tr2bl w:val="nil"/>
                  </w:tcBorders>
                  <w:vAlign w:val="center"/>
                </w:tcPr>
                <w:p w14:paraId="1560F367">
                  <w:pPr>
                    <w:pStyle w:val="29"/>
                    <w:wordWrap/>
                    <w:jc w:val="center"/>
                    <w:rPr>
                      <w:rFonts w:hint="default" w:ascii="Times New Roman" w:hAnsi="Times New Roman" w:eastAsia="仿宋" w:cs="Times New Roman"/>
                      <w:color w:val="auto"/>
                      <w:sz w:val="21"/>
                      <w:szCs w:val="21"/>
                      <w:highlight w:val="none"/>
                    </w:rPr>
                  </w:pPr>
                </w:p>
              </w:tc>
            </w:tr>
            <w:tr w14:paraId="1F390EE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28" w:type="dxa"/>
                  <w:bottom w:w="0" w:type="dxa"/>
                  <w:right w:w="28" w:type="dxa"/>
                </w:tblCellMar>
              </w:tblPrEx>
              <w:tc>
                <w:tcPr>
                  <w:tcW w:w="0" w:type="auto"/>
                  <w:vMerge w:val="continue"/>
                  <w:tcBorders>
                    <w:tl2br w:val="nil"/>
                    <w:tr2bl w:val="nil"/>
                  </w:tcBorders>
                  <w:vAlign w:val="center"/>
                </w:tcPr>
                <w:p w14:paraId="4BE8309B">
                  <w:pPr>
                    <w:pStyle w:val="29"/>
                    <w:wordWrap/>
                    <w:jc w:val="center"/>
                    <w:rPr>
                      <w:rFonts w:hint="default" w:ascii="Times New Roman" w:hAnsi="Times New Roman" w:eastAsia="仿宋" w:cs="Times New Roman"/>
                      <w:color w:val="auto"/>
                      <w:sz w:val="21"/>
                      <w:szCs w:val="21"/>
                      <w:highlight w:val="none"/>
                    </w:rPr>
                  </w:pPr>
                </w:p>
              </w:tc>
              <w:tc>
                <w:tcPr>
                  <w:tcW w:w="1290" w:type="dxa"/>
                  <w:tcBorders>
                    <w:tl2br w:val="nil"/>
                    <w:tr2bl w:val="nil"/>
                  </w:tcBorders>
                  <w:vAlign w:val="center"/>
                </w:tcPr>
                <w:p w14:paraId="32A2B611">
                  <w:pPr>
                    <w:pStyle w:val="29"/>
                    <w:wordWrap/>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总氮</w:t>
                  </w:r>
                </w:p>
              </w:tc>
              <w:tc>
                <w:tcPr>
                  <w:tcW w:w="1310" w:type="dxa"/>
                  <w:tcBorders>
                    <w:tl2br w:val="nil"/>
                    <w:tr2bl w:val="nil"/>
                  </w:tcBorders>
                  <w:vAlign w:val="center"/>
                </w:tcPr>
                <w:p w14:paraId="3E77901E">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45</w:t>
                  </w:r>
                </w:p>
              </w:tc>
              <w:tc>
                <w:tcPr>
                  <w:tcW w:w="1120" w:type="dxa"/>
                  <w:tcBorders>
                    <w:tl2br w:val="nil"/>
                    <w:tr2bl w:val="nil"/>
                  </w:tcBorders>
                  <w:vAlign w:val="center"/>
                </w:tcPr>
                <w:p w14:paraId="7CD610C9">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0.014</w:t>
                  </w:r>
                </w:p>
              </w:tc>
              <w:tc>
                <w:tcPr>
                  <w:tcW w:w="760" w:type="dxa"/>
                  <w:vMerge w:val="continue"/>
                  <w:tcBorders>
                    <w:tl2br w:val="nil"/>
                    <w:tr2bl w:val="nil"/>
                  </w:tcBorders>
                  <w:vAlign w:val="center"/>
                </w:tcPr>
                <w:p w14:paraId="3F35122A">
                  <w:pPr>
                    <w:pStyle w:val="29"/>
                    <w:wordWrap/>
                    <w:jc w:val="center"/>
                    <w:rPr>
                      <w:rFonts w:hint="default" w:ascii="Times New Roman" w:hAnsi="Times New Roman" w:eastAsia="仿宋" w:cs="Times New Roman"/>
                      <w:color w:val="auto"/>
                      <w:sz w:val="21"/>
                      <w:szCs w:val="21"/>
                      <w:highlight w:val="none"/>
                    </w:rPr>
                  </w:pPr>
                </w:p>
              </w:tc>
              <w:tc>
                <w:tcPr>
                  <w:tcW w:w="1180" w:type="dxa"/>
                  <w:tcBorders>
                    <w:tl2br w:val="nil"/>
                    <w:tr2bl w:val="nil"/>
                  </w:tcBorders>
                  <w:vAlign w:val="center"/>
                </w:tcPr>
                <w:p w14:paraId="72036538">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45</w:t>
                  </w:r>
                </w:p>
              </w:tc>
              <w:tc>
                <w:tcPr>
                  <w:tcW w:w="1210" w:type="dxa"/>
                  <w:tcBorders>
                    <w:tl2br w:val="nil"/>
                    <w:tr2bl w:val="nil"/>
                  </w:tcBorders>
                  <w:vAlign w:val="center"/>
                </w:tcPr>
                <w:p w14:paraId="652FE2A8">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0.014</w:t>
                  </w:r>
                </w:p>
              </w:tc>
              <w:tc>
                <w:tcPr>
                  <w:tcW w:w="1969" w:type="dxa"/>
                  <w:vMerge w:val="continue"/>
                  <w:tcBorders>
                    <w:tl2br w:val="nil"/>
                    <w:tr2bl w:val="nil"/>
                  </w:tcBorders>
                  <w:vAlign w:val="center"/>
                </w:tcPr>
                <w:p w14:paraId="717D0100">
                  <w:pPr>
                    <w:pStyle w:val="29"/>
                    <w:wordWrap/>
                    <w:jc w:val="center"/>
                    <w:rPr>
                      <w:rFonts w:hint="default" w:ascii="Times New Roman" w:hAnsi="Times New Roman" w:eastAsia="仿宋" w:cs="Times New Roman"/>
                      <w:color w:val="auto"/>
                      <w:sz w:val="21"/>
                      <w:szCs w:val="21"/>
                      <w:highlight w:val="none"/>
                    </w:rPr>
                  </w:pPr>
                </w:p>
              </w:tc>
            </w:tr>
            <w:bookmarkEnd w:id="14"/>
          </w:tbl>
          <w:p w14:paraId="12CEAE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4"/>
                <w:highlight w:val="none"/>
                <w:lang w:val="en-US" w:eastAsia="zh-CN"/>
              </w:rPr>
            </w:pPr>
            <w:r>
              <w:rPr>
                <w:rFonts w:hint="eastAsia" w:ascii="Times New Roman" w:hAnsi="Times New Roman" w:eastAsia="宋体" w:cs="Times New Roman"/>
                <w:b/>
                <w:color w:val="auto"/>
                <w:kern w:val="0"/>
                <w:sz w:val="24"/>
                <w:szCs w:val="24"/>
                <w:highlight w:val="none"/>
                <w:lang w:val="en-US" w:eastAsia="zh-CN"/>
              </w:rPr>
              <w:t>表4-</w:t>
            </w:r>
            <w:r>
              <w:rPr>
                <w:rFonts w:hint="eastAsia" w:cs="Times New Roman"/>
                <w:b/>
                <w:color w:val="auto"/>
                <w:kern w:val="0"/>
                <w:sz w:val="24"/>
                <w:szCs w:val="24"/>
                <w:highlight w:val="none"/>
                <w:lang w:val="en-US" w:eastAsia="zh-CN"/>
              </w:rPr>
              <w:t>11</w:t>
            </w:r>
            <w:r>
              <w:rPr>
                <w:rFonts w:hint="eastAsia" w:ascii="Times New Roman" w:hAnsi="Times New Roman" w:eastAsia="宋体" w:cs="Times New Roman"/>
                <w:b/>
                <w:color w:val="auto"/>
                <w:kern w:val="0"/>
                <w:sz w:val="24"/>
                <w:szCs w:val="24"/>
                <w:highlight w:val="none"/>
                <w:lang w:val="en-US" w:eastAsia="zh-CN"/>
              </w:rPr>
              <w:t xml:space="preserve">  废水类别、污染物及污染治理设施信息表</w:t>
            </w:r>
          </w:p>
          <w:tbl>
            <w:tblPr>
              <w:tblStyle w:val="22"/>
              <w:tblW w:w="5000" w:type="pct"/>
              <w:tblInd w:w="-15"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648"/>
              <w:gridCol w:w="935"/>
              <w:gridCol w:w="1167"/>
              <w:gridCol w:w="679"/>
              <w:gridCol w:w="899"/>
              <w:gridCol w:w="930"/>
              <w:gridCol w:w="860"/>
              <w:gridCol w:w="690"/>
              <w:gridCol w:w="920"/>
              <w:gridCol w:w="1691"/>
            </w:tblGrid>
            <w:tr w14:paraId="39EE6D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c>
                <w:tcPr>
                  <w:tcW w:w="344" w:type="pct"/>
                  <w:vMerge w:val="restart"/>
                  <w:tcBorders>
                    <w:tl2br w:val="nil"/>
                    <w:tr2bl w:val="nil"/>
                  </w:tcBorders>
                  <w:vAlign w:val="center"/>
                </w:tcPr>
                <w:p w14:paraId="1CB54160">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废水类别</w:t>
                  </w:r>
                </w:p>
              </w:tc>
              <w:tc>
                <w:tcPr>
                  <w:tcW w:w="496" w:type="pct"/>
                  <w:vMerge w:val="restart"/>
                  <w:tcBorders>
                    <w:tl2br w:val="nil"/>
                    <w:tr2bl w:val="nil"/>
                  </w:tcBorders>
                  <w:vAlign w:val="center"/>
                </w:tcPr>
                <w:p w14:paraId="7643EC23">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污染物种类</w:t>
                  </w:r>
                </w:p>
              </w:tc>
              <w:tc>
                <w:tcPr>
                  <w:tcW w:w="619" w:type="pct"/>
                  <w:vMerge w:val="restart"/>
                  <w:tcBorders>
                    <w:tl2br w:val="nil"/>
                    <w:tr2bl w:val="nil"/>
                  </w:tcBorders>
                  <w:vAlign w:val="center"/>
                </w:tcPr>
                <w:p w14:paraId="774DCD65">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排放去向</w:t>
                  </w:r>
                </w:p>
              </w:tc>
              <w:tc>
                <w:tcPr>
                  <w:tcW w:w="360" w:type="pct"/>
                  <w:vMerge w:val="restart"/>
                  <w:tcBorders>
                    <w:tl2br w:val="nil"/>
                    <w:tr2bl w:val="nil"/>
                  </w:tcBorders>
                  <w:vAlign w:val="center"/>
                </w:tcPr>
                <w:p w14:paraId="46A64BFF">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排放规律</w:t>
                  </w:r>
                </w:p>
              </w:tc>
              <w:tc>
                <w:tcPr>
                  <w:tcW w:w="1426" w:type="pct"/>
                  <w:gridSpan w:val="3"/>
                  <w:tcBorders>
                    <w:tl2br w:val="nil"/>
                    <w:tr2bl w:val="nil"/>
                  </w:tcBorders>
                  <w:vAlign w:val="center"/>
                </w:tcPr>
                <w:p w14:paraId="3397CDC8">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污染治理设施</w:t>
                  </w:r>
                </w:p>
              </w:tc>
              <w:tc>
                <w:tcPr>
                  <w:tcW w:w="366" w:type="pct"/>
                  <w:vMerge w:val="restart"/>
                  <w:tcBorders>
                    <w:tl2br w:val="nil"/>
                    <w:tr2bl w:val="nil"/>
                  </w:tcBorders>
                  <w:vAlign w:val="center"/>
                </w:tcPr>
                <w:p w14:paraId="42B88053">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排放口</w:t>
                  </w:r>
                </w:p>
              </w:tc>
              <w:tc>
                <w:tcPr>
                  <w:tcW w:w="488" w:type="pct"/>
                  <w:vMerge w:val="restart"/>
                  <w:tcBorders>
                    <w:tl2br w:val="nil"/>
                    <w:tr2bl w:val="nil"/>
                  </w:tcBorders>
                  <w:vAlign w:val="center"/>
                </w:tcPr>
                <w:p w14:paraId="377DEDAD">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排放口设置是否符合要求</w:t>
                  </w:r>
                </w:p>
              </w:tc>
              <w:tc>
                <w:tcPr>
                  <w:tcW w:w="897" w:type="pct"/>
                  <w:vMerge w:val="restart"/>
                  <w:tcBorders>
                    <w:tl2br w:val="nil"/>
                    <w:tr2bl w:val="nil"/>
                  </w:tcBorders>
                  <w:vAlign w:val="center"/>
                </w:tcPr>
                <w:p w14:paraId="7C6EBD83">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排放口类型</w:t>
                  </w:r>
                </w:p>
              </w:tc>
            </w:tr>
            <w:tr w14:paraId="393A2B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344" w:type="pct"/>
                  <w:vMerge w:val="continue"/>
                  <w:tcBorders>
                    <w:tl2br w:val="nil"/>
                    <w:tr2bl w:val="nil"/>
                  </w:tcBorders>
                  <w:vAlign w:val="center"/>
                </w:tcPr>
                <w:p w14:paraId="24B18176">
                  <w:pPr>
                    <w:pStyle w:val="29"/>
                    <w:rPr>
                      <w:rFonts w:hint="default" w:ascii="Times New Roman" w:hAnsi="Times New Roman" w:eastAsia="仿宋" w:cs="Times New Roman"/>
                      <w:color w:val="auto"/>
                      <w:sz w:val="21"/>
                      <w:szCs w:val="21"/>
                      <w:highlight w:val="none"/>
                    </w:rPr>
                  </w:pPr>
                </w:p>
              </w:tc>
              <w:tc>
                <w:tcPr>
                  <w:tcW w:w="496" w:type="pct"/>
                  <w:vMerge w:val="continue"/>
                  <w:tcBorders>
                    <w:tl2br w:val="nil"/>
                    <w:tr2bl w:val="nil"/>
                  </w:tcBorders>
                  <w:vAlign w:val="center"/>
                </w:tcPr>
                <w:p w14:paraId="65C553B5">
                  <w:pPr>
                    <w:pStyle w:val="29"/>
                    <w:rPr>
                      <w:rFonts w:hint="default" w:ascii="Times New Roman" w:hAnsi="Times New Roman" w:eastAsia="仿宋" w:cs="Times New Roman"/>
                      <w:color w:val="auto"/>
                      <w:sz w:val="21"/>
                      <w:szCs w:val="21"/>
                      <w:highlight w:val="none"/>
                    </w:rPr>
                  </w:pPr>
                </w:p>
              </w:tc>
              <w:tc>
                <w:tcPr>
                  <w:tcW w:w="619" w:type="pct"/>
                  <w:vMerge w:val="continue"/>
                  <w:tcBorders>
                    <w:tl2br w:val="nil"/>
                    <w:tr2bl w:val="nil"/>
                  </w:tcBorders>
                  <w:vAlign w:val="center"/>
                </w:tcPr>
                <w:p w14:paraId="386DA760">
                  <w:pPr>
                    <w:pStyle w:val="29"/>
                    <w:rPr>
                      <w:rFonts w:hint="default" w:ascii="Times New Roman" w:hAnsi="Times New Roman" w:eastAsia="仿宋" w:cs="Times New Roman"/>
                      <w:color w:val="auto"/>
                      <w:sz w:val="21"/>
                      <w:szCs w:val="21"/>
                      <w:highlight w:val="none"/>
                    </w:rPr>
                  </w:pPr>
                </w:p>
              </w:tc>
              <w:tc>
                <w:tcPr>
                  <w:tcW w:w="360" w:type="pct"/>
                  <w:vMerge w:val="continue"/>
                  <w:tcBorders>
                    <w:tl2br w:val="nil"/>
                    <w:tr2bl w:val="nil"/>
                  </w:tcBorders>
                  <w:vAlign w:val="center"/>
                </w:tcPr>
                <w:p w14:paraId="5DD00248">
                  <w:pPr>
                    <w:pStyle w:val="29"/>
                    <w:rPr>
                      <w:rFonts w:hint="default" w:ascii="Times New Roman" w:hAnsi="Times New Roman" w:eastAsia="仿宋" w:cs="Times New Roman"/>
                      <w:color w:val="auto"/>
                      <w:sz w:val="21"/>
                      <w:szCs w:val="21"/>
                      <w:highlight w:val="none"/>
                    </w:rPr>
                  </w:pPr>
                </w:p>
              </w:tc>
              <w:tc>
                <w:tcPr>
                  <w:tcW w:w="477" w:type="pct"/>
                  <w:tcBorders>
                    <w:tl2br w:val="nil"/>
                    <w:tr2bl w:val="nil"/>
                  </w:tcBorders>
                  <w:vAlign w:val="center"/>
                </w:tcPr>
                <w:p w14:paraId="5B657019">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lang w:eastAsia="zh-CN"/>
                    </w:rPr>
                    <w:t>污染治理</w:t>
                  </w:r>
                  <w:r>
                    <w:rPr>
                      <w:rFonts w:hint="default" w:ascii="Times New Roman" w:hAnsi="Times New Roman" w:eastAsia="仿宋" w:cs="Times New Roman"/>
                      <w:b/>
                      <w:color w:val="auto"/>
                      <w:sz w:val="21"/>
                      <w:szCs w:val="21"/>
                      <w:highlight w:val="none"/>
                    </w:rPr>
                    <w:t>设施编号</w:t>
                  </w:r>
                </w:p>
              </w:tc>
              <w:tc>
                <w:tcPr>
                  <w:tcW w:w="493" w:type="pct"/>
                  <w:tcBorders>
                    <w:tl2br w:val="nil"/>
                    <w:tr2bl w:val="nil"/>
                  </w:tcBorders>
                  <w:vAlign w:val="center"/>
                </w:tcPr>
                <w:p w14:paraId="31514E91">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污染治理设施名称</w:t>
                  </w:r>
                </w:p>
              </w:tc>
              <w:tc>
                <w:tcPr>
                  <w:tcW w:w="456" w:type="pct"/>
                  <w:tcBorders>
                    <w:tl2br w:val="nil"/>
                    <w:tr2bl w:val="nil"/>
                  </w:tcBorders>
                  <w:vAlign w:val="center"/>
                </w:tcPr>
                <w:p w14:paraId="7F34CEF9">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污染治理设施工艺</w:t>
                  </w:r>
                </w:p>
              </w:tc>
              <w:tc>
                <w:tcPr>
                  <w:tcW w:w="366" w:type="pct"/>
                  <w:vMerge w:val="continue"/>
                  <w:tcBorders>
                    <w:tl2br w:val="nil"/>
                    <w:tr2bl w:val="nil"/>
                  </w:tcBorders>
                  <w:vAlign w:val="center"/>
                </w:tcPr>
                <w:p w14:paraId="723D65C2">
                  <w:pPr>
                    <w:pStyle w:val="29"/>
                    <w:rPr>
                      <w:rFonts w:hint="default" w:ascii="Times New Roman" w:hAnsi="Times New Roman" w:eastAsia="仿宋" w:cs="Times New Roman"/>
                      <w:color w:val="auto"/>
                      <w:sz w:val="21"/>
                      <w:szCs w:val="21"/>
                      <w:highlight w:val="none"/>
                    </w:rPr>
                  </w:pPr>
                </w:p>
              </w:tc>
              <w:tc>
                <w:tcPr>
                  <w:tcW w:w="488" w:type="pct"/>
                  <w:vMerge w:val="continue"/>
                  <w:tcBorders>
                    <w:tl2br w:val="nil"/>
                    <w:tr2bl w:val="nil"/>
                  </w:tcBorders>
                  <w:vAlign w:val="center"/>
                </w:tcPr>
                <w:p w14:paraId="738BFEF9">
                  <w:pPr>
                    <w:pStyle w:val="29"/>
                    <w:rPr>
                      <w:rFonts w:hint="default" w:ascii="Times New Roman" w:hAnsi="Times New Roman" w:eastAsia="仿宋" w:cs="Times New Roman"/>
                      <w:color w:val="auto"/>
                      <w:sz w:val="21"/>
                      <w:szCs w:val="21"/>
                      <w:highlight w:val="none"/>
                    </w:rPr>
                  </w:pPr>
                </w:p>
              </w:tc>
              <w:tc>
                <w:tcPr>
                  <w:tcW w:w="897" w:type="pct"/>
                  <w:vMerge w:val="continue"/>
                  <w:tcBorders>
                    <w:tl2br w:val="nil"/>
                    <w:tr2bl w:val="nil"/>
                  </w:tcBorders>
                  <w:vAlign w:val="center"/>
                </w:tcPr>
                <w:p w14:paraId="27C77AE8">
                  <w:pPr>
                    <w:pStyle w:val="29"/>
                    <w:rPr>
                      <w:rFonts w:hint="default" w:ascii="Times New Roman" w:hAnsi="Times New Roman" w:eastAsia="仿宋" w:cs="Times New Roman"/>
                      <w:color w:val="auto"/>
                      <w:sz w:val="21"/>
                      <w:szCs w:val="21"/>
                      <w:highlight w:val="none"/>
                    </w:rPr>
                  </w:pPr>
                </w:p>
              </w:tc>
            </w:tr>
            <w:tr w14:paraId="4F5C29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344" w:type="pct"/>
                  <w:tcBorders>
                    <w:tl2br w:val="nil"/>
                    <w:tr2bl w:val="nil"/>
                  </w:tcBorders>
                  <w:vAlign w:val="center"/>
                </w:tcPr>
                <w:p w14:paraId="1852147E">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生活污水</w:t>
                  </w:r>
                </w:p>
              </w:tc>
              <w:tc>
                <w:tcPr>
                  <w:tcW w:w="496" w:type="pct"/>
                  <w:tcBorders>
                    <w:tl2br w:val="nil"/>
                    <w:tr2bl w:val="nil"/>
                  </w:tcBorders>
                  <w:vAlign w:val="center"/>
                </w:tcPr>
                <w:p w14:paraId="664BB4F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pH</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COD、SS、氨氮、总磷、总氮</w:t>
                  </w:r>
                </w:p>
              </w:tc>
              <w:tc>
                <w:tcPr>
                  <w:tcW w:w="619" w:type="pct"/>
                  <w:tcBorders>
                    <w:tl2br w:val="nil"/>
                    <w:tr2bl w:val="nil"/>
                  </w:tcBorders>
                  <w:vAlign w:val="center"/>
                </w:tcPr>
                <w:p w14:paraId="40E6249F">
                  <w:pPr>
                    <w:pStyle w:val="29"/>
                    <w:rPr>
                      <w:rFonts w:hint="eastAsia" w:ascii="Times New Roman" w:hAnsi="Times New Roman" w:eastAsia="仿宋" w:cs="Times New Roman"/>
                      <w:color w:val="auto"/>
                      <w:sz w:val="21"/>
                      <w:szCs w:val="21"/>
                      <w:highlight w:val="none"/>
                      <w:lang w:eastAsia="zh-CN"/>
                    </w:rPr>
                  </w:pPr>
                  <w:r>
                    <w:rPr>
                      <w:rFonts w:hint="eastAsia" w:ascii="Times New Roman" w:hAnsi="Times New Roman" w:eastAsia="仿宋" w:cs="Times New Roman"/>
                      <w:color w:val="auto"/>
                      <w:sz w:val="21"/>
                      <w:szCs w:val="21"/>
                      <w:highlight w:val="none"/>
                      <w:lang w:eastAsia="zh-CN"/>
                    </w:rPr>
                    <w:t>苏州市相润排水管理有限公司（漕湖污水处理厂）</w:t>
                  </w:r>
                </w:p>
              </w:tc>
              <w:tc>
                <w:tcPr>
                  <w:tcW w:w="360" w:type="pct"/>
                  <w:tcBorders>
                    <w:tl2br w:val="nil"/>
                    <w:tr2bl w:val="nil"/>
                  </w:tcBorders>
                  <w:vAlign w:val="center"/>
                </w:tcPr>
                <w:p w14:paraId="7157889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间歇排放</w:t>
                  </w:r>
                </w:p>
              </w:tc>
              <w:tc>
                <w:tcPr>
                  <w:tcW w:w="477" w:type="pct"/>
                  <w:tcBorders>
                    <w:tl2br w:val="nil"/>
                    <w:tr2bl w:val="nil"/>
                  </w:tcBorders>
                  <w:vAlign w:val="center"/>
                </w:tcPr>
                <w:p w14:paraId="6AA14859">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c>
                <w:tcPr>
                  <w:tcW w:w="493" w:type="pct"/>
                  <w:tcBorders>
                    <w:tl2br w:val="nil"/>
                    <w:tr2bl w:val="nil"/>
                  </w:tcBorders>
                  <w:vAlign w:val="center"/>
                </w:tcPr>
                <w:p w14:paraId="14A62AEB">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c>
                <w:tcPr>
                  <w:tcW w:w="456" w:type="pct"/>
                  <w:tcBorders>
                    <w:tl2br w:val="nil"/>
                    <w:tr2bl w:val="nil"/>
                  </w:tcBorders>
                  <w:vAlign w:val="center"/>
                </w:tcPr>
                <w:p w14:paraId="58823BC0">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w:t>
                  </w:r>
                </w:p>
              </w:tc>
              <w:tc>
                <w:tcPr>
                  <w:tcW w:w="366" w:type="pct"/>
                  <w:tcBorders>
                    <w:tl2br w:val="nil"/>
                    <w:tr2bl w:val="nil"/>
                  </w:tcBorders>
                  <w:vAlign w:val="center"/>
                </w:tcPr>
                <w:p w14:paraId="46F56DD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DW001</w:t>
                  </w:r>
                </w:p>
              </w:tc>
              <w:tc>
                <w:tcPr>
                  <w:tcW w:w="488" w:type="pct"/>
                  <w:tcBorders>
                    <w:tl2br w:val="nil"/>
                    <w:tr2bl w:val="nil"/>
                  </w:tcBorders>
                  <w:vAlign w:val="center"/>
                </w:tcPr>
                <w:p w14:paraId="41EE4DE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sym w:font="Wingdings 2" w:char="0052"/>
                  </w:r>
                  <w:r>
                    <w:rPr>
                      <w:rFonts w:hint="default" w:ascii="Times New Roman" w:hAnsi="Times New Roman" w:eastAsia="仿宋" w:cs="Times New Roman"/>
                      <w:color w:val="auto"/>
                      <w:sz w:val="21"/>
                      <w:szCs w:val="21"/>
                      <w:highlight w:val="none"/>
                    </w:rPr>
                    <w:t>是</w:t>
                  </w:r>
                </w:p>
                <w:p w14:paraId="6D335D81">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sym w:font="Wingdings 2" w:char="00A3"/>
                  </w:r>
                  <w:r>
                    <w:rPr>
                      <w:rFonts w:hint="default" w:ascii="Times New Roman" w:hAnsi="Times New Roman" w:eastAsia="仿宋" w:cs="Times New Roman"/>
                      <w:color w:val="auto"/>
                      <w:sz w:val="21"/>
                      <w:szCs w:val="21"/>
                      <w:highlight w:val="none"/>
                    </w:rPr>
                    <w:t>否</w:t>
                  </w:r>
                </w:p>
              </w:tc>
              <w:tc>
                <w:tcPr>
                  <w:tcW w:w="897" w:type="pct"/>
                  <w:tcBorders>
                    <w:tl2br w:val="nil"/>
                    <w:tr2bl w:val="nil"/>
                  </w:tcBorders>
                  <w:vAlign w:val="center"/>
                </w:tcPr>
                <w:p w14:paraId="2D768EAE">
                  <w:pPr>
                    <w:pStyle w:val="29"/>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sym w:font="Wingdings 2" w:char="0052"/>
                  </w:r>
                  <w:r>
                    <w:rPr>
                      <w:rFonts w:hint="default" w:ascii="Times New Roman" w:hAnsi="Times New Roman" w:eastAsia="仿宋" w:cs="Times New Roman"/>
                      <w:color w:val="auto"/>
                      <w:sz w:val="21"/>
                      <w:szCs w:val="21"/>
                      <w:highlight w:val="none"/>
                    </w:rPr>
                    <w:t>企业总排</w:t>
                  </w:r>
                </w:p>
                <w:p w14:paraId="5296847F">
                  <w:pPr>
                    <w:pStyle w:val="29"/>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sym w:font="Wingdings 2" w:char="00A3"/>
                  </w:r>
                  <w:r>
                    <w:rPr>
                      <w:rFonts w:hint="default" w:ascii="Times New Roman" w:hAnsi="Times New Roman" w:eastAsia="仿宋" w:cs="Times New Roman"/>
                      <w:color w:val="auto"/>
                      <w:sz w:val="21"/>
                      <w:szCs w:val="21"/>
                      <w:highlight w:val="none"/>
                    </w:rPr>
                    <w:t>雨水排放</w:t>
                  </w:r>
                </w:p>
                <w:p w14:paraId="1C83EAE0">
                  <w:pPr>
                    <w:pStyle w:val="29"/>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sym w:font="Wingdings 2" w:char="00A3"/>
                  </w:r>
                  <w:r>
                    <w:rPr>
                      <w:rFonts w:hint="default" w:ascii="Times New Roman" w:hAnsi="Times New Roman" w:eastAsia="仿宋" w:cs="Times New Roman"/>
                      <w:color w:val="auto"/>
                      <w:sz w:val="21"/>
                      <w:szCs w:val="21"/>
                      <w:highlight w:val="none"/>
                    </w:rPr>
                    <w:t>清净下水排放</w:t>
                  </w:r>
                </w:p>
                <w:p w14:paraId="35B26921">
                  <w:pPr>
                    <w:pStyle w:val="29"/>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sym w:font="Wingdings 2" w:char="00A3"/>
                  </w:r>
                  <w:r>
                    <w:rPr>
                      <w:rFonts w:hint="default" w:ascii="Times New Roman" w:hAnsi="Times New Roman" w:eastAsia="仿宋" w:cs="Times New Roman"/>
                      <w:color w:val="auto"/>
                      <w:sz w:val="21"/>
                      <w:szCs w:val="21"/>
                      <w:highlight w:val="none"/>
                    </w:rPr>
                    <w:t>温排水排放</w:t>
                  </w:r>
                </w:p>
                <w:p w14:paraId="62FCCE36">
                  <w:pPr>
                    <w:pStyle w:val="29"/>
                    <w:jc w:val="left"/>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sym w:font="Wingdings 2" w:char="00A3"/>
                  </w:r>
                  <w:r>
                    <w:rPr>
                      <w:rFonts w:hint="default" w:ascii="Times New Roman" w:hAnsi="Times New Roman" w:eastAsia="仿宋" w:cs="Times New Roman"/>
                      <w:color w:val="auto"/>
                      <w:sz w:val="21"/>
                      <w:szCs w:val="21"/>
                      <w:highlight w:val="none"/>
                    </w:rPr>
                    <w:t>车间或车间处理设施排放口</w:t>
                  </w:r>
                </w:p>
              </w:tc>
            </w:tr>
          </w:tbl>
          <w:p w14:paraId="1C1528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4"/>
                <w:highlight w:val="none"/>
                <w:lang w:val="en-US" w:eastAsia="zh-CN"/>
              </w:rPr>
            </w:pPr>
            <w:r>
              <w:rPr>
                <w:rFonts w:hint="eastAsia" w:ascii="Times New Roman" w:hAnsi="Times New Roman" w:eastAsia="宋体" w:cs="Times New Roman"/>
                <w:b/>
                <w:color w:val="auto"/>
                <w:kern w:val="0"/>
                <w:sz w:val="24"/>
                <w:szCs w:val="24"/>
                <w:highlight w:val="none"/>
                <w:lang w:val="en-US" w:eastAsia="zh-CN"/>
              </w:rPr>
              <w:t>表4-</w:t>
            </w:r>
            <w:r>
              <w:rPr>
                <w:rFonts w:hint="eastAsia" w:cs="Times New Roman"/>
                <w:b/>
                <w:color w:val="auto"/>
                <w:kern w:val="0"/>
                <w:sz w:val="24"/>
                <w:szCs w:val="24"/>
                <w:highlight w:val="none"/>
                <w:lang w:val="en-US" w:eastAsia="zh-CN"/>
              </w:rPr>
              <w:t>12</w:t>
            </w:r>
            <w:r>
              <w:rPr>
                <w:rFonts w:hint="eastAsia" w:ascii="Times New Roman" w:hAnsi="Times New Roman" w:eastAsia="宋体" w:cs="Times New Roman"/>
                <w:b/>
                <w:color w:val="auto"/>
                <w:kern w:val="0"/>
                <w:sz w:val="24"/>
                <w:szCs w:val="24"/>
                <w:highlight w:val="none"/>
                <w:lang w:val="en-US" w:eastAsia="zh-CN"/>
              </w:rPr>
              <w:t xml:space="preserve">  废水间接排放口基本情况</w:t>
            </w:r>
          </w:p>
          <w:tbl>
            <w:tblPr>
              <w:tblStyle w:val="22"/>
              <w:tblW w:w="4995" w:type="pct"/>
              <w:tblInd w:w="-3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109"/>
              <w:gridCol w:w="1004"/>
              <w:gridCol w:w="973"/>
              <w:gridCol w:w="725"/>
              <w:gridCol w:w="458"/>
              <w:gridCol w:w="800"/>
              <w:gridCol w:w="1039"/>
              <w:gridCol w:w="779"/>
              <w:gridCol w:w="1757"/>
            </w:tblGrid>
            <w:tr w14:paraId="7B375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7" w:type="pct"/>
                  <w:vMerge w:val="restart"/>
                  <w:tcBorders>
                    <w:tl2br w:val="nil"/>
                    <w:tr2bl w:val="nil"/>
                  </w:tcBorders>
                  <w:vAlign w:val="center"/>
                </w:tcPr>
                <w:p w14:paraId="425C53B6">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排放口编号</w:t>
                  </w:r>
                </w:p>
              </w:tc>
              <w:tc>
                <w:tcPr>
                  <w:tcW w:w="1122" w:type="pct"/>
                  <w:gridSpan w:val="2"/>
                  <w:tcBorders>
                    <w:tl2br w:val="nil"/>
                    <w:tr2bl w:val="nil"/>
                  </w:tcBorders>
                  <w:vAlign w:val="center"/>
                </w:tcPr>
                <w:p w14:paraId="4F9BEF51">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排放口地理坐标</w:t>
                  </w:r>
                </w:p>
              </w:tc>
              <w:tc>
                <w:tcPr>
                  <w:tcW w:w="517" w:type="pct"/>
                  <w:vMerge w:val="restart"/>
                  <w:tcBorders>
                    <w:tl2br w:val="nil"/>
                    <w:tr2bl w:val="nil"/>
                  </w:tcBorders>
                  <w:vAlign w:val="center"/>
                </w:tcPr>
                <w:p w14:paraId="6C2AC5FE">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废水排放量</w:t>
                  </w:r>
                </w:p>
                <w:p w14:paraId="5C4DE866">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rPr>
                    <w:t>万t/a</w:t>
                  </w:r>
                  <w:r>
                    <w:rPr>
                      <w:rFonts w:hint="default" w:ascii="Times New Roman" w:hAnsi="Times New Roman" w:eastAsia="仿宋" w:cs="Times New Roman"/>
                      <w:b/>
                      <w:color w:val="auto"/>
                      <w:sz w:val="21"/>
                      <w:szCs w:val="21"/>
                      <w:highlight w:val="none"/>
                      <w:lang w:eastAsia="zh-CN"/>
                    </w:rPr>
                    <w:t>）</w:t>
                  </w:r>
                </w:p>
              </w:tc>
              <w:tc>
                <w:tcPr>
                  <w:tcW w:w="385" w:type="pct"/>
                  <w:vMerge w:val="restart"/>
                  <w:tcBorders>
                    <w:tl2br w:val="nil"/>
                    <w:tr2bl w:val="nil"/>
                  </w:tcBorders>
                  <w:vAlign w:val="center"/>
                </w:tcPr>
                <w:p w14:paraId="633856D4">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排放去向</w:t>
                  </w:r>
                </w:p>
              </w:tc>
              <w:tc>
                <w:tcPr>
                  <w:tcW w:w="243" w:type="pct"/>
                  <w:vMerge w:val="restart"/>
                  <w:tcBorders>
                    <w:tl2br w:val="nil"/>
                    <w:tr2bl w:val="nil"/>
                  </w:tcBorders>
                  <w:vAlign w:val="center"/>
                </w:tcPr>
                <w:p w14:paraId="28B29DD9">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排放规律</w:t>
                  </w:r>
                </w:p>
              </w:tc>
              <w:tc>
                <w:tcPr>
                  <w:tcW w:w="425" w:type="pct"/>
                  <w:vMerge w:val="restart"/>
                  <w:tcBorders>
                    <w:tl2br w:val="nil"/>
                    <w:tr2bl w:val="nil"/>
                  </w:tcBorders>
                  <w:vAlign w:val="center"/>
                </w:tcPr>
                <w:p w14:paraId="64FD7670">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间歇排放时段</w:t>
                  </w:r>
                </w:p>
              </w:tc>
              <w:tc>
                <w:tcPr>
                  <w:tcW w:w="1899" w:type="pct"/>
                  <w:gridSpan w:val="3"/>
                  <w:tcBorders>
                    <w:tl2br w:val="nil"/>
                    <w:tr2bl w:val="nil"/>
                  </w:tcBorders>
                  <w:vAlign w:val="center"/>
                </w:tcPr>
                <w:p w14:paraId="765E2989">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受纳污水处理厂信息</w:t>
                  </w:r>
                </w:p>
              </w:tc>
            </w:tr>
            <w:tr w14:paraId="0F5921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7" w:type="pct"/>
                  <w:vMerge w:val="continue"/>
                  <w:tcBorders>
                    <w:tl2br w:val="nil"/>
                    <w:tr2bl w:val="nil"/>
                  </w:tcBorders>
                  <w:vAlign w:val="center"/>
                </w:tcPr>
                <w:p w14:paraId="52814F15">
                  <w:pPr>
                    <w:pStyle w:val="29"/>
                    <w:rPr>
                      <w:rFonts w:hint="default" w:ascii="Times New Roman" w:hAnsi="Times New Roman" w:eastAsia="仿宋" w:cs="Times New Roman"/>
                      <w:b/>
                      <w:color w:val="auto"/>
                      <w:sz w:val="21"/>
                      <w:szCs w:val="21"/>
                      <w:highlight w:val="none"/>
                    </w:rPr>
                  </w:pPr>
                </w:p>
              </w:tc>
              <w:tc>
                <w:tcPr>
                  <w:tcW w:w="589" w:type="pct"/>
                  <w:tcBorders>
                    <w:tl2br w:val="nil"/>
                    <w:tr2bl w:val="nil"/>
                  </w:tcBorders>
                  <w:vAlign w:val="center"/>
                </w:tcPr>
                <w:p w14:paraId="52D5C590">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经度/°</w:t>
                  </w:r>
                </w:p>
              </w:tc>
              <w:tc>
                <w:tcPr>
                  <w:tcW w:w="533" w:type="pct"/>
                  <w:tcBorders>
                    <w:tl2br w:val="nil"/>
                    <w:tr2bl w:val="nil"/>
                  </w:tcBorders>
                  <w:vAlign w:val="center"/>
                </w:tcPr>
                <w:p w14:paraId="228CC058">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纬度/°</w:t>
                  </w:r>
                </w:p>
              </w:tc>
              <w:tc>
                <w:tcPr>
                  <w:tcW w:w="517" w:type="pct"/>
                  <w:vMerge w:val="continue"/>
                  <w:tcBorders>
                    <w:tl2br w:val="nil"/>
                    <w:tr2bl w:val="nil"/>
                  </w:tcBorders>
                  <w:vAlign w:val="center"/>
                </w:tcPr>
                <w:p w14:paraId="1EDF309C">
                  <w:pPr>
                    <w:pStyle w:val="29"/>
                    <w:rPr>
                      <w:rFonts w:hint="default" w:ascii="Times New Roman" w:hAnsi="Times New Roman" w:eastAsia="仿宋" w:cs="Times New Roman"/>
                      <w:b/>
                      <w:color w:val="auto"/>
                      <w:sz w:val="21"/>
                      <w:szCs w:val="21"/>
                      <w:highlight w:val="none"/>
                    </w:rPr>
                  </w:pPr>
                </w:p>
              </w:tc>
              <w:tc>
                <w:tcPr>
                  <w:tcW w:w="385" w:type="pct"/>
                  <w:vMerge w:val="continue"/>
                  <w:tcBorders>
                    <w:tl2br w:val="nil"/>
                    <w:tr2bl w:val="nil"/>
                  </w:tcBorders>
                  <w:vAlign w:val="center"/>
                </w:tcPr>
                <w:p w14:paraId="4D5DBF12">
                  <w:pPr>
                    <w:pStyle w:val="29"/>
                    <w:rPr>
                      <w:rFonts w:hint="default" w:ascii="Times New Roman" w:hAnsi="Times New Roman" w:eastAsia="仿宋" w:cs="Times New Roman"/>
                      <w:b/>
                      <w:color w:val="auto"/>
                      <w:sz w:val="21"/>
                      <w:szCs w:val="21"/>
                      <w:highlight w:val="none"/>
                    </w:rPr>
                  </w:pPr>
                </w:p>
              </w:tc>
              <w:tc>
                <w:tcPr>
                  <w:tcW w:w="243" w:type="pct"/>
                  <w:vMerge w:val="continue"/>
                  <w:tcBorders>
                    <w:tl2br w:val="nil"/>
                    <w:tr2bl w:val="nil"/>
                  </w:tcBorders>
                  <w:vAlign w:val="center"/>
                </w:tcPr>
                <w:p w14:paraId="591D0251">
                  <w:pPr>
                    <w:pStyle w:val="29"/>
                    <w:rPr>
                      <w:rFonts w:hint="default" w:ascii="Times New Roman" w:hAnsi="Times New Roman" w:eastAsia="仿宋" w:cs="Times New Roman"/>
                      <w:b/>
                      <w:color w:val="auto"/>
                      <w:sz w:val="21"/>
                      <w:szCs w:val="21"/>
                      <w:highlight w:val="none"/>
                    </w:rPr>
                  </w:pPr>
                </w:p>
              </w:tc>
              <w:tc>
                <w:tcPr>
                  <w:tcW w:w="425" w:type="pct"/>
                  <w:vMerge w:val="continue"/>
                  <w:tcBorders>
                    <w:tl2br w:val="nil"/>
                    <w:tr2bl w:val="nil"/>
                  </w:tcBorders>
                  <w:vAlign w:val="center"/>
                </w:tcPr>
                <w:p w14:paraId="773F6226">
                  <w:pPr>
                    <w:pStyle w:val="29"/>
                    <w:rPr>
                      <w:rFonts w:hint="default" w:ascii="Times New Roman" w:hAnsi="Times New Roman" w:eastAsia="仿宋" w:cs="Times New Roman"/>
                      <w:b/>
                      <w:color w:val="auto"/>
                      <w:sz w:val="21"/>
                      <w:szCs w:val="21"/>
                      <w:highlight w:val="none"/>
                    </w:rPr>
                  </w:pPr>
                </w:p>
              </w:tc>
              <w:tc>
                <w:tcPr>
                  <w:tcW w:w="552" w:type="pct"/>
                  <w:tcBorders>
                    <w:tl2br w:val="nil"/>
                    <w:tr2bl w:val="nil"/>
                  </w:tcBorders>
                  <w:vAlign w:val="center"/>
                </w:tcPr>
                <w:p w14:paraId="418D2A28">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名称</w:t>
                  </w:r>
                </w:p>
              </w:tc>
              <w:tc>
                <w:tcPr>
                  <w:tcW w:w="414" w:type="pct"/>
                  <w:tcBorders>
                    <w:tl2br w:val="nil"/>
                    <w:tr2bl w:val="nil"/>
                  </w:tcBorders>
                  <w:vAlign w:val="center"/>
                </w:tcPr>
                <w:p w14:paraId="2603DFBD">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污染物种类</w:t>
                  </w:r>
                </w:p>
              </w:tc>
              <w:tc>
                <w:tcPr>
                  <w:tcW w:w="932" w:type="pct"/>
                  <w:tcBorders>
                    <w:tl2br w:val="nil"/>
                    <w:tr2bl w:val="nil"/>
                  </w:tcBorders>
                  <w:vAlign w:val="center"/>
                </w:tcPr>
                <w:p w14:paraId="265BC5D9">
                  <w:pPr>
                    <w:pStyle w:val="29"/>
                    <w:rPr>
                      <w:rFonts w:hint="default" w:ascii="Times New Roman" w:hAnsi="Times New Roman" w:eastAsia="仿宋" w:cs="Times New Roman"/>
                      <w:b/>
                      <w:color w:val="auto"/>
                      <w:sz w:val="21"/>
                      <w:szCs w:val="21"/>
                      <w:highlight w:val="none"/>
                      <w:lang w:eastAsia="zh-CN"/>
                    </w:rPr>
                  </w:pPr>
                  <w:r>
                    <w:rPr>
                      <w:rFonts w:hint="default" w:ascii="Times New Roman" w:hAnsi="Times New Roman" w:eastAsia="仿宋" w:cs="Times New Roman"/>
                      <w:b/>
                      <w:color w:val="auto"/>
                      <w:sz w:val="21"/>
                      <w:szCs w:val="21"/>
                      <w:highlight w:val="none"/>
                    </w:rPr>
                    <w:t>国家</w:t>
                  </w:r>
                  <w:r>
                    <w:rPr>
                      <w:rFonts w:hint="default" w:ascii="Times New Roman" w:hAnsi="Times New Roman" w:eastAsia="仿宋" w:cs="Times New Roman"/>
                      <w:b/>
                      <w:color w:val="auto"/>
                      <w:sz w:val="21"/>
                      <w:szCs w:val="21"/>
                      <w:highlight w:val="none"/>
                      <w:lang w:eastAsia="zh-CN"/>
                    </w:rPr>
                    <w:t>或重</w:t>
                  </w:r>
                  <w:r>
                    <w:rPr>
                      <w:rFonts w:hint="default" w:ascii="Times New Roman" w:hAnsi="Times New Roman" w:eastAsia="仿宋" w:cs="Times New Roman"/>
                      <w:b/>
                      <w:color w:val="auto"/>
                      <w:sz w:val="21"/>
                      <w:szCs w:val="21"/>
                      <w:highlight w:val="none"/>
                    </w:rPr>
                    <w:t>点污染物排放标准浓度限值</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lang w:val="en-US" w:eastAsia="zh-CN"/>
                    </w:rPr>
                    <w:t>mg/L</w:t>
                  </w:r>
                  <w:r>
                    <w:rPr>
                      <w:rFonts w:hint="default" w:ascii="Times New Roman" w:hAnsi="Times New Roman" w:eastAsia="仿宋" w:cs="Times New Roman"/>
                      <w:b/>
                      <w:color w:val="auto"/>
                      <w:sz w:val="21"/>
                      <w:szCs w:val="21"/>
                      <w:highlight w:val="none"/>
                      <w:lang w:eastAsia="zh-CN"/>
                    </w:rPr>
                    <w:t>）</w:t>
                  </w:r>
                </w:p>
              </w:tc>
            </w:tr>
            <w:tr w14:paraId="3AC75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7" w:type="pct"/>
                  <w:vMerge w:val="restart"/>
                  <w:tcBorders>
                    <w:tl2br w:val="nil"/>
                    <w:tr2bl w:val="nil"/>
                  </w:tcBorders>
                  <w:vAlign w:val="center"/>
                </w:tcPr>
                <w:p w14:paraId="66845832">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DW</w:t>
                  </w:r>
                </w:p>
                <w:p w14:paraId="1F7A67C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001</w:t>
                  </w:r>
                </w:p>
              </w:tc>
              <w:tc>
                <w:tcPr>
                  <w:tcW w:w="589" w:type="pct"/>
                  <w:vMerge w:val="restart"/>
                  <w:tcBorders>
                    <w:tl2br w:val="nil"/>
                    <w:tr2bl w:val="nil"/>
                  </w:tcBorders>
                  <w:vAlign w:val="center"/>
                </w:tcPr>
                <w:p w14:paraId="43EF32E6">
                  <w:pPr>
                    <w:rPr>
                      <w:rFonts w:hint="default" w:ascii="Times New Roman" w:hAnsi="Times New Roman" w:eastAsia="仿宋" w:cs="Times New Roman"/>
                      <w:color w:val="auto"/>
                      <w:sz w:val="21"/>
                      <w:szCs w:val="21"/>
                      <w:highlight w:val="none"/>
                      <w:lang w:val="en-US" w:eastAsia="zh-CN"/>
                    </w:rPr>
                  </w:pPr>
                  <w:r>
                    <w:rPr>
                      <w:rFonts w:hint="eastAsia"/>
                      <w:highlight w:val="none"/>
                    </w:rPr>
                    <w:t>120.58834</w:t>
                  </w:r>
                </w:p>
              </w:tc>
              <w:tc>
                <w:tcPr>
                  <w:tcW w:w="533" w:type="pct"/>
                  <w:vMerge w:val="restart"/>
                  <w:tcBorders>
                    <w:tl2br w:val="nil"/>
                    <w:tr2bl w:val="nil"/>
                  </w:tcBorders>
                  <w:vAlign w:val="center"/>
                </w:tcPr>
                <w:p w14:paraId="54B7DA31">
                  <w:pPr>
                    <w:rPr>
                      <w:rFonts w:hint="default" w:ascii="Times New Roman" w:hAnsi="Times New Roman" w:eastAsia="仿宋" w:cs="Times New Roman"/>
                      <w:color w:val="auto"/>
                      <w:sz w:val="21"/>
                      <w:szCs w:val="21"/>
                      <w:highlight w:val="none"/>
                      <w:lang w:val="en-US" w:eastAsia="zh-CN"/>
                    </w:rPr>
                  </w:pPr>
                  <w:r>
                    <w:rPr>
                      <w:rFonts w:hint="eastAsia"/>
                      <w:highlight w:val="none"/>
                    </w:rPr>
                    <w:t>31.46566</w:t>
                  </w:r>
                </w:p>
              </w:tc>
              <w:tc>
                <w:tcPr>
                  <w:tcW w:w="517" w:type="pct"/>
                  <w:vMerge w:val="restart"/>
                  <w:tcBorders>
                    <w:tl2br w:val="nil"/>
                    <w:tr2bl w:val="nil"/>
                  </w:tcBorders>
                  <w:vAlign w:val="center"/>
                </w:tcPr>
                <w:p w14:paraId="4F28FE91">
                  <w:pPr>
                    <w:pStyle w:val="2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w:t>
                  </w:r>
                  <w:r>
                    <w:rPr>
                      <w:rFonts w:hint="eastAsia" w:eastAsia="仿宋" w:cs="Times New Roman"/>
                      <w:color w:val="auto"/>
                      <w:sz w:val="21"/>
                      <w:szCs w:val="21"/>
                      <w:highlight w:val="none"/>
                      <w:lang w:val="en-US" w:eastAsia="zh-CN"/>
                    </w:rPr>
                    <w:t>03</w:t>
                  </w:r>
                </w:p>
              </w:tc>
              <w:tc>
                <w:tcPr>
                  <w:tcW w:w="385" w:type="pct"/>
                  <w:vMerge w:val="restart"/>
                  <w:tcBorders>
                    <w:tl2br w:val="nil"/>
                    <w:tr2bl w:val="nil"/>
                  </w:tcBorders>
                  <w:vAlign w:val="center"/>
                </w:tcPr>
                <w:p w14:paraId="1E46842A">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城市污水处理厂</w:t>
                  </w:r>
                </w:p>
              </w:tc>
              <w:tc>
                <w:tcPr>
                  <w:tcW w:w="243" w:type="pct"/>
                  <w:vMerge w:val="restart"/>
                  <w:tcBorders>
                    <w:tl2br w:val="nil"/>
                    <w:tr2bl w:val="nil"/>
                  </w:tcBorders>
                  <w:vAlign w:val="center"/>
                </w:tcPr>
                <w:p w14:paraId="1B10277F">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间歇</w:t>
                  </w:r>
                </w:p>
              </w:tc>
              <w:tc>
                <w:tcPr>
                  <w:tcW w:w="425" w:type="pct"/>
                  <w:vMerge w:val="restart"/>
                  <w:tcBorders>
                    <w:tl2br w:val="nil"/>
                    <w:tr2bl w:val="nil"/>
                  </w:tcBorders>
                  <w:vAlign w:val="center"/>
                </w:tcPr>
                <w:p w14:paraId="73D49A2B">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w:t>
                  </w:r>
                </w:p>
              </w:tc>
              <w:tc>
                <w:tcPr>
                  <w:tcW w:w="552" w:type="pct"/>
                  <w:vMerge w:val="restart"/>
                  <w:tcBorders>
                    <w:tl2br w:val="nil"/>
                    <w:tr2bl w:val="nil"/>
                  </w:tcBorders>
                  <w:vAlign w:val="center"/>
                </w:tcPr>
                <w:p w14:paraId="59C5A8C9">
                  <w:pPr>
                    <w:pStyle w:val="29"/>
                    <w:rPr>
                      <w:rFonts w:hint="eastAsia" w:ascii="Times New Roman" w:hAnsi="Times New Roman" w:eastAsia="仿宋" w:cs="Times New Roman"/>
                      <w:color w:val="auto"/>
                      <w:sz w:val="21"/>
                      <w:szCs w:val="21"/>
                      <w:highlight w:val="none"/>
                      <w:lang w:eastAsia="zh-CN"/>
                    </w:rPr>
                  </w:pPr>
                  <w:r>
                    <w:rPr>
                      <w:rFonts w:hint="eastAsia" w:ascii="Times New Roman" w:hAnsi="Times New Roman" w:eastAsia="仿宋" w:cs="Times New Roman"/>
                      <w:color w:val="auto"/>
                      <w:sz w:val="21"/>
                      <w:szCs w:val="21"/>
                      <w:highlight w:val="none"/>
                      <w:lang w:val="en-US" w:eastAsia="zh-CN"/>
                    </w:rPr>
                    <w:t>苏州市相润排水管理有限公司（漕湖污水处理厂）</w:t>
                  </w:r>
                </w:p>
              </w:tc>
              <w:tc>
                <w:tcPr>
                  <w:tcW w:w="414" w:type="pct"/>
                  <w:tcBorders>
                    <w:tl2br w:val="nil"/>
                    <w:tr2bl w:val="nil"/>
                  </w:tcBorders>
                  <w:vAlign w:val="center"/>
                </w:tcPr>
                <w:p w14:paraId="1EA05D8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pH</w:t>
                  </w:r>
                </w:p>
              </w:tc>
              <w:tc>
                <w:tcPr>
                  <w:tcW w:w="932" w:type="pct"/>
                  <w:tcBorders>
                    <w:tl2br w:val="nil"/>
                    <w:tr2bl w:val="nil"/>
                  </w:tcBorders>
                  <w:vAlign w:val="center"/>
                </w:tcPr>
                <w:p w14:paraId="5E8E4BF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6~9</w:t>
                  </w:r>
                </w:p>
                <w:p w14:paraId="17825FCC">
                  <w:pPr>
                    <w:pStyle w:val="29"/>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无量纲</w:t>
                  </w:r>
                  <w:r>
                    <w:rPr>
                      <w:rFonts w:hint="default" w:ascii="Times New Roman" w:hAnsi="Times New Roman" w:eastAsia="仿宋" w:cs="Times New Roman"/>
                      <w:color w:val="auto"/>
                      <w:sz w:val="21"/>
                      <w:szCs w:val="21"/>
                      <w:highlight w:val="none"/>
                      <w:lang w:eastAsia="zh-CN"/>
                    </w:rPr>
                    <w:t>）</w:t>
                  </w:r>
                </w:p>
              </w:tc>
            </w:tr>
            <w:tr w14:paraId="23DECA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407" w:type="pct"/>
                  <w:vMerge w:val="continue"/>
                  <w:tcBorders>
                    <w:tl2br w:val="nil"/>
                    <w:tr2bl w:val="nil"/>
                  </w:tcBorders>
                  <w:vAlign w:val="center"/>
                </w:tcPr>
                <w:p w14:paraId="0E7410C4">
                  <w:pPr>
                    <w:pStyle w:val="29"/>
                    <w:rPr>
                      <w:rFonts w:hint="default" w:ascii="Times New Roman" w:hAnsi="Times New Roman" w:eastAsia="仿宋" w:cs="Times New Roman"/>
                      <w:color w:val="auto"/>
                      <w:sz w:val="21"/>
                      <w:szCs w:val="21"/>
                      <w:highlight w:val="none"/>
                    </w:rPr>
                  </w:pPr>
                </w:p>
              </w:tc>
              <w:tc>
                <w:tcPr>
                  <w:tcW w:w="589" w:type="pct"/>
                  <w:vMerge w:val="continue"/>
                  <w:tcBorders>
                    <w:tl2br w:val="nil"/>
                    <w:tr2bl w:val="nil"/>
                  </w:tcBorders>
                  <w:vAlign w:val="center"/>
                </w:tcPr>
                <w:p w14:paraId="439BEC21">
                  <w:pPr>
                    <w:pStyle w:val="29"/>
                    <w:rPr>
                      <w:rFonts w:hint="default" w:ascii="Times New Roman" w:hAnsi="Times New Roman" w:eastAsia="仿宋" w:cs="Times New Roman"/>
                      <w:color w:val="auto"/>
                      <w:sz w:val="21"/>
                      <w:szCs w:val="21"/>
                      <w:highlight w:val="none"/>
                    </w:rPr>
                  </w:pPr>
                </w:p>
              </w:tc>
              <w:tc>
                <w:tcPr>
                  <w:tcW w:w="533" w:type="pct"/>
                  <w:vMerge w:val="continue"/>
                  <w:tcBorders>
                    <w:tl2br w:val="nil"/>
                    <w:tr2bl w:val="nil"/>
                  </w:tcBorders>
                  <w:vAlign w:val="center"/>
                </w:tcPr>
                <w:p w14:paraId="66EB7CA7">
                  <w:pPr>
                    <w:pStyle w:val="29"/>
                    <w:rPr>
                      <w:rFonts w:hint="default" w:ascii="Times New Roman" w:hAnsi="Times New Roman" w:eastAsia="仿宋" w:cs="Times New Roman"/>
                      <w:color w:val="auto"/>
                      <w:sz w:val="21"/>
                      <w:szCs w:val="21"/>
                      <w:highlight w:val="none"/>
                    </w:rPr>
                  </w:pPr>
                </w:p>
              </w:tc>
              <w:tc>
                <w:tcPr>
                  <w:tcW w:w="517" w:type="pct"/>
                  <w:vMerge w:val="continue"/>
                  <w:tcBorders>
                    <w:tl2br w:val="nil"/>
                    <w:tr2bl w:val="nil"/>
                  </w:tcBorders>
                  <w:vAlign w:val="center"/>
                </w:tcPr>
                <w:p w14:paraId="4497296B">
                  <w:pPr>
                    <w:pStyle w:val="29"/>
                    <w:rPr>
                      <w:rFonts w:hint="default" w:ascii="Times New Roman" w:hAnsi="Times New Roman" w:eastAsia="仿宋" w:cs="Times New Roman"/>
                      <w:color w:val="auto"/>
                      <w:sz w:val="21"/>
                      <w:szCs w:val="21"/>
                      <w:highlight w:val="none"/>
                    </w:rPr>
                  </w:pPr>
                </w:p>
              </w:tc>
              <w:tc>
                <w:tcPr>
                  <w:tcW w:w="385" w:type="pct"/>
                  <w:vMerge w:val="continue"/>
                  <w:tcBorders>
                    <w:tl2br w:val="nil"/>
                    <w:tr2bl w:val="nil"/>
                  </w:tcBorders>
                  <w:vAlign w:val="center"/>
                </w:tcPr>
                <w:p w14:paraId="4F2C4C99">
                  <w:pPr>
                    <w:pStyle w:val="29"/>
                    <w:rPr>
                      <w:rFonts w:hint="default" w:ascii="Times New Roman" w:hAnsi="Times New Roman" w:eastAsia="仿宋" w:cs="Times New Roman"/>
                      <w:color w:val="auto"/>
                      <w:sz w:val="21"/>
                      <w:szCs w:val="21"/>
                      <w:highlight w:val="none"/>
                    </w:rPr>
                  </w:pPr>
                </w:p>
              </w:tc>
              <w:tc>
                <w:tcPr>
                  <w:tcW w:w="243" w:type="pct"/>
                  <w:vMerge w:val="continue"/>
                  <w:tcBorders>
                    <w:tl2br w:val="nil"/>
                    <w:tr2bl w:val="nil"/>
                  </w:tcBorders>
                  <w:vAlign w:val="center"/>
                </w:tcPr>
                <w:p w14:paraId="7D64C72C">
                  <w:pPr>
                    <w:pStyle w:val="29"/>
                    <w:rPr>
                      <w:rFonts w:hint="default" w:ascii="Times New Roman" w:hAnsi="Times New Roman" w:eastAsia="仿宋" w:cs="Times New Roman"/>
                      <w:color w:val="auto"/>
                      <w:sz w:val="21"/>
                      <w:szCs w:val="21"/>
                      <w:highlight w:val="none"/>
                    </w:rPr>
                  </w:pPr>
                </w:p>
              </w:tc>
              <w:tc>
                <w:tcPr>
                  <w:tcW w:w="425" w:type="pct"/>
                  <w:vMerge w:val="continue"/>
                  <w:tcBorders>
                    <w:tl2br w:val="nil"/>
                    <w:tr2bl w:val="nil"/>
                  </w:tcBorders>
                  <w:vAlign w:val="center"/>
                </w:tcPr>
                <w:p w14:paraId="7D840558">
                  <w:pPr>
                    <w:pStyle w:val="29"/>
                    <w:rPr>
                      <w:rFonts w:hint="default" w:ascii="Times New Roman" w:hAnsi="Times New Roman" w:eastAsia="仿宋" w:cs="Times New Roman"/>
                      <w:color w:val="auto"/>
                      <w:sz w:val="21"/>
                      <w:szCs w:val="21"/>
                      <w:highlight w:val="none"/>
                    </w:rPr>
                  </w:pPr>
                </w:p>
              </w:tc>
              <w:tc>
                <w:tcPr>
                  <w:tcW w:w="552" w:type="pct"/>
                  <w:vMerge w:val="continue"/>
                  <w:tcBorders>
                    <w:tl2br w:val="nil"/>
                    <w:tr2bl w:val="nil"/>
                  </w:tcBorders>
                  <w:vAlign w:val="center"/>
                </w:tcPr>
                <w:p w14:paraId="0939A16D">
                  <w:pPr>
                    <w:pStyle w:val="29"/>
                    <w:rPr>
                      <w:rFonts w:hint="default" w:ascii="Times New Roman" w:hAnsi="Times New Roman" w:eastAsia="仿宋" w:cs="Times New Roman"/>
                      <w:color w:val="auto"/>
                      <w:sz w:val="21"/>
                      <w:szCs w:val="21"/>
                      <w:highlight w:val="none"/>
                    </w:rPr>
                  </w:pPr>
                </w:p>
              </w:tc>
              <w:tc>
                <w:tcPr>
                  <w:tcW w:w="414" w:type="pct"/>
                  <w:tcBorders>
                    <w:tl2br w:val="nil"/>
                    <w:tr2bl w:val="nil"/>
                  </w:tcBorders>
                  <w:vAlign w:val="center"/>
                </w:tcPr>
                <w:p w14:paraId="286DB36C">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COD</w:t>
                  </w:r>
                </w:p>
              </w:tc>
              <w:tc>
                <w:tcPr>
                  <w:tcW w:w="932" w:type="pct"/>
                  <w:tcBorders>
                    <w:tl2br w:val="nil"/>
                    <w:tr2bl w:val="nil"/>
                  </w:tcBorders>
                  <w:vAlign w:val="center"/>
                </w:tcPr>
                <w:p w14:paraId="2AC15F34">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30</w:t>
                  </w:r>
                </w:p>
              </w:tc>
            </w:tr>
            <w:tr w14:paraId="05603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7" w:type="pct"/>
                  <w:vMerge w:val="continue"/>
                  <w:tcBorders>
                    <w:tl2br w:val="nil"/>
                    <w:tr2bl w:val="nil"/>
                  </w:tcBorders>
                  <w:vAlign w:val="center"/>
                </w:tcPr>
                <w:p w14:paraId="5CCE6FF6">
                  <w:pPr>
                    <w:pStyle w:val="29"/>
                    <w:rPr>
                      <w:rFonts w:hint="default" w:ascii="Times New Roman" w:hAnsi="Times New Roman" w:eastAsia="仿宋" w:cs="Times New Roman"/>
                      <w:color w:val="auto"/>
                      <w:sz w:val="21"/>
                      <w:szCs w:val="21"/>
                      <w:highlight w:val="none"/>
                    </w:rPr>
                  </w:pPr>
                </w:p>
              </w:tc>
              <w:tc>
                <w:tcPr>
                  <w:tcW w:w="589" w:type="pct"/>
                  <w:vMerge w:val="continue"/>
                  <w:tcBorders>
                    <w:tl2br w:val="nil"/>
                    <w:tr2bl w:val="nil"/>
                  </w:tcBorders>
                  <w:vAlign w:val="center"/>
                </w:tcPr>
                <w:p w14:paraId="4FBDD788">
                  <w:pPr>
                    <w:pStyle w:val="29"/>
                    <w:rPr>
                      <w:rFonts w:hint="default" w:ascii="Times New Roman" w:hAnsi="Times New Roman" w:eastAsia="仿宋" w:cs="Times New Roman"/>
                      <w:color w:val="auto"/>
                      <w:sz w:val="21"/>
                      <w:szCs w:val="21"/>
                      <w:highlight w:val="none"/>
                    </w:rPr>
                  </w:pPr>
                </w:p>
              </w:tc>
              <w:tc>
                <w:tcPr>
                  <w:tcW w:w="533" w:type="pct"/>
                  <w:vMerge w:val="continue"/>
                  <w:tcBorders>
                    <w:tl2br w:val="nil"/>
                    <w:tr2bl w:val="nil"/>
                  </w:tcBorders>
                  <w:vAlign w:val="center"/>
                </w:tcPr>
                <w:p w14:paraId="7A2A8D22">
                  <w:pPr>
                    <w:pStyle w:val="29"/>
                    <w:rPr>
                      <w:rFonts w:hint="default" w:ascii="Times New Roman" w:hAnsi="Times New Roman" w:eastAsia="仿宋" w:cs="Times New Roman"/>
                      <w:color w:val="auto"/>
                      <w:sz w:val="21"/>
                      <w:szCs w:val="21"/>
                      <w:highlight w:val="none"/>
                    </w:rPr>
                  </w:pPr>
                </w:p>
              </w:tc>
              <w:tc>
                <w:tcPr>
                  <w:tcW w:w="517" w:type="pct"/>
                  <w:vMerge w:val="continue"/>
                  <w:tcBorders>
                    <w:tl2br w:val="nil"/>
                    <w:tr2bl w:val="nil"/>
                  </w:tcBorders>
                  <w:vAlign w:val="center"/>
                </w:tcPr>
                <w:p w14:paraId="7200397B">
                  <w:pPr>
                    <w:pStyle w:val="29"/>
                    <w:rPr>
                      <w:rFonts w:hint="default" w:ascii="Times New Roman" w:hAnsi="Times New Roman" w:eastAsia="仿宋" w:cs="Times New Roman"/>
                      <w:color w:val="auto"/>
                      <w:sz w:val="21"/>
                      <w:szCs w:val="21"/>
                      <w:highlight w:val="none"/>
                    </w:rPr>
                  </w:pPr>
                </w:p>
              </w:tc>
              <w:tc>
                <w:tcPr>
                  <w:tcW w:w="385" w:type="pct"/>
                  <w:vMerge w:val="continue"/>
                  <w:tcBorders>
                    <w:tl2br w:val="nil"/>
                    <w:tr2bl w:val="nil"/>
                  </w:tcBorders>
                  <w:vAlign w:val="center"/>
                </w:tcPr>
                <w:p w14:paraId="426C58BB">
                  <w:pPr>
                    <w:pStyle w:val="29"/>
                    <w:rPr>
                      <w:rFonts w:hint="default" w:ascii="Times New Roman" w:hAnsi="Times New Roman" w:eastAsia="仿宋" w:cs="Times New Roman"/>
                      <w:color w:val="auto"/>
                      <w:sz w:val="21"/>
                      <w:szCs w:val="21"/>
                      <w:highlight w:val="none"/>
                    </w:rPr>
                  </w:pPr>
                </w:p>
              </w:tc>
              <w:tc>
                <w:tcPr>
                  <w:tcW w:w="243" w:type="pct"/>
                  <w:vMerge w:val="continue"/>
                  <w:tcBorders>
                    <w:tl2br w:val="nil"/>
                    <w:tr2bl w:val="nil"/>
                  </w:tcBorders>
                  <w:vAlign w:val="center"/>
                </w:tcPr>
                <w:p w14:paraId="13ED67D3">
                  <w:pPr>
                    <w:pStyle w:val="29"/>
                    <w:rPr>
                      <w:rFonts w:hint="default" w:ascii="Times New Roman" w:hAnsi="Times New Roman" w:eastAsia="仿宋" w:cs="Times New Roman"/>
                      <w:color w:val="auto"/>
                      <w:sz w:val="21"/>
                      <w:szCs w:val="21"/>
                      <w:highlight w:val="none"/>
                    </w:rPr>
                  </w:pPr>
                </w:p>
              </w:tc>
              <w:tc>
                <w:tcPr>
                  <w:tcW w:w="425" w:type="pct"/>
                  <w:vMerge w:val="continue"/>
                  <w:tcBorders>
                    <w:tl2br w:val="nil"/>
                    <w:tr2bl w:val="nil"/>
                  </w:tcBorders>
                  <w:vAlign w:val="center"/>
                </w:tcPr>
                <w:p w14:paraId="3B3A4C39">
                  <w:pPr>
                    <w:pStyle w:val="29"/>
                    <w:rPr>
                      <w:rFonts w:hint="default" w:ascii="Times New Roman" w:hAnsi="Times New Roman" w:eastAsia="仿宋" w:cs="Times New Roman"/>
                      <w:color w:val="auto"/>
                      <w:sz w:val="21"/>
                      <w:szCs w:val="21"/>
                      <w:highlight w:val="none"/>
                    </w:rPr>
                  </w:pPr>
                </w:p>
              </w:tc>
              <w:tc>
                <w:tcPr>
                  <w:tcW w:w="552" w:type="pct"/>
                  <w:vMerge w:val="continue"/>
                  <w:tcBorders>
                    <w:tl2br w:val="nil"/>
                    <w:tr2bl w:val="nil"/>
                  </w:tcBorders>
                  <w:vAlign w:val="center"/>
                </w:tcPr>
                <w:p w14:paraId="4B246F73">
                  <w:pPr>
                    <w:pStyle w:val="29"/>
                    <w:rPr>
                      <w:rFonts w:hint="default" w:ascii="Times New Roman" w:hAnsi="Times New Roman" w:eastAsia="仿宋" w:cs="Times New Roman"/>
                      <w:color w:val="auto"/>
                      <w:sz w:val="21"/>
                      <w:szCs w:val="21"/>
                      <w:highlight w:val="none"/>
                    </w:rPr>
                  </w:pPr>
                </w:p>
              </w:tc>
              <w:tc>
                <w:tcPr>
                  <w:tcW w:w="414" w:type="pct"/>
                  <w:tcBorders>
                    <w:tl2br w:val="nil"/>
                    <w:tr2bl w:val="nil"/>
                  </w:tcBorders>
                  <w:vAlign w:val="center"/>
                </w:tcPr>
                <w:p w14:paraId="310303A4">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SS</w:t>
                  </w:r>
                </w:p>
              </w:tc>
              <w:tc>
                <w:tcPr>
                  <w:tcW w:w="932" w:type="pct"/>
                  <w:tcBorders>
                    <w:tl2br w:val="nil"/>
                    <w:tr2bl w:val="nil"/>
                  </w:tcBorders>
                  <w:vAlign w:val="center"/>
                </w:tcPr>
                <w:p w14:paraId="1DD315E6">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10</w:t>
                  </w:r>
                </w:p>
              </w:tc>
            </w:tr>
            <w:tr w14:paraId="791BF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7" w:type="pct"/>
                  <w:vMerge w:val="continue"/>
                  <w:tcBorders>
                    <w:tl2br w:val="nil"/>
                    <w:tr2bl w:val="nil"/>
                  </w:tcBorders>
                  <w:vAlign w:val="center"/>
                </w:tcPr>
                <w:p w14:paraId="1FC9B5C6">
                  <w:pPr>
                    <w:pStyle w:val="29"/>
                    <w:rPr>
                      <w:rFonts w:hint="default" w:ascii="Times New Roman" w:hAnsi="Times New Roman" w:eastAsia="仿宋" w:cs="Times New Roman"/>
                      <w:color w:val="auto"/>
                      <w:sz w:val="21"/>
                      <w:szCs w:val="21"/>
                      <w:highlight w:val="none"/>
                    </w:rPr>
                  </w:pPr>
                </w:p>
              </w:tc>
              <w:tc>
                <w:tcPr>
                  <w:tcW w:w="589" w:type="pct"/>
                  <w:vMerge w:val="continue"/>
                  <w:tcBorders>
                    <w:tl2br w:val="nil"/>
                    <w:tr2bl w:val="nil"/>
                  </w:tcBorders>
                  <w:vAlign w:val="center"/>
                </w:tcPr>
                <w:p w14:paraId="0224B758">
                  <w:pPr>
                    <w:pStyle w:val="29"/>
                    <w:rPr>
                      <w:rFonts w:hint="default" w:ascii="Times New Roman" w:hAnsi="Times New Roman" w:eastAsia="仿宋" w:cs="Times New Roman"/>
                      <w:color w:val="auto"/>
                      <w:sz w:val="21"/>
                      <w:szCs w:val="21"/>
                      <w:highlight w:val="none"/>
                    </w:rPr>
                  </w:pPr>
                </w:p>
              </w:tc>
              <w:tc>
                <w:tcPr>
                  <w:tcW w:w="533" w:type="pct"/>
                  <w:vMerge w:val="continue"/>
                  <w:tcBorders>
                    <w:tl2br w:val="nil"/>
                    <w:tr2bl w:val="nil"/>
                  </w:tcBorders>
                  <w:vAlign w:val="center"/>
                </w:tcPr>
                <w:p w14:paraId="4873CBE0">
                  <w:pPr>
                    <w:pStyle w:val="29"/>
                    <w:rPr>
                      <w:rFonts w:hint="default" w:ascii="Times New Roman" w:hAnsi="Times New Roman" w:eastAsia="仿宋" w:cs="Times New Roman"/>
                      <w:color w:val="auto"/>
                      <w:sz w:val="21"/>
                      <w:szCs w:val="21"/>
                      <w:highlight w:val="none"/>
                    </w:rPr>
                  </w:pPr>
                </w:p>
              </w:tc>
              <w:tc>
                <w:tcPr>
                  <w:tcW w:w="517" w:type="pct"/>
                  <w:vMerge w:val="continue"/>
                  <w:tcBorders>
                    <w:tl2br w:val="nil"/>
                    <w:tr2bl w:val="nil"/>
                  </w:tcBorders>
                  <w:vAlign w:val="center"/>
                </w:tcPr>
                <w:p w14:paraId="699A48DF">
                  <w:pPr>
                    <w:pStyle w:val="29"/>
                    <w:rPr>
                      <w:rFonts w:hint="default" w:ascii="Times New Roman" w:hAnsi="Times New Roman" w:eastAsia="仿宋" w:cs="Times New Roman"/>
                      <w:color w:val="auto"/>
                      <w:sz w:val="21"/>
                      <w:szCs w:val="21"/>
                      <w:highlight w:val="none"/>
                    </w:rPr>
                  </w:pPr>
                </w:p>
              </w:tc>
              <w:tc>
                <w:tcPr>
                  <w:tcW w:w="385" w:type="pct"/>
                  <w:vMerge w:val="continue"/>
                  <w:tcBorders>
                    <w:tl2br w:val="nil"/>
                    <w:tr2bl w:val="nil"/>
                  </w:tcBorders>
                  <w:vAlign w:val="center"/>
                </w:tcPr>
                <w:p w14:paraId="705C0DD8">
                  <w:pPr>
                    <w:pStyle w:val="29"/>
                    <w:rPr>
                      <w:rFonts w:hint="default" w:ascii="Times New Roman" w:hAnsi="Times New Roman" w:eastAsia="仿宋" w:cs="Times New Roman"/>
                      <w:color w:val="auto"/>
                      <w:sz w:val="21"/>
                      <w:szCs w:val="21"/>
                      <w:highlight w:val="none"/>
                    </w:rPr>
                  </w:pPr>
                </w:p>
              </w:tc>
              <w:tc>
                <w:tcPr>
                  <w:tcW w:w="243" w:type="pct"/>
                  <w:vMerge w:val="continue"/>
                  <w:tcBorders>
                    <w:tl2br w:val="nil"/>
                    <w:tr2bl w:val="nil"/>
                  </w:tcBorders>
                  <w:vAlign w:val="center"/>
                </w:tcPr>
                <w:p w14:paraId="4D19A065">
                  <w:pPr>
                    <w:pStyle w:val="29"/>
                    <w:rPr>
                      <w:rFonts w:hint="default" w:ascii="Times New Roman" w:hAnsi="Times New Roman" w:eastAsia="仿宋" w:cs="Times New Roman"/>
                      <w:color w:val="auto"/>
                      <w:sz w:val="21"/>
                      <w:szCs w:val="21"/>
                      <w:highlight w:val="none"/>
                    </w:rPr>
                  </w:pPr>
                </w:p>
              </w:tc>
              <w:tc>
                <w:tcPr>
                  <w:tcW w:w="425" w:type="pct"/>
                  <w:vMerge w:val="continue"/>
                  <w:tcBorders>
                    <w:tl2br w:val="nil"/>
                    <w:tr2bl w:val="nil"/>
                  </w:tcBorders>
                  <w:vAlign w:val="center"/>
                </w:tcPr>
                <w:p w14:paraId="1FA14845">
                  <w:pPr>
                    <w:pStyle w:val="29"/>
                    <w:rPr>
                      <w:rFonts w:hint="default" w:ascii="Times New Roman" w:hAnsi="Times New Roman" w:eastAsia="仿宋" w:cs="Times New Roman"/>
                      <w:color w:val="auto"/>
                      <w:sz w:val="21"/>
                      <w:szCs w:val="21"/>
                      <w:highlight w:val="none"/>
                    </w:rPr>
                  </w:pPr>
                </w:p>
              </w:tc>
              <w:tc>
                <w:tcPr>
                  <w:tcW w:w="552" w:type="pct"/>
                  <w:vMerge w:val="continue"/>
                  <w:tcBorders>
                    <w:tl2br w:val="nil"/>
                    <w:tr2bl w:val="nil"/>
                  </w:tcBorders>
                  <w:vAlign w:val="center"/>
                </w:tcPr>
                <w:p w14:paraId="12FB2D19">
                  <w:pPr>
                    <w:pStyle w:val="29"/>
                    <w:rPr>
                      <w:rFonts w:hint="default" w:ascii="Times New Roman" w:hAnsi="Times New Roman" w:eastAsia="仿宋" w:cs="Times New Roman"/>
                      <w:color w:val="auto"/>
                      <w:sz w:val="21"/>
                      <w:szCs w:val="21"/>
                      <w:highlight w:val="none"/>
                    </w:rPr>
                  </w:pPr>
                </w:p>
              </w:tc>
              <w:tc>
                <w:tcPr>
                  <w:tcW w:w="414" w:type="pct"/>
                  <w:tcBorders>
                    <w:tl2br w:val="nil"/>
                    <w:tr2bl w:val="nil"/>
                  </w:tcBorders>
                  <w:vAlign w:val="center"/>
                </w:tcPr>
                <w:p w14:paraId="5BDDCAA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氨氮</w:t>
                  </w:r>
                </w:p>
              </w:tc>
              <w:tc>
                <w:tcPr>
                  <w:tcW w:w="932" w:type="pct"/>
                  <w:tcBorders>
                    <w:tl2br w:val="nil"/>
                    <w:tr2bl w:val="nil"/>
                  </w:tcBorders>
                  <w:vAlign w:val="center"/>
                </w:tcPr>
                <w:p w14:paraId="19145D3A">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1.5</w:t>
                  </w:r>
                  <w:r>
                    <w:rPr>
                      <w:rFonts w:hint="eastAsia" w:eastAsia="仿宋" w:cs="Times New Roman"/>
                      <w:color w:val="auto"/>
                      <w:sz w:val="21"/>
                      <w:szCs w:val="21"/>
                      <w:highlight w:val="none"/>
                      <w:lang w:eastAsia="zh-CN"/>
                    </w:rPr>
                    <w:t>（</w:t>
                  </w:r>
                  <w:r>
                    <w:rPr>
                      <w:rFonts w:hint="eastAsia" w:eastAsia="仿宋" w:cs="Times New Roman"/>
                      <w:color w:val="auto"/>
                      <w:sz w:val="21"/>
                      <w:szCs w:val="21"/>
                      <w:highlight w:val="none"/>
                      <w:lang w:val="en-US" w:eastAsia="zh-CN"/>
                    </w:rPr>
                    <w:t>3</w:t>
                  </w:r>
                  <w:r>
                    <w:rPr>
                      <w:rFonts w:hint="eastAsia" w:eastAsia="仿宋" w:cs="Times New Roman"/>
                      <w:color w:val="auto"/>
                      <w:sz w:val="21"/>
                      <w:szCs w:val="21"/>
                      <w:highlight w:val="none"/>
                      <w:lang w:eastAsia="zh-CN"/>
                    </w:rPr>
                    <w:t>）</w:t>
                  </w:r>
                  <w:r>
                    <w:rPr>
                      <w:rFonts w:hint="eastAsia" w:eastAsia="仿宋" w:cs="Times New Roman"/>
                      <w:color w:val="auto"/>
                      <w:sz w:val="21"/>
                      <w:szCs w:val="21"/>
                      <w:highlight w:val="none"/>
                      <w:lang w:val="en-US" w:eastAsia="zh-CN"/>
                    </w:rPr>
                    <w:t>*</w:t>
                  </w:r>
                </w:p>
              </w:tc>
            </w:tr>
            <w:tr w14:paraId="53B801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7" w:type="pct"/>
                  <w:vMerge w:val="continue"/>
                  <w:tcBorders>
                    <w:tl2br w:val="nil"/>
                    <w:tr2bl w:val="nil"/>
                  </w:tcBorders>
                  <w:vAlign w:val="center"/>
                </w:tcPr>
                <w:p w14:paraId="6BC6F273">
                  <w:pPr>
                    <w:pStyle w:val="29"/>
                    <w:rPr>
                      <w:rFonts w:hint="default" w:ascii="Times New Roman" w:hAnsi="Times New Roman" w:eastAsia="仿宋" w:cs="Times New Roman"/>
                      <w:color w:val="auto"/>
                      <w:sz w:val="21"/>
                      <w:szCs w:val="21"/>
                      <w:highlight w:val="none"/>
                    </w:rPr>
                  </w:pPr>
                </w:p>
              </w:tc>
              <w:tc>
                <w:tcPr>
                  <w:tcW w:w="589" w:type="pct"/>
                  <w:vMerge w:val="continue"/>
                  <w:tcBorders>
                    <w:tl2br w:val="nil"/>
                    <w:tr2bl w:val="nil"/>
                  </w:tcBorders>
                  <w:vAlign w:val="center"/>
                </w:tcPr>
                <w:p w14:paraId="57B05CF6">
                  <w:pPr>
                    <w:pStyle w:val="29"/>
                    <w:rPr>
                      <w:rFonts w:hint="default" w:ascii="Times New Roman" w:hAnsi="Times New Roman" w:eastAsia="仿宋" w:cs="Times New Roman"/>
                      <w:color w:val="auto"/>
                      <w:sz w:val="21"/>
                      <w:szCs w:val="21"/>
                      <w:highlight w:val="none"/>
                    </w:rPr>
                  </w:pPr>
                </w:p>
              </w:tc>
              <w:tc>
                <w:tcPr>
                  <w:tcW w:w="533" w:type="pct"/>
                  <w:vMerge w:val="continue"/>
                  <w:tcBorders>
                    <w:tl2br w:val="nil"/>
                    <w:tr2bl w:val="nil"/>
                  </w:tcBorders>
                  <w:vAlign w:val="center"/>
                </w:tcPr>
                <w:p w14:paraId="1C2BE392">
                  <w:pPr>
                    <w:pStyle w:val="29"/>
                    <w:rPr>
                      <w:rFonts w:hint="default" w:ascii="Times New Roman" w:hAnsi="Times New Roman" w:eastAsia="仿宋" w:cs="Times New Roman"/>
                      <w:color w:val="auto"/>
                      <w:sz w:val="21"/>
                      <w:szCs w:val="21"/>
                      <w:highlight w:val="none"/>
                    </w:rPr>
                  </w:pPr>
                </w:p>
              </w:tc>
              <w:tc>
                <w:tcPr>
                  <w:tcW w:w="517" w:type="pct"/>
                  <w:vMerge w:val="continue"/>
                  <w:tcBorders>
                    <w:tl2br w:val="nil"/>
                    <w:tr2bl w:val="nil"/>
                  </w:tcBorders>
                  <w:vAlign w:val="center"/>
                </w:tcPr>
                <w:p w14:paraId="4417CC44">
                  <w:pPr>
                    <w:pStyle w:val="29"/>
                    <w:rPr>
                      <w:rFonts w:hint="default" w:ascii="Times New Roman" w:hAnsi="Times New Roman" w:eastAsia="仿宋" w:cs="Times New Roman"/>
                      <w:color w:val="auto"/>
                      <w:sz w:val="21"/>
                      <w:szCs w:val="21"/>
                      <w:highlight w:val="none"/>
                    </w:rPr>
                  </w:pPr>
                </w:p>
              </w:tc>
              <w:tc>
                <w:tcPr>
                  <w:tcW w:w="385" w:type="pct"/>
                  <w:vMerge w:val="continue"/>
                  <w:tcBorders>
                    <w:tl2br w:val="nil"/>
                    <w:tr2bl w:val="nil"/>
                  </w:tcBorders>
                  <w:vAlign w:val="center"/>
                </w:tcPr>
                <w:p w14:paraId="3801808A">
                  <w:pPr>
                    <w:pStyle w:val="29"/>
                    <w:rPr>
                      <w:rFonts w:hint="default" w:ascii="Times New Roman" w:hAnsi="Times New Roman" w:eastAsia="仿宋" w:cs="Times New Roman"/>
                      <w:color w:val="auto"/>
                      <w:sz w:val="21"/>
                      <w:szCs w:val="21"/>
                      <w:highlight w:val="none"/>
                    </w:rPr>
                  </w:pPr>
                </w:p>
              </w:tc>
              <w:tc>
                <w:tcPr>
                  <w:tcW w:w="243" w:type="pct"/>
                  <w:vMerge w:val="continue"/>
                  <w:tcBorders>
                    <w:tl2br w:val="nil"/>
                    <w:tr2bl w:val="nil"/>
                  </w:tcBorders>
                  <w:vAlign w:val="center"/>
                </w:tcPr>
                <w:p w14:paraId="37D7640D">
                  <w:pPr>
                    <w:pStyle w:val="29"/>
                    <w:rPr>
                      <w:rFonts w:hint="default" w:ascii="Times New Roman" w:hAnsi="Times New Roman" w:eastAsia="仿宋" w:cs="Times New Roman"/>
                      <w:color w:val="auto"/>
                      <w:sz w:val="21"/>
                      <w:szCs w:val="21"/>
                      <w:highlight w:val="none"/>
                    </w:rPr>
                  </w:pPr>
                </w:p>
              </w:tc>
              <w:tc>
                <w:tcPr>
                  <w:tcW w:w="425" w:type="pct"/>
                  <w:vMerge w:val="continue"/>
                  <w:tcBorders>
                    <w:tl2br w:val="nil"/>
                    <w:tr2bl w:val="nil"/>
                  </w:tcBorders>
                  <w:vAlign w:val="center"/>
                </w:tcPr>
                <w:p w14:paraId="5CFDA36C">
                  <w:pPr>
                    <w:pStyle w:val="29"/>
                    <w:rPr>
                      <w:rFonts w:hint="default" w:ascii="Times New Roman" w:hAnsi="Times New Roman" w:eastAsia="仿宋" w:cs="Times New Roman"/>
                      <w:color w:val="auto"/>
                      <w:sz w:val="21"/>
                      <w:szCs w:val="21"/>
                      <w:highlight w:val="none"/>
                    </w:rPr>
                  </w:pPr>
                </w:p>
              </w:tc>
              <w:tc>
                <w:tcPr>
                  <w:tcW w:w="552" w:type="pct"/>
                  <w:vMerge w:val="continue"/>
                  <w:tcBorders>
                    <w:tl2br w:val="nil"/>
                    <w:tr2bl w:val="nil"/>
                  </w:tcBorders>
                  <w:vAlign w:val="center"/>
                </w:tcPr>
                <w:p w14:paraId="4F0DD1B5">
                  <w:pPr>
                    <w:pStyle w:val="29"/>
                    <w:rPr>
                      <w:rFonts w:hint="default" w:ascii="Times New Roman" w:hAnsi="Times New Roman" w:eastAsia="仿宋" w:cs="Times New Roman"/>
                      <w:color w:val="auto"/>
                      <w:sz w:val="21"/>
                      <w:szCs w:val="21"/>
                      <w:highlight w:val="none"/>
                    </w:rPr>
                  </w:pPr>
                </w:p>
              </w:tc>
              <w:tc>
                <w:tcPr>
                  <w:tcW w:w="414" w:type="pct"/>
                  <w:tcBorders>
                    <w:tl2br w:val="nil"/>
                    <w:tr2bl w:val="nil"/>
                  </w:tcBorders>
                  <w:vAlign w:val="center"/>
                </w:tcPr>
                <w:p w14:paraId="650574B2">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总磷</w:t>
                  </w:r>
                </w:p>
              </w:tc>
              <w:tc>
                <w:tcPr>
                  <w:tcW w:w="932" w:type="pct"/>
                  <w:tcBorders>
                    <w:tl2br w:val="nil"/>
                    <w:tr2bl w:val="nil"/>
                  </w:tcBorders>
                  <w:vAlign w:val="center"/>
                </w:tcPr>
                <w:p w14:paraId="703F0D78">
                  <w:pPr>
                    <w:pStyle w:val="29"/>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0.3</w:t>
                  </w:r>
                </w:p>
              </w:tc>
            </w:tr>
            <w:tr w14:paraId="6A3C40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7" w:type="pct"/>
                  <w:vMerge w:val="continue"/>
                  <w:tcBorders>
                    <w:tl2br w:val="nil"/>
                    <w:tr2bl w:val="nil"/>
                  </w:tcBorders>
                  <w:vAlign w:val="center"/>
                </w:tcPr>
                <w:p w14:paraId="3A64852E">
                  <w:pPr>
                    <w:pStyle w:val="29"/>
                    <w:rPr>
                      <w:rFonts w:hint="default" w:ascii="Times New Roman" w:hAnsi="Times New Roman" w:eastAsia="仿宋" w:cs="Times New Roman"/>
                      <w:color w:val="auto"/>
                      <w:sz w:val="21"/>
                      <w:szCs w:val="21"/>
                      <w:highlight w:val="none"/>
                    </w:rPr>
                  </w:pPr>
                </w:p>
              </w:tc>
              <w:tc>
                <w:tcPr>
                  <w:tcW w:w="589" w:type="pct"/>
                  <w:vMerge w:val="continue"/>
                  <w:tcBorders>
                    <w:tl2br w:val="nil"/>
                    <w:tr2bl w:val="nil"/>
                  </w:tcBorders>
                  <w:vAlign w:val="center"/>
                </w:tcPr>
                <w:p w14:paraId="0EC55975">
                  <w:pPr>
                    <w:pStyle w:val="29"/>
                    <w:rPr>
                      <w:rFonts w:hint="default" w:ascii="Times New Roman" w:hAnsi="Times New Roman" w:eastAsia="仿宋" w:cs="Times New Roman"/>
                      <w:color w:val="auto"/>
                      <w:sz w:val="21"/>
                      <w:szCs w:val="21"/>
                      <w:highlight w:val="none"/>
                    </w:rPr>
                  </w:pPr>
                </w:p>
              </w:tc>
              <w:tc>
                <w:tcPr>
                  <w:tcW w:w="533" w:type="pct"/>
                  <w:vMerge w:val="continue"/>
                  <w:tcBorders>
                    <w:tl2br w:val="nil"/>
                    <w:tr2bl w:val="nil"/>
                  </w:tcBorders>
                  <w:vAlign w:val="center"/>
                </w:tcPr>
                <w:p w14:paraId="0A8DDB94">
                  <w:pPr>
                    <w:pStyle w:val="29"/>
                    <w:rPr>
                      <w:rFonts w:hint="default" w:ascii="Times New Roman" w:hAnsi="Times New Roman" w:eastAsia="仿宋" w:cs="Times New Roman"/>
                      <w:color w:val="auto"/>
                      <w:sz w:val="21"/>
                      <w:szCs w:val="21"/>
                      <w:highlight w:val="none"/>
                    </w:rPr>
                  </w:pPr>
                </w:p>
              </w:tc>
              <w:tc>
                <w:tcPr>
                  <w:tcW w:w="517" w:type="pct"/>
                  <w:vMerge w:val="continue"/>
                  <w:tcBorders>
                    <w:tl2br w:val="nil"/>
                    <w:tr2bl w:val="nil"/>
                  </w:tcBorders>
                  <w:vAlign w:val="center"/>
                </w:tcPr>
                <w:p w14:paraId="2BFC1D04">
                  <w:pPr>
                    <w:pStyle w:val="29"/>
                    <w:rPr>
                      <w:rFonts w:hint="default" w:ascii="Times New Roman" w:hAnsi="Times New Roman" w:eastAsia="仿宋" w:cs="Times New Roman"/>
                      <w:color w:val="auto"/>
                      <w:sz w:val="21"/>
                      <w:szCs w:val="21"/>
                      <w:highlight w:val="none"/>
                    </w:rPr>
                  </w:pPr>
                </w:p>
              </w:tc>
              <w:tc>
                <w:tcPr>
                  <w:tcW w:w="385" w:type="pct"/>
                  <w:vMerge w:val="continue"/>
                  <w:tcBorders>
                    <w:tl2br w:val="nil"/>
                    <w:tr2bl w:val="nil"/>
                  </w:tcBorders>
                  <w:vAlign w:val="center"/>
                </w:tcPr>
                <w:p w14:paraId="09CBE933">
                  <w:pPr>
                    <w:pStyle w:val="29"/>
                    <w:rPr>
                      <w:rFonts w:hint="default" w:ascii="Times New Roman" w:hAnsi="Times New Roman" w:eastAsia="仿宋" w:cs="Times New Roman"/>
                      <w:color w:val="auto"/>
                      <w:sz w:val="21"/>
                      <w:szCs w:val="21"/>
                      <w:highlight w:val="none"/>
                    </w:rPr>
                  </w:pPr>
                </w:p>
              </w:tc>
              <w:tc>
                <w:tcPr>
                  <w:tcW w:w="243" w:type="pct"/>
                  <w:vMerge w:val="continue"/>
                  <w:tcBorders>
                    <w:tl2br w:val="nil"/>
                    <w:tr2bl w:val="nil"/>
                  </w:tcBorders>
                  <w:vAlign w:val="center"/>
                </w:tcPr>
                <w:p w14:paraId="556D0E25">
                  <w:pPr>
                    <w:pStyle w:val="29"/>
                    <w:rPr>
                      <w:rFonts w:hint="default" w:ascii="Times New Roman" w:hAnsi="Times New Roman" w:eastAsia="仿宋" w:cs="Times New Roman"/>
                      <w:color w:val="auto"/>
                      <w:sz w:val="21"/>
                      <w:szCs w:val="21"/>
                      <w:highlight w:val="none"/>
                    </w:rPr>
                  </w:pPr>
                </w:p>
              </w:tc>
              <w:tc>
                <w:tcPr>
                  <w:tcW w:w="425" w:type="pct"/>
                  <w:vMerge w:val="continue"/>
                  <w:tcBorders>
                    <w:tl2br w:val="nil"/>
                    <w:tr2bl w:val="nil"/>
                  </w:tcBorders>
                  <w:vAlign w:val="center"/>
                </w:tcPr>
                <w:p w14:paraId="2B468E17">
                  <w:pPr>
                    <w:pStyle w:val="29"/>
                    <w:rPr>
                      <w:rFonts w:hint="default" w:ascii="Times New Roman" w:hAnsi="Times New Roman" w:eastAsia="仿宋" w:cs="Times New Roman"/>
                      <w:color w:val="auto"/>
                      <w:sz w:val="21"/>
                      <w:szCs w:val="21"/>
                      <w:highlight w:val="none"/>
                    </w:rPr>
                  </w:pPr>
                </w:p>
              </w:tc>
              <w:tc>
                <w:tcPr>
                  <w:tcW w:w="552" w:type="pct"/>
                  <w:vMerge w:val="continue"/>
                  <w:tcBorders>
                    <w:tl2br w:val="nil"/>
                    <w:tr2bl w:val="nil"/>
                  </w:tcBorders>
                  <w:vAlign w:val="center"/>
                </w:tcPr>
                <w:p w14:paraId="745B4139">
                  <w:pPr>
                    <w:pStyle w:val="29"/>
                    <w:rPr>
                      <w:rFonts w:hint="default" w:ascii="Times New Roman" w:hAnsi="Times New Roman" w:eastAsia="仿宋" w:cs="Times New Roman"/>
                      <w:color w:val="auto"/>
                      <w:sz w:val="21"/>
                      <w:szCs w:val="21"/>
                      <w:highlight w:val="none"/>
                    </w:rPr>
                  </w:pPr>
                </w:p>
              </w:tc>
              <w:tc>
                <w:tcPr>
                  <w:tcW w:w="414" w:type="pct"/>
                  <w:tcBorders>
                    <w:tl2br w:val="nil"/>
                    <w:tr2bl w:val="nil"/>
                  </w:tcBorders>
                  <w:vAlign w:val="center"/>
                </w:tcPr>
                <w:p w14:paraId="22DC677B">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总氮</w:t>
                  </w:r>
                </w:p>
              </w:tc>
              <w:tc>
                <w:tcPr>
                  <w:tcW w:w="932" w:type="pct"/>
                  <w:tcBorders>
                    <w:tl2br w:val="nil"/>
                    <w:tr2bl w:val="nil"/>
                  </w:tcBorders>
                  <w:vAlign w:val="center"/>
                </w:tcPr>
                <w:p w14:paraId="1797FDF1">
                  <w:pPr>
                    <w:pStyle w:val="29"/>
                    <w:rPr>
                      <w:rFonts w:hint="default" w:ascii="Times New Roman" w:hAnsi="Times New Roman" w:eastAsia="仿宋" w:cs="Times New Roman"/>
                      <w:color w:val="auto"/>
                      <w:sz w:val="21"/>
                      <w:szCs w:val="21"/>
                      <w:highlight w:val="none"/>
                      <w:lang w:val="en-US"/>
                    </w:rPr>
                  </w:pPr>
                  <w:r>
                    <w:rPr>
                      <w:rFonts w:hint="eastAsia" w:eastAsia="仿宋" w:cs="Times New Roman"/>
                      <w:color w:val="auto"/>
                      <w:sz w:val="21"/>
                      <w:szCs w:val="21"/>
                      <w:highlight w:val="none"/>
                      <w:lang w:val="en-US" w:eastAsia="zh-CN"/>
                    </w:rPr>
                    <w:t>10</w:t>
                  </w:r>
                </w:p>
              </w:tc>
            </w:tr>
          </w:tbl>
          <w:p w14:paraId="5EBF19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4"/>
                <w:highlight w:val="none"/>
                <w:lang w:val="en-US" w:eastAsia="zh-CN"/>
              </w:rPr>
            </w:pPr>
            <w:r>
              <w:rPr>
                <w:rFonts w:hint="eastAsia" w:ascii="Times New Roman" w:hAnsi="Times New Roman" w:eastAsia="宋体" w:cs="Times New Roman"/>
                <w:b/>
                <w:color w:val="auto"/>
                <w:kern w:val="0"/>
                <w:sz w:val="24"/>
                <w:szCs w:val="24"/>
                <w:highlight w:val="none"/>
                <w:lang w:val="en-US" w:eastAsia="zh-CN"/>
              </w:rPr>
              <w:t>表4-</w:t>
            </w:r>
            <w:r>
              <w:rPr>
                <w:rFonts w:hint="eastAsia" w:cs="Times New Roman"/>
                <w:b/>
                <w:color w:val="auto"/>
                <w:kern w:val="0"/>
                <w:sz w:val="24"/>
                <w:szCs w:val="24"/>
                <w:highlight w:val="none"/>
                <w:lang w:val="en-US" w:eastAsia="zh-CN"/>
              </w:rPr>
              <w:t>13</w:t>
            </w:r>
            <w:r>
              <w:rPr>
                <w:rFonts w:hint="eastAsia" w:ascii="Times New Roman" w:hAnsi="Times New Roman" w:eastAsia="宋体" w:cs="Times New Roman"/>
                <w:b/>
                <w:color w:val="auto"/>
                <w:kern w:val="0"/>
                <w:sz w:val="24"/>
                <w:szCs w:val="24"/>
                <w:highlight w:val="none"/>
                <w:lang w:val="en-US" w:eastAsia="zh-CN"/>
              </w:rPr>
              <w:t xml:space="preserve">  废水污染物排放执行标准表</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1614"/>
              <w:gridCol w:w="2929"/>
              <w:gridCol w:w="3184"/>
            </w:tblGrid>
            <w:tr w14:paraId="412F16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vMerge w:val="restart"/>
                  <w:tcBorders>
                    <w:tl2br w:val="nil"/>
                    <w:tr2bl w:val="nil"/>
                  </w:tcBorders>
                  <w:vAlign w:val="center"/>
                </w:tcPr>
                <w:p w14:paraId="5191B3D0">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排放口编号</w:t>
                  </w:r>
                </w:p>
              </w:tc>
              <w:tc>
                <w:tcPr>
                  <w:tcW w:w="857" w:type="pct"/>
                  <w:vMerge w:val="restart"/>
                  <w:tcBorders>
                    <w:tl2br w:val="nil"/>
                    <w:tr2bl w:val="nil"/>
                  </w:tcBorders>
                  <w:vAlign w:val="center"/>
                </w:tcPr>
                <w:p w14:paraId="20EB3A10">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污染物种类</w:t>
                  </w:r>
                </w:p>
              </w:tc>
              <w:tc>
                <w:tcPr>
                  <w:tcW w:w="3244" w:type="pct"/>
                  <w:gridSpan w:val="2"/>
                  <w:tcBorders>
                    <w:tl2br w:val="nil"/>
                    <w:tr2bl w:val="nil"/>
                  </w:tcBorders>
                  <w:vAlign w:val="center"/>
                </w:tcPr>
                <w:p w14:paraId="1B6E5A98">
                  <w:pPr>
                    <w:pStyle w:val="29"/>
                    <w:keepNext w:val="0"/>
                    <w:keepLines w:val="0"/>
                    <w:pageBreakBefore w:val="0"/>
                    <w:widowControl w:val="0"/>
                    <w:kinsoku/>
                    <w:wordWrap w:val="0"/>
                    <w:overflowPunct/>
                    <w:topLinePunct w:val="0"/>
                    <w:autoSpaceDE/>
                    <w:autoSpaceDN/>
                    <w:bidi w:val="0"/>
                    <w:adjustRightInd w:val="0"/>
                    <w:snapToGrid w:val="0"/>
                    <w:jc w:val="left"/>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国家或地方污染物排放标准及其他规定商定的排放协议</w:t>
                  </w:r>
                  <w:r>
                    <w:rPr>
                      <w:rFonts w:hint="default" w:ascii="Times New Roman" w:hAnsi="Times New Roman" w:eastAsia="仿宋" w:cs="Times New Roman"/>
                      <w:b/>
                      <w:color w:val="auto"/>
                      <w:sz w:val="21"/>
                      <w:szCs w:val="21"/>
                      <w:highlight w:val="none"/>
                      <w:vertAlign w:val="superscript"/>
                    </w:rPr>
                    <w:t>a</w:t>
                  </w:r>
                </w:p>
              </w:tc>
            </w:tr>
            <w:tr w14:paraId="18D193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vMerge w:val="continue"/>
                  <w:tcBorders>
                    <w:tl2br w:val="nil"/>
                    <w:tr2bl w:val="nil"/>
                  </w:tcBorders>
                  <w:vAlign w:val="center"/>
                </w:tcPr>
                <w:p w14:paraId="7AE2D7A9">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857" w:type="pct"/>
                  <w:vMerge w:val="continue"/>
                  <w:tcBorders>
                    <w:tl2br w:val="nil"/>
                    <w:tr2bl w:val="nil"/>
                  </w:tcBorders>
                  <w:vAlign w:val="center"/>
                </w:tcPr>
                <w:p w14:paraId="5A443466">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1555" w:type="pct"/>
                  <w:tcBorders>
                    <w:tl2br w:val="nil"/>
                    <w:tr2bl w:val="nil"/>
                  </w:tcBorders>
                  <w:vAlign w:val="center"/>
                </w:tcPr>
                <w:p w14:paraId="0031C242">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名称</w:t>
                  </w:r>
                </w:p>
              </w:tc>
              <w:tc>
                <w:tcPr>
                  <w:tcW w:w="1689" w:type="pct"/>
                  <w:tcBorders>
                    <w:tl2br w:val="nil"/>
                    <w:tr2bl w:val="nil"/>
                  </w:tcBorders>
                  <w:vAlign w:val="center"/>
                </w:tcPr>
                <w:p w14:paraId="032F19CE">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浓度限值</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lang w:val="en-US" w:eastAsia="zh-CN"/>
                    </w:rPr>
                    <w:t>mg/L</w:t>
                  </w:r>
                  <w:r>
                    <w:rPr>
                      <w:rFonts w:hint="default" w:ascii="Times New Roman" w:hAnsi="Times New Roman" w:eastAsia="仿宋" w:cs="Times New Roman"/>
                      <w:b/>
                      <w:color w:val="auto"/>
                      <w:sz w:val="21"/>
                      <w:szCs w:val="21"/>
                      <w:highlight w:val="none"/>
                      <w:lang w:eastAsia="zh-CN"/>
                    </w:rPr>
                    <w:t>）</w:t>
                  </w:r>
                </w:p>
              </w:tc>
            </w:tr>
            <w:tr w14:paraId="1B61ED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vMerge w:val="restart"/>
                  <w:tcBorders>
                    <w:tl2br w:val="nil"/>
                    <w:tr2bl w:val="nil"/>
                  </w:tcBorders>
                  <w:vAlign w:val="center"/>
                </w:tcPr>
                <w:p w14:paraId="082F4D86">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DW001</w:t>
                  </w:r>
                </w:p>
              </w:tc>
              <w:tc>
                <w:tcPr>
                  <w:tcW w:w="857" w:type="pct"/>
                  <w:tcBorders>
                    <w:tl2br w:val="nil"/>
                    <w:tr2bl w:val="nil"/>
                  </w:tcBorders>
                  <w:vAlign w:val="center"/>
                </w:tcPr>
                <w:p w14:paraId="203760DB">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pH（无量纲）</w:t>
                  </w:r>
                </w:p>
              </w:tc>
              <w:tc>
                <w:tcPr>
                  <w:tcW w:w="1555" w:type="pct"/>
                  <w:vMerge w:val="restart"/>
                  <w:tcBorders>
                    <w:tl2br w:val="nil"/>
                    <w:tr2bl w:val="nil"/>
                  </w:tcBorders>
                  <w:vAlign w:val="center"/>
                </w:tcPr>
                <w:p w14:paraId="29C89F6E">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苏州市相润排水管理有限公司（漕湖污水处理厂）</w:t>
                  </w:r>
                </w:p>
              </w:tc>
              <w:tc>
                <w:tcPr>
                  <w:tcW w:w="1689" w:type="pct"/>
                  <w:tcBorders>
                    <w:tl2br w:val="nil"/>
                    <w:tr2bl w:val="nil"/>
                  </w:tcBorders>
                  <w:vAlign w:val="center"/>
                </w:tcPr>
                <w:p w14:paraId="4C73F55D">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6~9</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无量纲</w:t>
                  </w:r>
                  <w:r>
                    <w:rPr>
                      <w:rFonts w:hint="default" w:ascii="Times New Roman" w:hAnsi="Times New Roman" w:eastAsia="仿宋" w:cs="Times New Roman"/>
                      <w:color w:val="auto"/>
                      <w:sz w:val="21"/>
                      <w:szCs w:val="21"/>
                      <w:highlight w:val="none"/>
                      <w:lang w:eastAsia="zh-CN"/>
                    </w:rPr>
                    <w:t>）</w:t>
                  </w:r>
                </w:p>
              </w:tc>
            </w:tr>
            <w:tr w14:paraId="03D604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vMerge w:val="continue"/>
                  <w:tcBorders>
                    <w:tl2br w:val="nil"/>
                    <w:tr2bl w:val="nil"/>
                  </w:tcBorders>
                  <w:vAlign w:val="center"/>
                </w:tcPr>
                <w:p w14:paraId="70BA7247">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857" w:type="pct"/>
                  <w:tcBorders>
                    <w:tl2br w:val="nil"/>
                    <w:tr2bl w:val="nil"/>
                  </w:tcBorders>
                  <w:vAlign w:val="center"/>
                </w:tcPr>
                <w:p w14:paraId="044CABF2">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COD</w:t>
                  </w:r>
                </w:p>
              </w:tc>
              <w:tc>
                <w:tcPr>
                  <w:tcW w:w="1555" w:type="pct"/>
                  <w:vMerge w:val="continue"/>
                  <w:tcBorders>
                    <w:tl2br w:val="nil"/>
                    <w:tr2bl w:val="nil"/>
                  </w:tcBorders>
                  <w:vAlign w:val="center"/>
                </w:tcPr>
                <w:p w14:paraId="2CC3FC35">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1689" w:type="pct"/>
                  <w:tcBorders>
                    <w:tl2br w:val="nil"/>
                    <w:tr2bl w:val="nil"/>
                  </w:tcBorders>
                  <w:vAlign w:val="center"/>
                </w:tcPr>
                <w:p w14:paraId="51A15670">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lang w:val="en-US"/>
                    </w:rPr>
                  </w:pPr>
                  <w:r>
                    <w:rPr>
                      <w:rFonts w:hint="eastAsia" w:eastAsia="仿宋" w:cs="Times New Roman"/>
                      <w:color w:val="auto"/>
                      <w:sz w:val="21"/>
                      <w:szCs w:val="21"/>
                      <w:highlight w:val="none"/>
                      <w:lang w:val="en-US" w:eastAsia="zh-CN"/>
                    </w:rPr>
                    <w:t>400</w:t>
                  </w:r>
                </w:p>
              </w:tc>
            </w:tr>
            <w:tr w14:paraId="188F68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vMerge w:val="continue"/>
                  <w:tcBorders>
                    <w:tl2br w:val="nil"/>
                    <w:tr2bl w:val="nil"/>
                  </w:tcBorders>
                  <w:vAlign w:val="center"/>
                </w:tcPr>
                <w:p w14:paraId="380E6D79">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857" w:type="pct"/>
                  <w:tcBorders>
                    <w:tl2br w:val="nil"/>
                    <w:tr2bl w:val="nil"/>
                  </w:tcBorders>
                  <w:vAlign w:val="center"/>
                </w:tcPr>
                <w:p w14:paraId="1E92ACD9">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SS</w:t>
                  </w:r>
                </w:p>
              </w:tc>
              <w:tc>
                <w:tcPr>
                  <w:tcW w:w="1555" w:type="pct"/>
                  <w:vMerge w:val="continue"/>
                  <w:tcBorders>
                    <w:tl2br w:val="nil"/>
                    <w:tr2bl w:val="nil"/>
                  </w:tcBorders>
                  <w:vAlign w:val="center"/>
                </w:tcPr>
                <w:p w14:paraId="0C83D4A6">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1689" w:type="pct"/>
                  <w:tcBorders>
                    <w:tl2br w:val="nil"/>
                    <w:tr2bl w:val="nil"/>
                  </w:tcBorders>
                  <w:vAlign w:val="center"/>
                </w:tcPr>
                <w:p w14:paraId="25C0F494">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200</w:t>
                  </w:r>
                </w:p>
              </w:tc>
            </w:tr>
            <w:tr w14:paraId="178C9B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vMerge w:val="continue"/>
                  <w:tcBorders>
                    <w:tl2br w:val="nil"/>
                    <w:tr2bl w:val="nil"/>
                  </w:tcBorders>
                  <w:vAlign w:val="center"/>
                </w:tcPr>
                <w:p w14:paraId="23460A31">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857" w:type="pct"/>
                  <w:tcBorders>
                    <w:tl2br w:val="nil"/>
                    <w:tr2bl w:val="nil"/>
                  </w:tcBorders>
                  <w:vAlign w:val="center"/>
                </w:tcPr>
                <w:p w14:paraId="528A3DB0">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氨氮</w:t>
                  </w:r>
                </w:p>
              </w:tc>
              <w:tc>
                <w:tcPr>
                  <w:tcW w:w="1555" w:type="pct"/>
                  <w:vMerge w:val="continue"/>
                  <w:tcBorders>
                    <w:tl2br w:val="nil"/>
                    <w:tr2bl w:val="nil"/>
                  </w:tcBorders>
                  <w:vAlign w:val="center"/>
                </w:tcPr>
                <w:p w14:paraId="12C715D8">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1689" w:type="pct"/>
                  <w:tcBorders>
                    <w:tl2br w:val="nil"/>
                    <w:tr2bl w:val="nil"/>
                  </w:tcBorders>
                  <w:vAlign w:val="center"/>
                </w:tcPr>
                <w:p w14:paraId="1ECA4ABD">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35</w:t>
                  </w:r>
                </w:p>
              </w:tc>
            </w:tr>
            <w:tr w14:paraId="56A995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vMerge w:val="continue"/>
                  <w:tcBorders>
                    <w:tl2br w:val="nil"/>
                    <w:tr2bl w:val="nil"/>
                  </w:tcBorders>
                  <w:vAlign w:val="center"/>
                </w:tcPr>
                <w:p w14:paraId="4434B184">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857" w:type="pct"/>
                  <w:tcBorders>
                    <w:tl2br w:val="nil"/>
                    <w:tr2bl w:val="nil"/>
                  </w:tcBorders>
                  <w:vAlign w:val="center"/>
                </w:tcPr>
                <w:p w14:paraId="55B5E94D">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总磷</w:t>
                  </w:r>
                </w:p>
              </w:tc>
              <w:tc>
                <w:tcPr>
                  <w:tcW w:w="1555" w:type="pct"/>
                  <w:vMerge w:val="continue"/>
                  <w:tcBorders>
                    <w:tl2br w:val="nil"/>
                    <w:tr2bl w:val="nil"/>
                  </w:tcBorders>
                  <w:vAlign w:val="center"/>
                </w:tcPr>
                <w:p w14:paraId="182573D3">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1689" w:type="pct"/>
                  <w:tcBorders>
                    <w:tl2br w:val="nil"/>
                    <w:tr2bl w:val="nil"/>
                  </w:tcBorders>
                  <w:vAlign w:val="center"/>
                </w:tcPr>
                <w:p w14:paraId="29A99611">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5</w:t>
                  </w:r>
                </w:p>
              </w:tc>
            </w:tr>
            <w:tr w14:paraId="222DEC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vMerge w:val="continue"/>
                  <w:tcBorders>
                    <w:tl2br w:val="nil"/>
                    <w:tr2bl w:val="nil"/>
                  </w:tcBorders>
                  <w:vAlign w:val="center"/>
                </w:tcPr>
                <w:p w14:paraId="536D6887">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857" w:type="pct"/>
                  <w:tcBorders>
                    <w:tl2br w:val="nil"/>
                    <w:tr2bl w:val="nil"/>
                  </w:tcBorders>
                  <w:vAlign w:val="center"/>
                </w:tcPr>
                <w:p w14:paraId="26B680FF">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总氮</w:t>
                  </w:r>
                </w:p>
              </w:tc>
              <w:tc>
                <w:tcPr>
                  <w:tcW w:w="1555" w:type="pct"/>
                  <w:vMerge w:val="continue"/>
                  <w:tcBorders>
                    <w:tl2br w:val="nil"/>
                    <w:tr2bl w:val="nil"/>
                  </w:tcBorders>
                  <w:vAlign w:val="center"/>
                </w:tcPr>
                <w:p w14:paraId="557DC22E">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p>
              </w:tc>
              <w:tc>
                <w:tcPr>
                  <w:tcW w:w="1689" w:type="pct"/>
                  <w:tcBorders>
                    <w:tl2br w:val="nil"/>
                    <w:tr2bl w:val="nil"/>
                  </w:tcBorders>
                  <w:vAlign w:val="center"/>
                </w:tcPr>
                <w:p w14:paraId="743F0B46">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45</w:t>
                  </w:r>
                </w:p>
              </w:tc>
            </w:tr>
            <w:tr w14:paraId="619B4B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l2br w:val="nil"/>
                    <w:tr2bl w:val="nil"/>
                  </w:tcBorders>
                  <w:vAlign w:val="center"/>
                </w:tcPr>
                <w:p w14:paraId="5869D7CF">
                  <w:pPr>
                    <w:pStyle w:val="29"/>
                    <w:keepNext w:val="0"/>
                    <w:keepLines w:val="0"/>
                    <w:pageBreakBefore w:val="0"/>
                    <w:widowControl w:val="0"/>
                    <w:kinsoku/>
                    <w:wordWrap w:val="0"/>
                    <w:overflowPunct/>
                    <w:topLinePunct w:val="0"/>
                    <w:autoSpaceDE/>
                    <w:autoSpaceDN/>
                    <w:bidi w:val="0"/>
                    <w:adjustRightInd w:val="0"/>
                    <w:snapToGrid w:val="0"/>
                    <w:jc w:val="left"/>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vertAlign w:val="superscript"/>
                    </w:rPr>
                    <w:t>a</w:t>
                  </w:r>
                  <w:r>
                    <w:rPr>
                      <w:rFonts w:hint="default" w:ascii="Times New Roman" w:hAnsi="Times New Roman" w:eastAsia="仿宋" w:cs="Times New Roman"/>
                      <w:color w:val="auto"/>
                      <w:sz w:val="21"/>
                      <w:szCs w:val="21"/>
                      <w:highlight w:val="none"/>
                    </w:rPr>
                    <w:t>指对应排放口须执行的国家或地方污染物排放标准以及其他按规定商定建设项目水污染物排放控制要求的协议，据此确定的排放浓度限值</w:t>
                  </w:r>
                </w:p>
              </w:tc>
            </w:tr>
          </w:tbl>
          <w:p w14:paraId="739E31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4"/>
                <w:highlight w:val="none"/>
                <w:lang w:val="en-US" w:eastAsia="zh-CN"/>
              </w:rPr>
            </w:pPr>
            <w:r>
              <w:rPr>
                <w:rFonts w:hint="eastAsia" w:ascii="Times New Roman" w:hAnsi="Times New Roman" w:eastAsia="宋体" w:cs="Times New Roman"/>
                <w:b/>
                <w:color w:val="auto"/>
                <w:kern w:val="0"/>
                <w:sz w:val="24"/>
                <w:szCs w:val="24"/>
                <w:highlight w:val="none"/>
                <w:lang w:val="en-US" w:eastAsia="zh-CN"/>
              </w:rPr>
              <w:t>表4-</w:t>
            </w:r>
            <w:r>
              <w:rPr>
                <w:rFonts w:hint="eastAsia" w:cs="Times New Roman"/>
                <w:b/>
                <w:color w:val="auto"/>
                <w:kern w:val="0"/>
                <w:sz w:val="24"/>
                <w:szCs w:val="24"/>
                <w:highlight w:val="none"/>
                <w:lang w:val="en-US" w:eastAsia="zh-CN"/>
              </w:rPr>
              <w:t>14</w:t>
            </w:r>
            <w:r>
              <w:rPr>
                <w:rFonts w:hint="eastAsia" w:ascii="Times New Roman" w:hAnsi="Times New Roman" w:eastAsia="宋体" w:cs="Times New Roman"/>
                <w:b/>
                <w:color w:val="auto"/>
                <w:kern w:val="0"/>
                <w:sz w:val="24"/>
                <w:szCs w:val="24"/>
                <w:highlight w:val="none"/>
                <w:lang w:val="en-US" w:eastAsia="zh-CN"/>
              </w:rPr>
              <w:t xml:space="preserve">  废水污染物排放信息表</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45"/>
              <w:gridCol w:w="1630"/>
              <w:gridCol w:w="2027"/>
              <w:gridCol w:w="2033"/>
              <w:gridCol w:w="1984"/>
            </w:tblGrid>
            <w:tr w14:paraId="233C73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tcBorders>
                    <w:tl2br w:val="nil"/>
                    <w:tr2bl w:val="nil"/>
                  </w:tcBorders>
                  <w:vAlign w:val="center"/>
                </w:tcPr>
                <w:p w14:paraId="733CC983">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排放口编号</w:t>
                  </w:r>
                </w:p>
              </w:tc>
              <w:tc>
                <w:tcPr>
                  <w:tcW w:w="865" w:type="pct"/>
                  <w:tcBorders>
                    <w:tl2br w:val="nil"/>
                    <w:tr2bl w:val="nil"/>
                  </w:tcBorders>
                  <w:vAlign w:val="center"/>
                </w:tcPr>
                <w:p w14:paraId="3956B2BF">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污染物种类</w:t>
                  </w:r>
                </w:p>
              </w:tc>
              <w:tc>
                <w:tcPr>
                  <w:tcW w:w="1076" w:type="pct"/>
                  <w:tcBorders>
                    <w:tl2br w:val="nil"/>
                    <w:tr2bl w:val="nil"/>
                  </w:tcBorders>
                  <w:vAlign w:val="center"/>
                </w:tcPr>
                <w:p w14:paraId="212E1419">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排放浓度（mg/L）</w:t>
                  </w:r>
                </w:p>
              </w:tc>
              <w:tc>
                <w:tcPr>
                  <w:tcW w:w="1078" w:type="pct"/>
                  <w:tcBorders>
                    <w:tl2br w:val="nil"/>
                    <w:tr2bl w:val="nil"/>
                  </w:tcBorders>
                  <w:vAlign w:val="center"/>
                </w:tcPr>
                <w:p w14:paraId="77ADD5D0">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日排放量（</w:t>
                  </w:r>
                  <w:r>
                    <w:rPr>
                      <w:rFonts w:hint="eastAsia" w:eastAsia="仿宋" w:cs="Times New Roman"/>
                      <w:b/>
                      <w:color w:val="auto"/>
                      <w:sz w:val="21"/>
                      <w:szCs w:val="21"/>
                      <w:highlight w:val="none"/>
                      <w:lang w:val="en-US" w:eastAsia="zh-CN"/>
                    </w:rPr>
                    <w:t>kg</w:t>
                  </w:r>
                  <w:r>
                    <w:rPr>
                      <w:rFonts w:hint="default" w:ascii="Times New Roman" w:hAnsi="Times New Roman" w:eastAsia="仿宋" w:cs="Times New Roman"/>
                      <w:b/>
                      <w:color w:val="auto"/>
                      <w:sz w:val="21"/>
                      <w:szCs w:val="21"/>
                      <w:highlight w:val="none"/>
                    </w:rPr>
                    <w:t>/d）</w:t>
                  </w:r>
                </w:p>
              </w:tc>
              <w:tc>
                <w:tcPr>
                  <w:tcW w:w="1053" w:type="pct"/>
                  <w:tcBorders>
                    <w:tl2br w:val="nil"/>
                    <w:tr2bl w:val="nil"/>
                  </w:tcBorders>
                  <w:vAlign w:val="center"/>
                </w:tcPr>
                <w:p w14:paraId="1FE98A55">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年排放量（t/a）</w:t>
                  </w:r>
                </w:p>
              </w:tc>
            </w:tr>
            <w:tr w14:paraId="6387D5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vMerge w:val="restart"/>
                  <w:tcBorders>
                    <w:tl2br w:val="nil"/>
                    <w:tr2bl w:val="nil"/>
                  </w:tcBorders>
                  <w:vAlign w:val="center"/>
                </w:tcPr>
                <w:p w14:paraId="5D18A6FD">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DW001</w:t>
                  </w:r>
                </w:p>
              </w:tc>
              <w:tc>
                <w:tcPr>
                  <w:tcW w:w="865" w:type="pct"/>
                  <w:tcBorders>
                    <w:tl2br w:val="nil"/>
                    <w:tr2bl w:val="nil"/>
                  </w:tcBorders>
                  <w:vAlign w:val="center"/>
                </w:tcPr>
                <w:p w14:paraId="4D5E8845">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COD</w:t>
                  </w:r>
                </w:p>
              </w:tc>
              <w:tc>
                <w:tcPr>
                  <w:tcW w:w="1076" w:type="pct"/>
                  <w:tcBorders>
                    <w:tl2br w:val="nil"/>
                    <w:tr2bl w:val="nil"/>
                  </w:tcBorders>
                  <w:vAlign w:val="center"/>
                </w:tcPr>
                <w:p w14:paraId="0DE54250">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w:t>
                  </w:r>
                  <w:r>
                    <w:rPr>
                      <w:rFonts w:hint="eastAsia" w:eastAsia="仿宋" w:cs="Times New Roman"/>
                      <w:color w:val="auto"/>
                      <w:sz w:val="21"/>
                      <w:szCs w:val="21"/>
                      <w:highlight w:val="none"/>
                      <w:lang w:val="en-US" w:eastAsia="zh-CN"/>
                    </w:rPr>
                    <w:t>4</w:t>
                  </w:r>
                  <w:r>
                    <w:rPr>
                      <w:rFonts w:hint="default" w:ascii="Times New Roman" w:hAnsi="Times New Roman" w:eastAsia="仿宋" w:cs="Times New Roman"/>
                      <w:color w:val="auto"/>
                      <w:sz w:val="21"/>
                      <w:szCs w:val="21"/>
                      <w:highlight w:val="none"/>
                    </w:rPr>
                    <w:t>00</w:t>
                  </w:r>
                </w:p>
              </w:tc>
              <w:tc>
                <w:tcPr>
                  <w:tcW w:w="1078" w:type="pct"/>
                  <w:tcBorders>
                    <w:tl2br w:val="nil"/>
                    <w:tr2bl w:val="nil"/>
                  </w:tcBorders>
                  <w:vAlign w:val="center"/>
                </w:tcPr>
                <w:p w14:paraId="4BE1665E">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0.4</w:t>
                  </w:r>
                </w:p>
              </w:tc>
              <w:tc>
                <w:tcPr>
                  <w:tcW w:w="1053" w:type="pct"/>
                  <w:tcBorders>
                    <w:tl2br w:val="nil"/>
                    <w:tr2bl w:val="nil"/>
                  </w:tcBorders>
                  <w:vAlign w:val="center"/>
                </w:tcPr>
                <w:p w14:paraId="708D375D">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0.12</w:t>
                  </w:r>
                </w:p>
              </w:tc>
            </w:tr>
            <w:tr w14:paraId="55AABD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vMerge w:val="continue"/>
                  <w:tcBorders>
                    <w:tl2br w:val="nil"/>
                    <w:tr2bl w:val="nil"/>
                  </w:tcBorders>
                  <w:vAlign w:val="center"/>
                </w:tcPr>
                <w:p w14:paraId="054125B0">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color w:val="auto"/>
                      <w:sz w:val="21"/>
                      <w:szCs w:val="21"/>
                      <w:highlight w:val="none"/>
                    </w:rPr>
                  </w:pPr>
                </w:p>
              </w:tc>
              <w:tc>
                <w:tcPr>
                  <w:tcW w:w="865" w:type="pct"/>
                  <w:tcBorders>
                    <w:tl2br w:val="nil"/>
                    <w:tr2bl w:val="nil"/>
                  </w:tcBorders>
                  <w:vAlign w:val="center"/>
                </w:tcPr>
                <w:p w14:paraId="7D64B48A">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SS</w:t>
                  </w:r>
                </w:p>
              </w:tc>
              <w:tc>
                <w:tcPr>
                  <w:tcW w:w="1076" w:type="pct"/>
                  <w:tcBorders>
                    <w:tl2br w:val="nil"/>
                    <w:tr2bl w:val="nil"/>
                  </w:tcBorders>
                  <w:vAlign w:val="center"/>
                </w:tcPr>
                <w:p w14:paraId="13490270">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w:t>
                  </w:r>
                  <w:r>
                    <w:rPr>
                      <w:rFonts w:hint="eastAsia"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00</w:t>
                  </w:r>
                </w:p>
              </w:tc>
              <w:tc>
                <w:tcPr>
                  <w:tcW w:w="1078" w:type="pct"/>
                  <w:tcBorders>
                    <w:tl2br w:val="nil"/>
                    <w:tr2bl w:val="nil"/>
                  </w:tcBorders>
                  <w:vAlign w:val="center"/>
                </w:tcPr>
                <w:p w14:paraId="5B470249">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0.2</w:t>
                  </w:r>
                </w:p>
              </w:tc>
              <w:tc>
                <w:tcPr>
                  <w:tcW w:w="1053" w:type="pct"/>
                  <w:tcBorders>
                    <w:tl2br w:val="nil"/>
                    <w:tr2bl w:val="nil"/>
                  </w:tcBorders>
                  <w:vAlign w:val="center"/>
                </w:tcPr>
                <w:p w14:paraId="70C41D03">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0.06</w:t>
                  </w:r>
                </w:p>
              </w:tc>
            </w:tr>
            <w:tr w14:paraId="17405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vMerge w:val="continue"/>
                  <w:tcBorders>
                    <w:tl2br w:val="nil"/>
                    <w:tr2bl w:val="nil"/>
                  </w:tcBorders>
                  <w:vAlign w:val="center"/>
                </w:tcPr>
                <w:p w14:paraId="00F0FF6F">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color w:val="auto"/>
                      <w:sz w:val="21"/>
                      <w:szCs w:val="21"/>
                      <w:highlight w:val="none"/>
                    </w:rPr>
                  </w:pPr>
                </w:p>
              </w:tc>
              <w:tc>
                <w:tcPr>
                  <w:tcW w:w="865" w:type="pct"/>
                  <w:tcBorders>
                    <w:tl2br w:val="nil"/>
                    <w:tr2bl w:val="nil"/>
                  </w:tcBorders>
                  <w:vAlign w:val="center"/>
                </w:tcPr>
                <w:p w14:paraId="2E8845F2">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NH3-N</w:t>
                  </w:r>
                </w:p>
              </w:tc>
              <w:tc>
                <w:tcPr>
                  <w:tcW w:w="1076" w:type="pct"/>
                  <w:tcBorders>
                    <w:tl2br w:val="nil"/>
                    <w:tr2bl w:val="nil"/>
                  </w:tcBorders>
                  <w:vAlign w:val="center"/>
                </w:tcPr>
                <w:p w14:paraId="2006E3DD">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w:t>
                  </w:r>
                  <w:r>
                    <w:rPr>
                      <w:rFonts w:hint="eastAsia"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lang w:val="en-US" w:eastAsia="zh-CN"/>
                    </w:rPr>
                    <w:t>5</w:t>
                  </w:r>
                </w:p>
              </w:tc>
              <w:tc>
                <w:tcPr>
                  <w:tcW w:w="1078" w:type="pct"/>
                  <w:tcBorders>
                    <w:tl2br w:val="nil"/>
                    <w:tr2bl w:val="nil"/>
                  </w:tcBorders>
                  <w:vAlign w:val="center"/>
                </w:tcPr>
                <w:p w14:paraId="336F6F23">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0.0367</w:t>
                  </w:r>
                </w:p>
              </w:tc>
              <w:tc>
                <w:tcPr>
                  <w:tcW w:w="1053" w:type="pct"/>
                  <w:tcBorders>
                    <w:tl2br w:val="nil"/>
                    <w:tr2bl w:val="nil"/>
                  </w:tcBorders>
                  <w:vAlign w:val="center"/>
                </w:tcPr>
                <w:p w14:paraId="17348DE9">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0.011</w:t>
                  </w:r>
                </w:p>
              </w:tc>
            </w:tr>
            <w:tr w14:paraId="51D3E4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vMerge w:val="continue"/>
                  <w:tcBorders>
                    <w:tl2br w:val="nil"/>
                    <w:tr2bl w:val="nil"/>
                  </w:tcBorders>
                  <w:vAlign w:val="center"/>
                </w:tcPr>
                <w:p w14:paraId="7968DD19">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color w:val="auto"/>
                      <w:sz w:val="21"/>
                      <w:szCs w:val="21"/>
                      <w:highlight w:val="none"/>
                    </w:rPr>
                  </w:pPr>
                </w:p>
              </w:tc>
              <w:tc>
                <w:tcPr>
                  <w:tcW w:w="865" w:type="pct"/>
                  <w:tcBorders>
                    <w:tl2br w:val="nil"/>
                    <w:tr2bl w:val="nil"/>
                  </w:tcBorders>
                  <w:vAlign w:val="center"/>
                </w:tcPr>
                <w:p w14:paraId="6E78C1E3">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TP</w:t>
                  </w:r>
                </w:p>
              </w:tc>
              <w:tc>
                <w:tcPr>
                  <w:tcW w:w="1076" w:type="pct"/>
                  <w:tcBorders>
                    <w:tl2br w:val="nil"/>
                    <w:tr2bl w:val="nil"/>
                  </w:tcBorders>
                  <w:vAlign w:val="center"/>
                </w:tcPr>
                <w:p w14:paraId="43570C19">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w:t>
                  </w:r>
                  <w:r>
                    <w:rPr>
                      <w:rFonts w:hint="eastAsia" w:eastAsia="仿宋" w:cs="Times New Roman"/>
                      <w:color w:val="auto"/>
                      <w:sz w:val="21"/>
                      <w:szCs w:val="21"/>
                      <w:highlight w:val="none"/>
                      <w:lang w:val="en-US" w:eastAsia="zh-CN"/>
                    </w:rPr>
                    <w:t>5</w:t>
                  </w:r>
                </w:p>
              </w:tc>
              <w:tc>
                <w:tcPr>
                  <w:tcW w:w="1078" w:type="pct"/>
                  <w:tcBorders>
                    <w:tl2br w:val="nil"/>
                    <w:tr2bl w:val="nil"/>
                  </w:tcBorders>
                  <w:vAlign w:val="center"/>
                </w:tcPr>
                <w:p w14:paraId="4B77F596">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0.0067</w:t>
                  </w:r>
                </w:p>
              </w:tc>
              <w:tc>
                <w:tcPr>
                  <w:tcW w:w="1053" w:type="pct"/>
                  <w:tcBorders>
                    <w:tl2br w:val="nil"/>
                    <w:tr2bl w:val="nil"/>
                  </w:tcBorders>
                  <w:vAlign w:val="center"/>
                </w:tcPr>
                <w:p w14:paraId="580BD444">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0.002</w:t>
                  </w:r>
                </w:p>
              </w:tc>
            </w:tr>
            <w:tr w14:paraId="7C0BE8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vMerge w:val="continue"/>
                  <w:tcBorders>
                    <w:tl2br w:val="nil"/>
                    <w:tr2bl w:val="nil"/>
                  </w:tcBorders>
                  <w:vAlign w:val="center"/>
                </w:tcPr>
                <w:p w14:paraId="5177F904">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color w:val="auto"/>
                      <w:sz w:val="21"/>
                      <w:szCs w:val="21"/>
                      <w:highlight w:val="none"/>
                    </w:rPr>
                  </w:pPr>
                </w:p>
              </w:tc>
              <w:tc>
                <w:tcPr>
                  <w:tcW w:w="865" w:type="pct"/>
                  <w:tcBorders>
                    <w:tl2br w:val="nil"/>
                    <w:tr2bl w:val="nil"/>
                  </w:tcBorders>
                  <w:vAlign w:val="center"/>
                </w:tcPr>
                <w:p w14:paraId="744928A3">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TN</w:t>
                  </w:r>
                </w:p>
              </w:tc>
              <w:tc>
                <w:tcPr>
                  <w:tcW w:w="1076" w:type="pct"/>
                  <w:tcBorders>
                    <w:tl2br w:val="nil"/>
                    <w:tr2bl w:val="nil"/>
                  </w:tcBorders>
                  <w:vAlign w:val="center"/>
                </w:tcPr>
                <w:p w14:paraId="725FAF1B">
                  <w:pPr>
                    <w:pStyle w:val="29"/>
                    <w:keepNext w:val="0"/>
                    <w:keepLines w:val="0"/>
                    <w:pageBreakBefore w:val="0"/>
                    <w:widowControl w:val="0"/>
                    <w:kinsoku/>
                    <w:wordWrap w:val="0"/>
                    <w:overflowPunct/>
                    <w:topLinePunct w:val="0"/>
                    <w:autoSpaceDE/>
                    <w:autoSpaceDN/>
                    <w:bidi w:val="0"/>
                    <w:adjustRightInd w:val="0"/>
                    <w:snapToGrid w:val="0"/>
                    <w:textAlignment w:val="auto"/>
                    <w:rPr>
                      <w:rFonts w:hint="eastAsia"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rPr>
                    <w:t>4</w:t>
                  </w:r>
                  <w:r>
                    <w:rPr>
                      <w:rFonts w:hint="eastAsia" w:eastAsia="仿宋" w:cs="Times New Roman"/>
                      <w:color w:val="auto"/>
                      <w:sz w:val="21"/>
                      <w:szCs w:val="21"/>
                      <w:highlight w:val="none"/>
                      <w:lang w:val="en-US" w:eastAsia="zh-CN"/>
                    </w:rPr>
                    <w:t>5</w:t>
                  </w:r>
                </w:p>
              </w:tc>
              <w:tc>
                <w:tcPr>
                  <w:tcW w:w="1078" w:type="pct"/>
                  <w:tcBorders>
                    <w:tl2br w:val="nil"/>
                    <w:tr2bl w:val="nil"/>
                  </w:tcBorders>
                  <w:vAlign w:val="center"/>
                </w:tcPr>
                <w:p w14:paraId="0FDBB879">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0.0467</w:t>
                  </w:r>
                </w:p>
              </w:tc>
              <w:tc>
                <w:tcPr>
                  <w:tcW w:w="1053" w:type="pct"/>
                  <w:tcBorders>
                    <w:tl2br w:val="nil"/>
                    <w:tr2bl w:val="nil"/>
                  </w:tcBorders>
                  <w:vAlign w:val="center"/>
                </w:tcPr>
                <w:p w14:paraId="433E8A2C">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0.014</w:t>
                  </w:r>
                </w:p>
              </w:tc>
            </w:tr>
            <w:tr w14:paraId="7F0AD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vMerge w:val="restart"/>
                  <w:tcBorders>
                    <w:tl2br w:val="nil"/>
                    <w:tr2bl w:val="nil"/>
                  </w:tcBorders>
                  <w:vAlign w:val="center"/>
                </w:tcPr>
                <w:p w14:paraId="1194BA83">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全厂排放口合计</w:t>
                  </w:r>
                </w:p>
              </w:tc>
              <w:tc>
                <w:tcPr>
                  <w:tcW w:w="3020" w:type="pct"/>
                  <w:gridSpan w:val="3"/>
                  <w:tcBorders>
                    <w:tl2br w:val="nil"/>
                    <w:tr2bl w:val="nil"/>
                  </w:tcBorders>
                  <w:vAlign w:val="center"/>
                </w:tcPr>
                <w:p w14:paraId="7DE1FB71">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COD</w:t>
                  </w:r>
                </w:p>
              </w:tc>
              <w:tc>
                <w:tcPr>
                  <w:tcW w:w="1053" w:type="pct"/>
                  <w:tcBorders>
                    <w:tl2br w:val="nil"/>
                    <w:tr2bl w:val="nil"/>
                  </w:tcBorders>
                  <w:vAlign w:val="center"/>
                </w:tcPr>
                <w:p w14:paraId="64688AB5">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0.12</w:t>
                  </w:r>
                </w:p>
              </w:tc>
            </w:tr>
            <w:tr w14:paraId="5EC83B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vMerge w:val="continue"/>
                  <w:tcBorders>
                    <w:tl2br w:val="nil"/>
                    <w:tr2bl w:val="nil"/>
                  </w:tcBorders>
                  <w:vAlign w:val="center"/>
                </w:tcPr>
                <w:p w14:paraId="0C9947A8">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color w:val="auto"/>
                      <w:sz w:val="21"/>
                      <w:szCs w:val="21"/>
                      <w:highlight w:val="none"/>
                    </w:rPr>
                  </w:pPr>
                </w:p>
              </w:tc>
              <w:tc>
                <w:tcPr>
                  <w:tcW w:w="3020" w:type="pct"/>
                  <w:gridSpan w:val="3"/>
                  <w:tcBorders>
                    <w:tl2br w:val="nil"/>
                    <w:tr2bl w:val="nil"/>
                  </w:tcBorders>
                  <w:vAlign w:val="center"/>
                </w:tcPr>
                <w:p w14:paraId="6BB1294E">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SS</w:t>
                  </w:r>
                </w:p>
              </w:tc>
              <w:tc>
                <w:tcPr>
                  <w:tcW w:w="1053" w:type="pct"/>
                  <w:tcBorders>
                    <w:tl2br w:val="nil"/>
                    <w:tr2bl w:val="nil"/>
                  </w:tcBorders>
                  <w:vAlign w:val="center"/>
                </w:tcPr>
                <w:p w14:paraId="15CAE383">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0.06</w:t>
                  </w:r>
                </w:p>
              </w:tc>
            </w:tr>
            <w:tr w14:paraId="789987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vMerge w:val="continue"/>
                  <w:tcBorders>
                    <w:tl2br w:val="nil"/>
                    <w:tr2bl w:val="nil"/>
                  </w:tcBorders>
                  <w:vAlign w:val="center"/>
                </w:tcPr>
                <w:p w14:paraId="1F976C93">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color w:val="auto"/>
                      <w:sz w:val="21"/>
                      <w:szCs w:val="21"/>
                      <w:highlight w:val="none"/>
                    </w:rPr>
                  </w:pPr>
                </w:p>
              </w:tc>
              <w:tc>
                <w:tcPr>
                  <w:tcW w:w="3020" w:type="pct"/>
                  <w:gridSpan w:val="3"/>
                  <w:tcBorders>
                    <w:tl2br w:val="nil"/>
                    <w:tr2bl w:val="nil"/>
                  </w:tcBorders>
                  <w:vAlign w:val="center"/>
                </w:tcPr>
                <w:p w14:paraId="317BF7ED">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NH3-N</w:t>
                  </w:r>
                </w:p>
              </w:tc>
              <w:tc>
                <w:tcPr>
                  <w:tcW w:w="1053" w:type="pct"/>
                  <w:tcBorders>
                    <w:tl2br w:val="nil"/>
                    <w:tr2bl w:val="nil"/>
                  </w:tcBorders>
                  <w:vAlign w:val="center"/>
                </w:tcPr>
                <w:p w14:paraId="65B2CD2F">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0.011</w:t>
                  </w:r>
                </w:p>
              </w:tc>
            </w:tr>
            <w:tr w14:paraId="504E5E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vMerge w:val="continue"/>
                  <w:tcBorders>
                    <w:tl2br w:val="nil"/>
                    <w:tr2bl w:val="nil"/>
                  </w:tcBorders>
                  <w:vAlign w:val="center"/>
                </w:tcPr>
                <w:p w14:paraId="629BB53D">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color w:val="auto"/>
                      <w:sz w:val="21"/>
                      <w:szCs w:val="21"/>
                      <w:highlight w:val="none"/>
                    </w:rPr>
                  </w:pPr>
                </w:p>
              </w:tc>
              <w:tc>
                <w:tcPr>
                  <w:tcW w:w="3020" w:type="pct"/>
                  <w:gridSpan w:val="3"/>
                  <w:tcBorders>
                    <w:tl2br w:val="nil"/>
                    <w:tr2bl w:val="nil"/>
                  </w:tcBorders>
                  <w:vAlign w:val="center"/>
                </w:tcPr>
                <w:p w14:paraId="09209BC6">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TP</w:t>
                  </w:r>
                </w:p>
              </w:tc>
              <w:tc>
                <w:tcPr>
                  <w:tcW w:w="1053" w:type="pct"/>
                  <w:tcBorders>
                    <w:tl2br w:val="nil"/>
                    <w:tr2bl w:val="nil"/>
                  </w:tcBorders>
                  <w:vAlign w:val="center"/>
                </w:tcPr>
                <w:p w14:paraId="1367C539">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0.002</w:t>
                  </w:r>
                </w:p>
              </w:tc>
            </w:tr>
            <w:tr w14:paraId="4DEA2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26" w:type="pct"/>
                  <w:vMerge w:val="continue"/>
                  <w:tcBorders>
                    <w:tl2br w:val="nil"/>
                    <w:tr2bl w:val="nil"/>
                  </w:tcBorders>
                  <w:vAlign w:val="center"/>
                </w:tcPr>
                <w:p w14:paraId="4D454EBC">
                  <w:pPr>
                    <w:pStyle w:val="29"/>
                    <w:keepNext w:val="0"/>
                    <w:keepLines w:val="0"/>
                    <w:pageBreakBefore w:val="0"/>
                    <w:kinsoku/>
                    <w:wordWrap/>
                    <w:overflowPunct/>
                    <w:topLinePunct w:val="0"/>
                    <w:autoSpaceDE/>
                    <w:autoSpaceDN/>
                    <w:bidi w:val="0"/>
                    <w:jc w:val="center"/>
                    <w:rPr>
                      <w:rFonts w:hint="default" w:ascii="Times New Roman" w:hAnsi="Times New Roman" w:eastAsia="仿宋" w:cs="Times New Roman"/>
                      <w:color w:val="auto"/>
                      <w:sz w:val="21"/>
                      <w:szCs w:val="21"/>
                      <w:highlight w:val="none"/>
                    </w:rPr>
                  </w:pPr>
                </w:p>
              </w:tc>
              <w:tc>
                <w:tcPr>
                  <w:tcW w:w="3020" w:type="pct"/>
                  <w:gridSpan w:val="3"/>
                  <w:tcBorders>
                    <w:tl2br w:val="nil"/>
                    <w:tr2bl w:val="nil"/>
                  </w:tcBorders>
                  <w:vAlign w:val="center"/>
                </w:tcPr>
                <w:p w14:paraId="388A8585">
                  <w:pPr>
                    <w:pStyle w:val="29"/>
                    <w:keepNext w:val="0"/>
                    <w:keepLines w:val="0"/>
                    <w:pageBreakBefore w:val="0"/>
                    <w:widowControl w:val="0"/>
                    <w:kinsoku/>
                    <w:wordWrap w:val="0"/>
                    <w:overflowPunct/>
                    <w:topLinePunct w:val="0"/>
                    <w:autoSpaceDE/>
                    <w:autoSpaceDN/>
                    <w:bidi w:val="0"/>
                    <w:adjustRightInd w:val="0"/>
                    <w:snapToGrid w:val="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TN</w:t>
                  </w:r>
                </w:p>
              </w:tc>
              <w:tc>
                <w:tcPr>
                  <w:tcW w:w="1053" w:type="pct"/>
                  <w:tcBorders>
                    <w:tl2br w:val="nil"/>
                    <w:tr2bl w:val="nil"/>
                  </w:tcBorders>
                  <w:vAlign w:val="center"/>
                </w:tcPr>
                <w:p w14:paraId="349C2E1B">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0.014</w:t>
                  </w:r>
                </w:p>
              </w:tc>
            </w:tr>
          </w:tbl>
          <w:p w14:paraId="375E0FF6">
            <w:pPr>
              <w:spacing w:line="360" w:lineRule="auto"/>
              <w:rPr>
                <w:b/>
                <w:bCs/>
                <w:color w:val="auto"/>
                <w:sz w:val="24"/>
                <w:szCs w:val="24"/>
                <w:highlight w:val="none"/>
              </w:rPr>
            </w:pPr>
            <w:r>
              <w:rPr>
                <w:rFonts w:hint="eastAsia"/>
                <w:b/>
                <w:bCs/>
                <w:color w:val="auto"/>
                <w:sz w:val="24"/>
                <w:szCs w:val="24"/>
                <w:highlight w:val="none"/>
                <w:lang w:val="en-US" w:eastAsia="zh-CN"/>
              </w:rPr>
              <w:t>2.3  项目</w:t>
            </w:r>
            <w:r>
              <w:rPr>
                <w:b/>
                <w:bCs/>
                <w:color w:val="auto"/>
                <w:sz w:val="24"/>
                <w:szCs w:val="24"/>
                <w:highlight w:val="none"/>
              </w:rPr>
              <w:t>依托</w:t>
            </w:r>
            <w:r>
              <w:rPr>
                <w:rFonts w:hint="eastAsia"/>
                <w:b/>
                <w:bCs/>
                <w:color w:val="auto"/>
                <w:sz w:val="24"/>
                <w:szCs w:val="24"/>
                <w:highlight w:val="none"/>
                <w:lang w:eastAsia="zh-CN"/>
              </w:rPr>
              <w:t>苏州市相润排水管理有限公司（漕湖污水处理厂）</w:t>
            </w:r>
            <w:r>
              <w:rPr>
                <w:b/>
                <w:bCs/>
                <w:color w:val="auto"/>
                <w:sz w:val="24"/>
                <w:szCs w:val="24"/>
                <w:highlight w:val="none"/>
              </w:rPr>
              <w:t>可行性分析</w:t>
            </w:r>
          </w:p>
          <w:p w14:paraId="2C96F40E">
            <w:pPr>
              <w:autoSpaceDE w:val="0"/>
              <w:autoSpaceDN w:val="0"/>
              <w:spacing w:line="360" w:lineRule="auto"/>
              <w:ind w:firstLine="480" w:firstLineChars="200"/>
              <w:rPr>
                <w:color w:val="auto"/>
                <w:sz w:val="24"/>
                <w:szCs w:val="24"/>
                <w:highlight w:val="none"/>
              </w:rPr>
            </w:pPr>
            <w:r>
              <w:rPr>
                <w:rFonts w:hint="eastAsia" w:cs="Times New Roman"/>
                <w:color w:val="auto"/>
                <w:sz w:val="24"/>
                <w:szCs w:val="24"/>
                <w:highlight w:val="none"/>
                <w:lang w:eastAsia="zh-CN"/>
              </w:rPr>
              <w:t>漕湖污水处理厂一期工程处理能力为3.0万m</w:t>
            </w:r>
            <w:r>
              <w:rPr>
                <w:rFonts w:hint="eastAsia" w:cs="Times New Roman"/>
                <w:color w:val="auto"/>
                <w:sz w:val="24"/>
                <w:szCs w:val="24"/>
                <w:highlight w:val="none"/>
                <w:vertAlign w:val="superscript"/>
                <w:lang w:eastAsia="zh-CN"/>
              </w:rPr>
              <w:t>3</w:t>
            </w:r>
            <w:r>
              <w:rPr>
                <w:rFonts w:hint="eastAsia" w:cs="Times New Roman"/>
                <w:color w:val="auto"/>
                <w:sz w:val="24"/>
                <w:szCs w:val="24"/>
                <w:highlight w:val="none"/>
                <w:lang w:eastAsia="zh-CN"/>
              </w:rPr>
              <w:t>/d，服务范围为恒湖路以北、绕城高速以南、苏虞张公路以西、胜岸港以东，面积约为8.2平方公里的范围；二期工程服务范围涉及漕湖、黄埭两行政区域，具体为北至漕湖、南至黄埭荡、西至西塘河、东至苏泾路，服务总面积33平方公里，二期工程设计规模6万吨/日（含1.2万吨/日中水回用工程）；目前一期、二期均已投入使用</w:t>
            </w:r>
            <w:r>
              <w:rPr>
                <w:color w:val="auto"/>
                <w:sz w:val="24"/>
                <w:szCs w:val="24"/>
                <w:highlight w:val="none"/>
              </w:rPr>
              <w:t>。</w:t>
            </w:r>
          </w:p>
          <w:p w14:paraId="510775C9">
            <w:pPr>
              <w:autoSpaceDE w:val="0"/>
              <w:autoSpaceDN w:val="0"/>
              <w:spacing w:line="360" w:lineRule="auto"/>
              <w:ind w:firstLine="480" w:firstLineChars="200"/>
              <w:rPr>
                <w:color w:val="auto"/>
                <w:sz w:val="24"/>
                <w:szCs w:val="24"/>
                <w:highlight w:val="none"/>
              </w:rPr>
            </w:pPr>
            <w:r>
              <w:rPr>
                <w:rFonts w:hint="eastAsia"/>
                <w:color w:val="auto"/>
                <w:sz w:val="24"/>
                <w:szCs w:val="24"/>
                <w:highlight w:val="none"/>
              </w:rPr>
              <w:t>处理工艺分析：漕湖污水处理厂位于苏州市相城区漕湖产业园康阳路南侧、胜岸港东侧，总规模为9万m</w:t>
            </w:r>
            <w:r>
              <w:rPr>
                <w:rFonts w:hint="eastAsia"/>
                <w:color w:val="auto"/>
                <w:sz w:val="24"/>
                <w:szCs w:val="24"/>
                <w:highlight w:val="none"/>
                <w:vertAlign w:val="superscript"/>
              </w:rPr>
              <w:t>3</w:t>
            </w:r>
            <w:r>
              <w:rPr>
                <w:rFonts w:hint="eastAsia"/>
                <w:color w:val="auto"/>
                <w:sz w:val="24"/>
                <w:szCs w:val="24"/>
                <w:highlight w:val="none"/>
              </w:rPr>
              <w:t>/d，采用改良多模式A</w:t>
            </w:r>
            <w:r>
              <w:rPr>
                <w:rFonts w:hint="eastAsia"/>
                <w:color w:val="auto"/>
                <w:sz w:val="24"/>
                <w:szCs w:val="24"/>
                <w:highlight w:val="none"/>
                <w:vertAlign w:val="superscript"/>
              </w:rPr>
              <w:t>2</w:t>
            </w:r>
            <w:r>
              <w:rPr>
                <w:rFonts w:hint="eastAsia"/>
                <w:color w:val="auto"/>
                <w:sz w:val="24"/>
                <w:szCs w:val="24"/>
                <w:highlight w:val="none"/>
              </w:rPr>
              <w:t>/O+高效沉淀+反硝化深床滤池+接触消毒工艺，尾水处理达标后排入胜岸港。改良多模式A</w:t>
            </w:r>
            <w:r>
              <w:rPr>
                <w:rFonts w:hint="eastAsia"/>
                <w:color w:val="auto"/>
                <w:sz w:val="24"/>
                <w:szCs w:val="24"/>
                <w:highlight w:val="none"/>
                <w:vertAlign w:val="superscript"/>
              </w:rPr>
              <w:t>2</w:t>
            </w:r>
            <w:r>
              <w:rPr>
                <w:rFonts w:hint="eastAsia"/>
                <w:color w:val="auto"/>
                <w:sz w:val="24"/>
                <w:szCs w:val="24"/>
                <w:highlight w:val="none"/>
              </w:rPr>
              <w:t>/O工艺主要利用微生物的氧化、降解污水中的有机物，并同步达到除磷脱氮的效果。根据漕湖产业园的规划、开发和建设，漕湖污水处理厂以生活污水为主，兼顾漕湖产业园内的部分企业废水，即漕湖污水处理厂为综合污水处理厂。该处理工艺能够保证本项目废水稳定达标排放，因此该废水处理工艺可行。目前，漕湖污水处理厂运行情况良好，出水水质稳定达标</w:t>
            </w:r>
          </w:p>
          <w:p w14:paraId="1B79E19E">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2" w:firstLineChars="200"/>
              <w:textAlignment w:val="auto"/>
              <w:rPr>
                <w:b/>
                <w:bCs/>
                <w:color w:val="auto"/>
                <w:sz w:val="24"/>
                <w:szCs w:val="24"/>
                <w:highlight w:val="none"/>
              </w:rPr>
            </w:pPr>
            <w:r>
              <w:rPr>
                <w:rFonts w:ascii="Times New Roman" w:hAnsi="Times New Roman" w:eastAsia="宋体" w:cs="Times New Roman"/>
                <w:b/>
                <w:bCs/>
                <w:color w:val="auto"/>
                <w:kern w:val="2"/>
                <w:sz w:val="24"/>
                <w:szCs w:val="24"/>
                <w:highlight w:val="none"/>
                <w:lang w:val="en-US" w:eastAsia="zh-CN" w:bidi="ar-SA"/>
              </w:rPr>
              <w:t>（1）</w:t>
            </w:r>
            <w:r>
              <w:rPr>
                <w:b/>
                <w:bCs/>
                <w:color w:val="auto"/>
                <w:sz w:val="24"/>
                <w:szCs w:val="24"/>
                <w:highlight w:val="none"/>
              </w:rPr>
              <w:t>水质接管的可行性</w:t>
            </w:r>
          </w:p>
          <w:p w14:paraId="57BAE7AE">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textAlignment w:val="auto"/>
              <w:rPr>
                <w:rFonts w:hint="eastAsia" w:eastAsia="宋体"/>
                <w:color w:val="auto"/>
                <w:sz w:val="24"/>
                <w:szCs w:val="24"/>
                <w:highlight w:val="none"/>
                <w:lang w:eastAsia="zh-CN"/>
              </w:rPr>
            </w:pPr>
            <w:r>
              <w:rPr>
                <w:rFonts w:hint="eastAsia"/>
                <w:color w:val="auto"/>
                <w:sz w:val="24"/>
                <w:szCs w:val="24"/>
                <w:highlight w:val="none"/>
              </w:rPr>
              <w:t>本项目建成后排放的生活污水水质简单，满足苏州市相润排水管理有限公司（漕湖污水处理厂）接管标准，可直接排入苏州市相润排水管理有限公司（漕湖污水处理厂）处理，即本项目排放的生活污水不会影响污水处理厂的处理效果</w:t>
            </w:r>
            <w:r>
              <w:rPr>
                <w:rFonts w:hint="eastAsia"/>
                <w:color w:val="auto"/>
                <w:sz w:val="24"/>
                <w:szCs w:val="24"/>
                <w:highlight w:val="none"/>
                <w:lang w:eastAsia="zh-CN"/>
              </w:rPr>
              <w:t>。</w:t>
            </w:r>
          </w:p>
          <w:p w14:paraId="196D8875">
            <w:pPr>
              <w:pStyle w:val="28"/>
              <w:spacing w:line="360" w:lineRule="auto"/>
              <w:ind w:firstLine="482" w:firstLineChars="200"/>
              <w:jc w:val="both"/>
              <w:rPr>
                <w:rFonts w:ascii="Times New Roman" w:cs="Times New Roman"/>
                <w:b/>
                <w:bCs/>
                <w:color w:val="auto"/>
                <w:sz w:val="24"/>
                <w:szCs w:val="24"/>
                <w:highlight w:val="none"/>
              </w:rPr>
            </w:pPr>
            <w:r>
              <w:rPr>
                <w:rFonts w:hint="eastAsia" w:ascii="Times New Roman" w:cs="Times New Roman"/>
                <w:b/>
                <w:bCs/>
                <w:color w:val="auto"/>
                <w:sz w:val="24"/>
                <w:szCs w:val="24"/>
                <w:highlight w:val="none"/>
                <w:lang w:eastAsia="zh-CN"/>
              </w:rPr>
              <w:t>（</w:t>
            </w:r>
            <w:r>
              <w:rPr>
                <w:rFonts w:hint="eastAsia" w:ascii="Times New Roman" w:cs="Times New Roman"/>
                <w:b/>
                <w:bCs/>
                <w:color w:val="auto"/>
                <w:sz w:val="24"/>
                <w:szCs w:val="24"/>
                <w:highlight w:val="none"/>
                <w:lang w:val="en-US" w:eastAsia="zh-CN"/>
              </w:rPr>
              <w:t>2</w:t>
            </w:r>
            <w:r>
              <w:rPr>
                <w:rFonts w:hint="eastAsia" w:ascii="Times New Roman" w:cs="Times New Roman"/>
                <w:b/>
                <w:bCs/>
                <w:color w:val="auto"/>
                <w:sz w:val="24"/>
                <w:szCs w:val="24"/>
                <w:highlight w:val="none"/>
                <w:lang w:eastAsia="zh-CN"/>
              </w:rPr>
              <w:t>）</w:t>
            </w:r>
            <w:r>
              <w:rPr>
                <w:rFonts w:ascii="Times New Roman" w:cs="Times New Roman"/>
                <w:b/>
                <w:bCs/>
                <w:color w:val="auto"/>
                <w:sz w:val="24"/>
                <w:szCs w:val="24"/>
                <w:highlight w:val="none"/>
              </w:rPr>
              <w:t>水量接管的可行性</w:t>
            </w:r>
          </w:p>
          <w:p w14:paraId="1DD76F91">
            <w:pPr>
              <w:pStyle w:val="28"/>
              <w:spacing w:line="360" w:lineRule="auto"/>
              <w:ind w:firstLine="480" w:firstLineChars="200"/>
              <w:jc w:val="both"/>
              <w:rPr>
                <w:rFonts w:hint="eastAsia" w:ascii="Times New Roman" w:eastAsia="宋体" w:cs="Times New Roman"/>
                <w:color w:val="auto"/>
                <w:sz w:val="24"/>
                <w:szCs w:val="24"/>
                <w:highlight w:val="none"/>
                <w:lang w:eastAsia="zh-CN"/>
              </w:rPr>
            </w:pPr>
            <w:r>
              <w:rPr>
                <w:rFonts w:hint="eastAsia" w:ascii="Times New Roman" w:cs="Times New Roman"/>
                <w:color w:val="auto"/>
                <w:sz w:val="24"/>
                <w:szCs w:val="24"/>
                <w:highlight w:val="none"/>
              </w:rPr>
              <w:t>目前，苏州市相润排水管理有限公司（漕湖污水处理厂）总规模为9万t/d，余量2万t/d，本项目生活污水排放量为</w:t>
            </w:r>
            <w:r>
              <w:rPr>
                <w:rFonts w:hint="eastAsia" w:ascii="Times New Roman" w:cs="Times New Roman"/>
                <w:color w:val="auto"/>
                <w:sz w:val="24"/>
                <w:szCs w:val="24"/>
                <w:highlight w:val="none"/>
                <w:lang w:val="en-US" w:eastAsia="zh-CN"/>
              </w:rPr>
              <w:t>300</w:t>
            </w:r>
            <w:r>
              <w:rPr>
                <w:rFonts w:hint="eastAsia" w:ascii="Times New Roman" w:cs="Times New Roman"/>
                <w:color w:val="auto"/>
                <w:sz w:val="24"/>
                <w:szCs w:val="24"/>
                <w:highlight w:val="none"/>
              </w:rPr>
              <w:t>t/a（约1t/d），占余量的0.00</w:t>
            </w:r>
            <w:r>
              <w:rPr>
                <w:rFonts w:hint="eastAsia" w:ascii="Times New Roman" w:cs="Times New Roman"/>
                <w:color w:val="auto"/>
                <w:sz w:val="24"/>
                <w:szCs w:val="24"/>
                <w:highlight w:val="none"/>
                <w:lang w:val="en-US" w:eastAsia="zh-CN"/>
              </w:rPr>
              <w:t>5</w:t>
            </w:r>
            <w:r>
              <w:rPr>
                <w:rFonts w:hint="eastAsia" w:ascii="Times New Roman" w:cs="Times New Roman"/>
                <w:color w:val="auto"/>
                <w:sz w:val="24"/>
                <w:szCs w:val="24"/>
                <w:highlight w:val="none"/>
              </w:rPr>
              <w:t>%，污水处理厂有足够的余量接纳本项目排放的生活污水</w:t>
            </w:r>
            <w:r>
              <w:rPr>
                <w:rFonts w:hint="eastAsia" w:ascii="Times New Roman" w:cs="Times New Roman"/>
                <w:color w:val="auto"/>
                <w:sz w:val="24"/>
                <w:szCs w:val="24"/>
                <w:highlight w:val="none"/>
                <w:lang w:eastAsia="zh-CN"/>
              </w:rPr>
              <w:t>。</w:t>
            </w:r>
          </w:p>
          <w:p w14:paraId="4913D7DF">
            <w:pPr>
              <w:pStyle w:val="28"/>
              <w:numPr>
                <w:ilvl w:val="0"/>
                <w:numId w:val="0"/>
              </w:numPr>
              <w:spacing w:line="360" w:lineRule="auto"/>
              <w:ind w:firstLine="482" w:firstLineChars="200"/>
              <w:jc w:val="both"/>
              <w:rPr>
                <w:rFonts w:ascii="Times New Roman" w:cs="Times New Roman"/>
                <w:b/>
                <w:bCs/>
                <w:color w:val="auto"/>
                <w:sz w:val="24"/>
                <w:szCs w:val="24"/>
                <w:highlight w:val="none"/>
              </w:rPr>
            </w:pPr>
            <w:r>
              <w:rPr>
                <w:rFonts w:ascii="Times New Roman" w:hAnsi="Times New Roman" w:eastAsia="宋体" w:cs="Times New Roman"/>
                <w:b/>
                <w:bCs/>
                <w:color w:val="auto"/>
                <w:sz w:val="24"/>
                <w:szCs w:val="24"/>
                <w:highlight w:val="none"/>
                <w:lang w:val="en-US" w:eastAsia="zh-CN" w:bidi="ar-SA"/>
              </w:rPr>
              <w:t>（3）</w:t>
            </w:r>
            <w:r>
              <w:rPr>
                <w:rFonts w:ascii="Times New Roman" w:cs="Times New Roman"/>
                <w:b/>
                <w:bCs/>
                <w:color w:val="auto"/>
                <w:sz w:val="24"/>
                <w:szCs w:val="24"/>
                <w:highlight w:val="none"/>
              </w:rPr>
              <w:t>管网建设情况</w:t>
            </w:r>
          </w:p>
          <w:p w14:paraId="47F5EDE4">
            <w:pPr>
              <w:pStyle w:val="28"/>
              <w:numPr>
                <w:ilvl w:val="0"/>
                <w:numId w:val="0"/>
              </w:numPr>
              <w:spacing w:line="360" w:lineRule="auto"/>
              <w:ind w:firstLine="480" w:firstLineChars="200"/>
              <w:jc w:val="both"/>
              <w:rPr>
                <w:rFonts w:ascii="Times New Roman" w:cs="Times New Roman"/>
                <w:color w:val="auto"/>
                <w:sz w:val="24"/>
                <w:szCs w:val="24"/>
                <w:highlight w:val="none"/>
              </w:rPr>
            </w:pPr>
            <w:r>
              <w:rPr>
                <w:rFonts w:ascii="Times New Roman" w:cs="Times New Roman"/>
                <w:color w:val="auto"/>
                <w:sz w:val="24"/>
                <w:szCs w:val="24"/>
                <w:highlight w:val="none"/>
              </w:rPr>
              <w:t>经核实，</w:t>
            </w:r>
            <w:r>
              <w:rPr>
                <w:rFonts w:hint="eastAsia" w:ascii="Times New Roman" w:cs="Times New Roman"/>
                <w:color w:val="auto"/>
                <w:sz w:val="24"/>
                <w:szCs w:val="24"/>
                <w:highlight w:val="none"/>
              </w:rPr>
              <w:t>目前本项目所在厂区污水管网已与市政污水管网接通</w:t>
            </w:r>
            <w:r>
              <w:rPr>
                <w:rFonts w:hint="eastAsia" w:ascii="Times New Roman" w:cs="Times New Roman"/>
                <w:color w:val="auto"/>
                <w:sz w:val="24"/>
                <w:szCs w:val="24"/>
                <w:highlight w:val="none"/>
                <w:lang w:eastAsia="zh-CN"/>
              </w:rPr>
              <w:t>，</w:t>
            </w:r>
            <w:r>
              <w:rPr>
                <w:rFonts w:ascii="Times New Roman" w:cs="Times New Roman"/>
                <w:color w:val="auto"/>
                <w:sz w:val="24"/>
                <w:szCs w:val="24"/>
                <w:highlight w:val="none"/>
              </w:rPr>
              <w:t>本项目污水可直接排入市政污水管网。</w:t>
            </w:r>
          </w:p>
          <w:p w14:paraId="61BC7AC2">
            <w:pPr>
              <w:pStyle w:val="28"/>
              <w:spacing w:line="360" w:lineRule="auto"/>
              <w:ind w:firstLine="480" w:firstLineChars="200"/>
              <w:jc w:val="both"/>
              <w:rPr>
                <w:rFonts w:ascii="Times New Roman" w:cs="Times New Roman"/>
                <w:color w:val="auto"/>
                <w:sz w:val="24"/>
                <w:szCs w:val="24"/>
                <w:highlight w:val="none"/>
              </w:rPr>
            </w:pPr>
            <w:r>
              <w:rPr>
                <w:rFonts w:ascii="Times New Roman" w:cs="Times New Roman"/>
                <w:color w:val="auto"/>
                <w:sz w:val="24"/>
                <w:szCs w:val="24"/>
                <w:highlight w:val="none"/>
              </w:rPr>
              <w:t>综上所述，本项目废水排入</w:t>
            </w:r>
            <w:r>
              <w:rPr>
                <w:rFonts w:hint="eastAsia"/>
                <w:color w:val="auto"/>
                <w:sz w:val="24"/>
                <w:szCs w:val="24"/>
                <w:highlight w:val="none"/>
              </w:rPr>
              <w:t>苏州市相润排水管理有限公司（漕湖污水处理厂）</w:t>
            </w:r>
            <w:r>
              <w:rPr>
                <w:rFonts w:ascii="Times New Roman" w:cs="Times New Roman"/>
                <w:color w:val="auto"/>
                <w:sz w:val="24"/>
                <w:szCs w:val="24"/>
                <w:highlight w:val="none"/>
              </w:rPr>
              <w:t>处理从接管水量</w:t>
            </w:r>
            <w:r>
              <w:rPr>
                <w:rFonts w:hint="eastAsia" w:ascii="Times New Roman" w:cs="Times New Roman"/>
                <w:color w:val="auto"/>
                <w:sz w:val="24"/>
                <w:szCs w:val="24"/>
                <w:highlight w:val="none"/>
                <w:lang w:eastAsia="zh-CN"/>
              </w:rPr>
              <w:t>、</w:t>
            </w:r>
            <w:r>
              <w:rPr>
                <w:rFonts w:ascii="Times New Roman" w:cs="Times New Roman"/>
                <w:color w:val="auto"/>
                <w:sz w:val="24"/>
                <w:szCs w:val="24"/>
                <w:highlight w:val="none"/>
              </w:rPr>
              <w:t>水质、管网铺设等方面均是可行的。</w:t>
            </w:r>
          </w:p>
          <w:p w14:paraId="7C228329">
            <w:pPr>
              <w:tabs>
                <w:tab w:val="left" w:pos="7200"/>
              </w:tabs>
              <w:spacing w:line="360" w:lineRule="auto"/>
              <w:rPr>
                <w:b/>
                <w:bCs/>
                <w:color w:val="auto"/>
                <w:sz w:val="24"/>
                <w:szCs w:val="24"/>
                <w:highlight w:val="none"/>
              </w:rPr>
            </w:pPr>
            <w:r>
              <w:rPr>
                <w:rFonts w:hint="eastAsia"/>
                <w:b/>
                <w:bCs/>
                <w:color w:val="auto"/>
                <w:sz w:val="24"/>
                <w:szCs w:val="24"/>
                <w:highlight w:val="none"/>
              </w:rPr>
              <w:t>2.</w:t>
            </w:r>
            <w:r>
              <w:rPr>
                <w:rFonts w:hint="eastAsia"/>
                <w:b/>
                <w:bCs/>
                <w:color w:val="auto"/>
                <w:sz w:val="24"/>
                <w:szCs w:val="24"/>
                <w:highlight w:val="none"/>
                <w:lang w:val="en-US" w:eastAsia="zh-CN"/>
              </w:rPr>
              <w:t>4</w:t>
            </w:r>
            <w:r>
              <w:rPr>
                <w:rFonts w:hint="eastAsia"/>
                <w:b/>
                <w:bCs/>
                <w:color w:val="auto"/>
                <w:sz w:val="24"/>
                <w:szCs w:val="24"/>
                <w:highlight w:val="none"/>
              </w:rPr>
              <w:t xml:space="preserve">  地表水环境影响分析</w:t>
            </w:r>
          </w:p>
          <w:p w14:paraId="238C3E09">
            <w:pPr>
              <w:tabs>
                <w:tab w:val="left" w:pos="7200"/>
              </w:tabs>
              <w:spacing w:line="360" w:lineRule="auto"/>
              <w:ind w:firstLine="463" w:firstLineChars="193"/>
              <w:rPr>
                <w:rFonts w:hAnsi="宋体"/>
                <w:color w:val="auto"/>
                <w:sz w:val="24"/>
                <w:szCs w:val="24"/>
                <w:highlight w:val="none"/>
              </w:rPr>
            </w:pPr>
            <w:r>
              <w:rPr>
                <w:rFonts w:hAnsi="宋体"/>
                <w:color w:val="auto"/>
                <w:sz w:val="24"/>
                <w:szCs w:val="24"/>
                <w:highlight w:val="none"/>
              </w:rPr>
              <w:t>本项目排放的污水水质简单，符合</w:t>
            </w:r>
            <w:r>
              <w:rPr>
                <w:rFonts w:hint="eastAsia" w:hAnsi="宋体"/>
                <w:color w:val="auto"/>
                <w:sz w:val="24"/>
                <w:szCs w:val="24"/>
                <w:highlight w:val="none"/>
                <w:lang w:eastAsia="zh-CN"/>
              </w:rPr>
              <w:t>污水处理厂</w:t>
            </w:r>
            <w:r>
              <w:rPr>
                <w:rFonts w:hAnsi="宋体"/>
                <w:color w:val="auto"/>
                <w:sz w:val="24"/>
                <w:szCs w:val="24"/>
                <w:highlight w:val="none"/>
              </w:rPr>
              <w:t>设计进水的水质要求，不会因为本项目的废水排放而使污水处理厂超负荷运营，也不会因为本项目的废水排放而导致污水生物处理系统失效。废水经污水处理厂处理</w:t>
            </w:r>
            <w:r>
              <w:rPr>
                <w:rFonts w:hint="eastAsia" w:hAnsi="宋体"/>
                <w:color w:val="auto"/>
                <w:sz w:val="24"/>
                <w:szCs w:val="24"/>
                <w:highlight w:val="none"/>
                <w:lang w:eastAsia="zh-CN"/>
              </w:rPr>
              <w:t>达到</w:t>
            </w:r>
            <w:r>
              <w:rPr>
                <w:rFonts w:hint="eastAsia"/>
                <w:color w:val="auto"/>
                <w:kern w:val="0"/>
                <w:sz w:val="24"/>
                <w:szCs w:val="24"/>
                <w:highlight w:val="none"/>
              </w:rPr>
              <w:t>《关于高质量推进城乡生活污水治理三年行动计划的实施意见》中附件1苏州特别排放限值标准</w:t>
            </w:r>
            <w:r>
              <w:rPr>
                <w:rFonts w:hAnsi="宋体"/>
                <w:color w:val="auto"/>
                <w:kern w:val="0"/>
                <w:sz w:val="24"/>
                <w:szCs w:val="24"/>
                <w:highlight w:val="none"/>
              </w:rPr>
              <w:t>及</w:t>
            </w:r>
            <w:r>
              <w:rPr>
                <w:rFonts w:hAnsi="宋体"/>
                <w:snapToGrid w:val="0"/>
                <w:color w:val="auto"/>
                <w:kern w:val="0"/>
                <w:sz w:val="24"/>
                <w:szCs w:val="24"/>
                <w:highlight w:val="none"/>
              </w:rPr>
              <w:t>《城镇污水处理厂污染物排放标准》</w:t>
            </w:r>
            <w:r>
              <w:rPr>
                <w:rFonts w:hint="eastAsia" w:hAnsi="宋体"/>
                <w:snapToGrid w:val="0"/>
                <w:color w:val="auto"/>
                <w:kern w:val="0"/>
                <w:sz w:val="24"/>
                <w:szCs w:val="24"/>
                <w:highlight w:val="none"/>
              </w:rPr>
              <w:t>（DB 32/4440-2022）</w:t>
            </w:r>
            <w:r>
              <w:rPr>
                <w:rFonts w:hint="eastAsia" w:hAnsi="宋体"/>
                <w:snapToGrid w:val="0"/>
                <w:color w:val="auto"/>
                <w:kern w:val="0"/>
                <w:sz w:val="24"/>
                <w:szCs w:val="24"/>
                <w:highlight w:val="none"/>
                <w:lang w:val="en-US" w:eastAsia="zh-CN"/>
              </w:rPr>
              <w:t>表1</w:t>
            </w:r>
            <w:r>
              <w:rPr>
                <w:rFonts w:hAnsi="宋体"/>
                <w:snapToGrid w:val="0"/>
                <w:color w:val="auto"/>
                <w:kern w:val="0"/>
                <w:sz w:val="24"/>
                <w:szCs w:val="24"/>
                <w:highlight w:val="none"/>
              </w:rPr>
              <w:t>一级</w:t>
            </w:r>
            <w:r>
              <w:rPr>
                <w:rFonts w:hint="eastAsia"/>
                <w:snapToGrid w:val="0"/>
                <w:color w:val="auto"/>
                <w:kern w:val="0"/>
                <w:sz w:val="24"/>
                <w:szCs w:val="24"/>
                <w:highlight w:val="none"/>
                <w:lang w:val="en-US" w:eastAsia="zh-CN"/>
              </w:rPr>
              <w:t>B</w:t>
            </w:r>
            <w:r>
              <w:rPr>
                <w:rFonts w:hAnsi="宋体"/>
                <w:snapToGrid w:val="0"/>
                <w:color w:val="auto"/>
                <w:kern w:val="0"/>
                <w:sz w:val="24"/>
                <w:szCs w:val="24"/>
                <w:highlight w:val="none"/>
              </w:rPr>
              <w:t>标准</w:t>
            </w:r>
            <w:r>
              <w:rPr>
                <w:rFonts w:hAnsi="宋体"/>
                <w:color w:val="auto"/>
                <w:sz w:val="24"/>
                <w:szCs w:val="24"/>
                <w:highlight w:val="none"/>
              </w:rPr>
              <w:t>后，尾水排入</w:t>
            </w:r>
            <w:r>
              <w:rPr>
                <w:rFonts w:hint="eastAsia" w:hAnsi="宋体"/>
                <w:color w:val="auto"/>
                <w:sz w:val="24"/>
                <w:szCs w:val="24"/>
                <w:highlight w:val="none"/>
              </w:rPr>
              <w:t>胜岸港</w:t>
            </w:r>
            <w:r>
              <w:rPr>
                <w:rFonts w:hAnsi="宋体"/>
                <w:color w:val="auto"/>
                <w:sz w:val="24"/>
                <w:szCs w:val="24"/>
                <w:highlight w:val="none"/>
              </w:rPr>
              <w:t>，对纳污水体的水环境影响可以接受，不会降低纳污水体的环境功能类别。</w:t>
            </w:r>
          </w:p>
          <w:p w14:paraId="73FA9279">
            <w:pPr>
              <w:pStyle w:val="17"/>
              <w:spacing w:after="0" w:line="360" w:lineRule="auto"/>
              <w:ind w:left="0" w:leftChars="0" w:firstLine="0" w:firstLineChars="0"/>
              <w:rPr>
                <w:rFonts w:hint="default" w:ascii="Times New Roman" w:hAnsi="Times New Roman" w:eastAsia="宋体" w:cs="Times New Roman"/>
                <w:bCs/>
                <w:color w:val="auto"/>
                <w:spacing w:val="-10"/>
                <w:sz w:val="24"/>
                <w:szCs w:val="24"/>
                <w:highlight w:val="none"/>
              </w:rPr>
            </w:pPr>
            <w:r>
              <w:rPr>
                <w:rFonts w:hint="default" w:ascii="Times New Roman" w:hAnsi="Times New Roman" w:eastAsia="宋体" w:cs="Times New Roman"/>
                <w:b/>
                <w:bCs/>
                <w:color w:val="auto"/>
                <w:sz w:val="24"/>
                <w:szCs w:val="24"/>
                <w:highlight w:val="none"/>
              </w:rPr>
              <w:t>2.</w:t>
            </w:r>
            <w:r>
              <w:rPr>
                <w:rFonts w:hint="eastAsia"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 xml:space="preserve">  废水监测计划</w:t>
            </w:r>
          </w:p>
          <w:p w14:paraId="492A1845">
            <w:pPr>
              <w:pStyle w:val="28"/>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w:t>
            </w:r>
            <w:r>
              <w:rPr>
                <w:rFonts w:hint="default" w:ascii="Times New Roman" w:hAnsi="Times New Roman" w:cs="Times New Roman"/>
                <w:color w:val="auto"/>
                <w:sz w:val="24"/>
                <w:szCs w:val="24"/>
                <w:highlight w:val="none"/>
              </w:rPr>
              <w:t>《排污单位自行监测技术指南 总则》（HJ 819-2017）制定并实施切实可行的环境监测计划</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监测计划</w:t>
            </w:r>
            <w:r>
              <w:rPr>
                <w:rFonts w:hint="default" w:ascii="Times New Roman" w:hAnsi="Times New Roman" w:cs="Times New Roman"/>
                <w:color w:val="auto"/>
                <w:sz w:val="24"/>
                <w:szCs w:val="24"/>
                <w:highlight w:val="none"/>
                <w:lang w:val="en-US" w:eastAsia="zh-CN"/>
              </w:rPr>
              <w:t>如</w:t>
            </w:r>
            <w:r>
              <w:rPr>
                <w:rFonts w:hint="default" w:ascii="Times New Roman" w:hAnsi="Times New Roman" w:eastAsia="宋体" w:cs="Times New Roman"/>
                <w:color w:val="auto"/>
                <w:sz w:val="24"/>
                <w:szCs w:val="24"/>
                <w:highlight w:val="none"/>
              </w:rPr>
              <w:t>下表。</w:t>
            </w:r>
          </w:p>
          <w:p w14:paraId="16077CAB">
            <w:pPr>
              <w:adjustRightInd w:val="0"/>
              <w:snapToGrid w:val="0"/>
              <w:ind w:firstLine="482" w:firstLineChars="200"/>
              <w:jc w:val="center"/>
              <w:rPr>
                <w:b/>
                <w:bCs/>
                <w:color w:val="auto"/>
                <w:sz w:val="24"/>
                <w:szCs w:val="24"/>
                <w:highlight w:val="none"/>
              </w:rPr>
            </w:pPr>
            <w:r>
              <w:rPr>
                <w:b/>
                <w:bCs/>
                <w:color w:val="auto"/>
                <w:sz w:val="24"/>
                <w:szCs w:val="24"/>
                <w:highlight w:val="none"/>
              </w:rPr>
              <w:t>表4-</w:t>
            </w:r>
            <w:r>
              <w:rPr>
                <w:rFonts w:hint="eastAsia"/>
                <w:b/>
                <w:bCs/>
                <w:color w:val="auto"/>
                <w:sz w:val="24"/>
                <w:szCs w:val="24"/>
                <w:highlight w:val="none"/>
                <w:lang w:val="en-US" w:eastAsia="zh-CN"/>
              </w:rPr>
              <w:t>15</w:t>
            </w:r>
            <w:r>
              <w:rPr>
                <w:b/>
                <w:color w:val="auto"/>
                <w:sz w:val="24"/>
                <w:szCs w:val="24"/>
                <w:highlight w:val="none"/>
              </w:rPr>
              <w:t xml:space="preserve">  </w:t>
            </w:r>
            <w:r>
              <w:rPr>
                <w:b/>
                <w:bCs/>
                <w:color w:val="auto"/>
                <w:sz w:val="24"/>
                <w:szCs w:val="24"/>
                <w:highlight w:val="none"/>
              </w:rPr>
              <w:t>环境监测计划及记录信息表</w:t>
            </w:r>
          </w:p>
          <w:tbl>
            <w:tblPr>
              <w:tblStyle w:val="22"/>
              <w:tblW w:w="4999" w:type="pct"/>
              <w:tblInd w:w="-15" w:type="dxa"/>
              <w:tblBorders>
                <w:top w:val="single" w:color="auto" w:sz="12" w:space="0"/>
                <w:left w:val="single" w:color="000000" w:sz="12" w:space="0"/>
                <w:bottom w:val="single" w:color="auto"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618"/>
              <w:gridCol w:w="831"/>
              <w:gridCol w:w="1383"/>
              <w:gridCol w:w="2431"/>
              <w:gridCol w:w="1091"/>
              <w:gridCol w:w="3063"/>
            </w:tblGrid>
            <w:tr w14:paraId="5DE72E5A">
              <w:tblPrEx>
                <w:tblBorders>
                  <w:top w:val="single" w:color="auto" w:sz="12" w:space="0"/>
                  <w:left w:val="single" w:color="000000" w:sz="12" w:space="0"/>
                  <w:bottom w:val="single" w:color="auto"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28" w:type="pct"/>
                  <w:tcBorders>
                    <w:tl2br w:val="nil"/>
                    <w:tr2bl w:val="nil"/>
                  </w:tcBorders>
                  <w:noWrap w:val="0"/>
                  <w:vAlign w:val="center"/>
                </w:tcPr>
                <w:p w14:paraId="51AE28D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项目</w:t>
                  </w:r>
                </w:p>
              </w:tc>
              <w:tc>
                <w:tcPr>
                  <w:tcW w:w="1175" w:type="pct"/>
                  <w:gridSpan w:val="2"/>
                  <w:tcBorders>
                    <w:tl2br w:val="nil"/>
                    <w:tr2bl w:val="nil"/>
                  </w:tcBorders>
                  <w:noWrap w:val="0"/>
                  <w:vAlign w:val="center"/>
                </w:tcPr>
                <w:p w14:paraId="1A3D738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监测点位</w:t>
                  </w:r>
                </w:p>
              </w:tc>
              <w:tc>
                <w:tcPr>
                  <w:tcW w:w="1290" w:type="pct"/>
                  <w:tcBorders>
                    <w:tl2br w:val="nil"/>
                    <w:tr2bl w:val="nil"/>
                  </w:tcBorders>
                  <w:noWrap w:val="0"/>
                  <w:vAlign w:val="center"/>
                </w:tcPr>
                <w:p w14:paraId="334263A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监测因子</w:t>
                  </w:r>
                </w:p>
              </w:tc>
              <w:tc>
                <w:tcPr>
                  <w:tcW w:w="579" w:type="pct"/>
                  <w:tcBorders>
                    <w:tl2br w:val="nil"/>
                    <w:tr2bl w:val="nil"/>
                  </w:tcBorders>
                  <w:noWrap w:val="0"/>
                  <w:vAlign w:val="center"/>
                </w:tcPr>
                <w:p w14:paraId="443A4401">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监测频次</w:t>
                  </w:r>
                </w:p>
              </w:tc>
              <w:tc>
                <w:tcPr>
                  <w:tcW w:w="1625" w:type="pct"/>
                  <w:tcBorders>
                    <w:tl2br w:val="nil"/>
                    <w:tr2bl w:val="nil"/>
                  </w:tcBorders>
                  <w:noWrap w:val="0"/>
                  <w:vAlign w:val="center"/>
                </w:tcPr>
                <w:p w14:paraId="17EF958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排放标准</w:t>
                  </w:r>
                </w:p>
              </w:tc>
            </w:tr>
            <w:tr w14:paraId="35F47B9E">
              <w:tblPrEx>
                <w:tblBorders>
                  <w:top w:val="single" w:color="auto" w:sz="12" w:space="0"/>
                  <w:left w:val="single" w:color="000000" w:sz="12" w:space="0"/>
                  <w:bottom w:val="single" w:color="auto"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328" w:type="pct"/>
                  <w:tcBorders>
                    <w:tl2br w:val="nil"/>
                    <w:tr2bl w:val="nil"/>
                  </w:tcBorders>
                  <w:noWrap w:val="0"/>
                  <w:vAlign w:val="center"/>
                </w:tcPr>
                <w:p w14:paraId="357D4A2B">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废水</w:t>
                  </w:r>
                </w:p>
              </w:tc>
              <w:tc>
                <w:tcPr>
                  <w:tcW w:w="441" w:type="pct"/>
                  <w:tcBorders>
                    <w:tl2br w:val="nil"/>
                    <w:tr2bl w:val="nil"/>
                  </w:tcBorders>
                  <w:noWrap w:val="0"/>
                  <w:vAlign w:val="center"/>
                </w:tcPr>
                <w:p w14:paraId="7370718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DW001</w:t>
                  </w:r>
                </w:p>
              </w:tc>
              <w:tc>
                <w:tcPr>
                  <w:tcW w:w="734" w:type="pct"/>
                  <w:tcBorders>
                    <w:tl2br w:val="nil"/>
                    <w:tr2bl w:val="nil"/>
                  </w:tcBorders>
                  <w:noWrap w:val="0"/>
                  <w:vAlign w:val="center"/>
                </w:tcPr>
                <w:p w14:paraId="23C8E470">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废水排放口</w:t>
                  </w:r>
                </w:p>
              </w:tc>
              <w:tc>
                <w:tcPr>
                  <w:tcW w:w="1290" w:type="pct"/>
                  <w:tcBorders>
                    <w:tl2br w:val="nil"/>
                    <w:tr2bl w:val="nil"/>
                  </w:tcBorders>
                  <w:noWrap w:val="0"/>
                  <w:vAlign w:val="center"/>
                </w:tcPr>
                <w:p w14:paraId="183EE3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rPr>
                    <w:t>pH、COD、NH</w:t>
                  </w:r>
                  <w:r>
                    <w:rPr>
                      <w:rFonts w:hint="default" w:ascii="Times New Roman" w:hAnsi="Times New Roman" w:eastAsia="仿宋" w:cs="Times New Roman"/>
                      <w:color w:val="auto"/>
                      <w:sz w:val="21"/>
                      <w:szCs w:val="21"/>
                      <w:highlight w:val="none"/>
                      <w:vertAlign w:val="subscript"/>
                    </w:rPr>
                    <w:t>3</w:t>
                  </w:r>
                  <w:r>
                    <w:rPr>
                      <w:rFonts w:hint="default" w:ascii="Times New Roman" w:hAnsi="Times New Roman" w:eastAsia="仿宋" w:cs="Times New Roman"/>
                      <w:color w:val="auto"/>
                      <w:sz w:val="21"/>
                      <w:szCs w:val="21"/>
                      <w:highlight w:val="none"/>
                    </w:rPr>
                    <w:t>-N、SS、TN、TP</w:t>
                  </w:r>
                </w:p>
              </w:tc>
              <w:tc>
                <w:tcPr>
                  <w:tcW w:w="579" w:type="pct"/>
                  <w:tcBorders>
                    <w:tl2br w:val="nil"/>
                    <w:tr2bl w:val="nil"/>
                  </w:tcBorders>
                  <w:noWrap w:val="0"/>
                  <w:vAlign w:val="center"/>
                </w:tcPr>
                <w:p w14:paraId="7FEEBFEA">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1次/年</w:t>
                  </w:r>
                </w:p>
              </w:tc>
              <w:tc>
                <w:tcPr>
                  <w:tcW w:w="1625" w:type="pct"/>
                  <w:tcBorders>
                    <w:tl2br w:val="nil"/>
                    <w:tr2bl w:val="nil"/>
                  </w:tcBorders>
                  <w:noWrap w:val="0"/>
                  <w:vAlign w:val="center"/>
                </w:tcPr>
                <w:p w14:paraId="5BAC41D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苏州市相润排水管理有限公司（漕湖污水处理厂）</w:t>
                  </w:r>
                </w:p>
              </w:tc>
            </w:tr>
          </w:tbl>
          <w:p w14:paraId="5428A57F">
            <w:pPr>
              <w:spacing w:line="360" w:lineRule="auto"/>
              <w:ind w:firstLine="480" w:firstLineChars="200"/>
              <w:rPr>
                <w:bCs/>
                <w:color w:val="auto"/>
                <w:sz w:val="24"/>
                <w:szCs w:val="24"/>
                <w:highlight w:val="none"/>
              </w:rPr>
            </w:pPr>
          </w:p>
        </w:tc>
      </w:tr>
    </w:tbl>
    <w:p w14:paraId="45C5607E">
      <w:pPr>
        <w:tabs>
          <w:tab w:val="left" w:pos="2010"/>
        </w:tabs>
        <w:adjustRightInd w:val="0"/>
        <w:snapToGrid w:val="0"/>
        <w:spacing w:line="360" w:lineRule="auto"/>
        <w:rPr>
          <w:b/>
          <w:color w:val="auto"/>
          <w:kern w:val="0"/>
          <w:sz w:val="28"/>
          <w:szCs w:val="28"/>
          <w:highlight w:val="none"/>
        </w:rPr>
        <w:sectPr>
          <w:pgSz w:w="11907" w:h="16840"/>
          <w:pgMar w:top="1440" w:right="1080" w:bottom="1440" w:left="1080" w:header="851" w:footer="851" w:gutter="0"/>
          <w:pgBorders>
            <w:top w:val="none" w:sz="0" w:space="0"/>
            <w:left w:val="none" w:sz="0" w:space="0"/>
            <w:bottom w:val="none" w:sz="0" w:space="0"/>
            <w:right w:val="none" w:sz="0" w:space="0"/>
          </w:pgBorders>
          <w:cols w:space="720" w:num="1"/>
          <w:docGrid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6"/>
      </w:tblGrid>
      <w:tr w14:paraId="0149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8AFF6BD">
            <w:pPr>
              <w:numPr>
                <w:ilvl w:val="0"/>
                <w:numId w:val="0"/>
              </w:numPr>
              <w:adjustRightInd w:val="0"/>
              <w:snapToGrid w:val="0"/>
              <w:spacing w:line="360" w:lineRule="auto"/>
              <w:rPr>
                <w:b/>
                <w:bCs/>
                <w:color w:val="auto"/>
                <w:sz w:val="24"/>
                <w:szCs w:val="24"/>
                <w:highlight w:val="none"/>
              </w:rPr>
            </w:pPr>
            <w:r>
              <w:rPr>
                <w:rFonts w:ascii="Times New Roman" w:hAnsi="Times New Roman" w:eastAsia="宋体" w:cs="Times New Roman"/>
                <w:b/>
                <w:bCs/>
                <w:color w:val="auto"/>
                <w:kern w:val="2"/>
                <w:sz w:val="24"/>
                <w:szCs w:val="24"/>
                <w:highlight w:val="none"/>
                <w:lang w:val="en-US" w:eastAsia="zh-CN" w:bidi="ar-SA"/>
              </w:rPr>
              <w:t>3、</w:t>
            </w:r>
            <w:r>
              <w:rPr>
                <w:b/>
                <w:bCs/>
                <w:color w:val="auto"/>
                <w:sz w:val="24"/>
                <w:szCs w:val="24"/>
                <w:highlight w:val="none"/>
              </w:rPr>
              <w:t>噪声</w:t>
            </w:r>
          </w:p>
          <w:p w14:paraId="012415D2">
            <w:pPr>
              <w:numPr>
                <w:ilvl w:val="0"/>
                <w:numId w:val="0"/>
              </w:numPr>
              <w:adjustRightInd w:val="0"/>
              <w:snapToGrid w:val="0"/>
              <w:spacing w:line="360" w:lineRule="auto"/>
              <w:rPr>
                <w:rFonts w:hint="default" w:eastAsia="宋体"/>
                <w:b/>
                <w:bCs/>
                <w:color w:val="auto"/>
                <w:sz w:val="24"/>
                <w:szCs w:val="24"/>
                <w:highlight w:val="none"/>
                <w:lang w:val="en-US" w:eastAsia="zh-CN"/>
              </w:rPr>
            </w:pPr>
            <w:r>
              <w:rPr>
                <w:rFonts w:hint="eastAsia"/>
                <w:b/>
                <w:bCs/>
                <w:color w:val="auto"/>
                <w:sz w:val="24"/>
                <w:szCs w:val="24"/>
                <w:highlight w:val="none"/>
                <w:lang w:val="en-US" w:eastAsia="zh-CN"/>
              </w:rPr>
              <w:t>3.1  噪声源强</w:t>
            </w:r>
          </w:p>
          <w:p w14:paraId="16E52BD7">
            <w:pPr>
              <w:adjustRightInd w:val="0"/>
              <w:snapToGrid w:val="0"/>
              <w:spacing w:line="360" w:lineRule="auto"/>
              <w:ind w:firstLine="480" w:firstLineChars="200"/>
              <w:rPr>
                <w:bCs/>
                <w:color w:val="auto"/>
                <w:sz w:val="24"/>
                <w:szCs w:val="24"/>
                <w:highlight w:val="none"/>
              </w:rPr>
            </w:pPr>
            <w:r>
              <w:rPr>
                <w:rFonts w:hint="eastAsia"/>
                <w:bCs/>
                <w:color w:val="auto"/>
                <w:sz w:val="24"/>
                <w:szCs w:val="24"/>
                <w:highlight w:val="none"/>
                <w:lang w:val="en-US" w:eastAsia="zh-CN"/>
              </w:rPr>
              <w:t>本</w:t>
            </w:r>
            <w:r>
              <w:rPr>
                <w:bCs/>
                <w:color w:val="auto"/>
                <w:sz w:val="24"/>
                <w:szCs w:val="24"/>
                <w:highlight w:val="none"/>
              </w:rPr>
              <w:t>项目主要噪声源为</w:t>
            </w:r>
            <w:r>
              <w:rPr>
                <w:rFonts w:hint="eastAsia"/>
                <w:bCs/>
                <w:color w:val="auto"/>
                <w:sz w:val="24"/>
                <w:szCs w:val="24"/>
                <w:highlight w:val="none"/>
                <w:lang w:val="en-US" w:eastAsia="zh-CN"/>
              </w:rPr>
              <w:t>机床</w:t>
            </w:r>
            <w:r>
              <w:rPr>
                <w:bCs/>
                <w:color w:val="auto"/>
                <w:sz w:val="24"/>
                <w:szCs w:val="24"/>
                <w:highlight w:val="none"/>
              </w:rPr>
              <w:t>等设备运转时产生的机械噪声；其噪声源强在6</w:t>
            </w:r>
            <w:r>
              <w:rPr>
                <w:rFonts w:hint="eastAsia"/>
                <w:bCs/>
                <w:color w:val="auto"/>
                <w:sz w:val="24"/>
                <w:szCs w:val="24"/>
                <w:highlight w:val="none"/>
                <w:lang w:val="en-US" w:eastAsia="zh-CN"/>
              </w:rPr>
              <w:t>0</w:t>
            </w:r>
            <w:r>
              <w:rPr>
                <w:bCs/>
                <w:color w:val="auto"/>
                <w:sz w:val="24"/>
                <w:szCs w:val="24"/>
                <w:highlight w:val="none"/>
              </w:rPr>
              <w:t>~8</w:t>
            </w:r>
            <w:r>
              <w:rPr>
                <w:rFonts w:hint="eastAsia"/>
                <w:bCs/>
                <w:color w:val="auto"/>
                <w:sz w:val="24"/>
                <w:szCs w:val="24"/>
                <w:highlight w:val="none"/>
                <w:lang w:val="en-US" w:eastAsia="zh-CN"/>
              </w:rPr>
              <w:t>5</w:t>
            </w:r>
            <w:r>
              <w:rPr>
                <w:bCs/>
                <w:color w:val="auto"/>
                <w:sz w:val="24"/>
                <w:szCs w:val="24"/>
                <w:highlight w:val="none"/>
              </w:rPr>
              <w:t>dB</w:t>
            </w:r>
            <w:r>
              <w:rPr>
                <w:rFonts w:hint="eastAsia"/>
                <w:bCs/>
                <w:color w:val="auto"/>
                <w:sz w:val="24"/>
                <w:szCs w:val="24"/>
                <w:highlight w:val="none"/>
                <w:lang w:eastAsia="zh-CN"/>
              </w:rPr>
              <w:t>（</w:t>
            </w:r>
            <w:r>
              <w:rPr>
                <w:bCs/>
                <w:color w:val="auto"/>
                <w:sz w:val="24"/>
                <w:szCs w:val="24"/>
                <w:highlight w:val="none"/>
              </w:rPr>
              <w:t>A</w:t>
            </w:r>
            <w:r>
              <w:rPr>
                <w:rFonts w:hint="eastAsia"/>
                <w:bCs/>
                <w:color w:val="auto"/>
                <w:sz w:val="24"/>
                <w:szCs w:val="24"/>
                <w:highlight w:val="none"/>
                <w:lang w:eastAsia="zh-CN"/>
              </w:rPr>
              <w:t>）</w:t>
            </w:r>
            <w:r>
              <w:rPr>
                <w:bCs/>
                <w:color w:val="auto"/>
                <w:sz w:val="24"/>
                <w:szCs w:val="24"/>
                <w:highlight w:val="none"/>
              </w:rPr>
              <w:t>左右。主要设备的噪声源强如下表所示。</w:t>
            </w:r>
          </w:p>
          <w:p w14:paraId="4BEF0067">
            <w:pPr>
              <w:keepNext w:val="0"/>
              <w:keepLines w:val="0"/>
              <w:pageBreakBefore w:val="0"/>
              <w:widowControl w:val="0"/>
              <w:numPr>
                <w:ilvl w:val="0"/>
                <w:numId w:val="0"/>
              </w:numPr>
              <w:suppressLineNumbers w:val="0"/>
              <w:tabs>
                <w:tab w:val="left" w:pos="0"/>
              </w:tabs>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仿宋" w:cs="Times New Roman"/>
                <w:b/>
                <w:bCs w:val="0"/>
                <w:snapToGrid w:val="0"/>
                <w:color w:val="auto"/>
                <w:kern w:val="0"/>
                <w:sz w:val="24"/>
                <w:szCs w:val="24"/>
                <w:highlight w:val="none"/>
                <w:lang w:val="en-US" w:eastAsia="zh-CN" w:bidi="zh-CN"/>
              </w:rPr>
            </w:pPr>
            <w:r>
              <w:rPr>
                <w:rFonts w:hint="default" w:ascii="Times New Roman" w:hAnsi="Times New Roman" w:eastAsia="宋体" w:cs="Times New Roman"/>
                <w:b/>
                <w:bCs/>
                <w:snapToGrid w:val="0"/>
                <w:color w:val="auto"/>
                <w:kern w:val="0"/>
                <w:sz w:val="24"/>
                <w:szCs w:val="24"/>
                <w:highlight w:val="none"/>
                <w:u w:val="none"/>
                <w:lang w:val="en-US" w:eastAsia="zh-CN" w:bidi="zh-CN"/>
              </w:rPr>
              <w:t>表4-1</w:t>
            </w:r>
            <w:r>
              <w:rPr>
                <w:rFonts w:hint="eastAsia" w:cs="Times New Roman"/>
                <w:b/>
                <w:bCs/>
                <w:snapToGrid w:val="0"/>
                <w:color w:val="auto"/>
                <w:kern w:val="0"/>
                <w:sz w:val="24"/>
                <w:szCs w:val="24"/>
                <w:highlight w:val="none"/>
                <w:u w:val="none"/>
                <w:lang w:val="en-US" w:eastAsia="zh-CN" w:bidi="zh-CN"/>
              </w:rPr>
              <w:t>6</w:t>
            </w:r>
            <w:r>
              <w:rPr>
                <w:rFonts w:hint="default" w:ascii="Times New Roman" w:hAnsi="Times New Roman" w:eastAsia="宋体" w:cs="Times New Roman"/>
                <w:b/>
                <w:bCs/>
                <w:snapToGrid w:val="0"/>
                <w:color w:val="auto"/>
                <w:kern w:val="0"/>
                <w:sz w:val="24"/>
                <w:szCs w:val="24"/>
                <w:highlight w:val="none"/>
                <w:u w:val="none"/>
                <w:lang w:val="en-US" w:eastAsia="zh-CN" w:bidi="zh-CN"/>
              </w:rPr>
              <w:t xml:space="preserve">  </w:t>
            </w:r>
            <w:r>
              <w:rPr>
                <w:rFonts w:hint="default" w:ascii="Times New Roman" w:hAnsi="Times New Roman" w:eastAsia="宋体" w:cs="Times New Roman"/>
                <w:b/>
                <w:bCs w:val="0"/>
                <w:snapToGrid w:val="0"/>
                <w:color w:val="auto"/>
                <w:kern w:val="0"/>
                <w:sz w:val="24"/>
                <w:szCs w:val="24"/>
                <w:highlight w:val="none"/>
                <w:lang w:val="en-US" w:eastAsia="zh-CN" w:bidi="zh-CN"/>
              </w:rPr>
              <w:t>工业企业噪声源强调查清单（室内声源）</w:t>
            </w:r>
          </w:p>
          <w:tbl>
            <w:tblPr>
              <w:tblStyle w:val="22"/>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5"/>
              <w:gridCol w:w="425"/>
              <w:gridCol w:w="791"/>
              <w:gridCol w:w="635"/>
              <w:gridCol w:w="888"/>
              <w:gridCol w:w="669"/>
              <w:gridCol w:w="727"/>
              <w:gridCol w:w="381"/>
              <w:gridCol w:w="358"/>
              <w:gridCol w:w="392"/>
              <w:gridCol w:w="300"/>
              <w:gridCol w:w="415"/>
              <w:gridCol w:w="427"/>
              <w:gridCol w:w="416"/>
              <w:gridCol w:w="542"/>
              <w:gridCol w:w="554"/>
              <w:gridCol w:w="611"/>
              <w:gridCol w:w="574"/>
              <w:gridCol w:w="362"/>
              <w:gridCol w:w="858"/>
              <w:gridCol w:w="638"/>
              <w:gridCol w:w="560"/>
              <w:gridCol w:w="560"/>
              <w:gridCol w:w="601"/>
              <w:gridCol w:w="813"/>
            </w:tblGrid>
            <w:tr w14:paraId="3B375C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52" w:type="pct"/>
                  <w:vMerge w:val="restart"/>
                  <w:tcBorders>
                    <w:tl2br w:val="nil"/>
                    <w:tr2bl w:val="nil"/>
                  </w:tcBorders>
                  <w:shd w:val="clear" w:color="auto" w:fill="auto"/>
                  <w:vAlign w:val="center"/>
                </w:tcPr>
                <w:p w14:paraId="691344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序号</w:t>
                  </w:r>
                </w:p>
              </w:tc>
              <w:tc>
                <w:tcPr>
                  <w:tcW w:w="152" w:type="pct"/>
                  <w:vMerge w:val="restart"/>
                  <w:tcBorders>
                    <w:tl2br w:val="nil"/>
                    <w:tr2bl w:val="nil"/>
                  </w:tcBorders>
                  <w:shd w:val="clear" w:color="auto" w:fill="auto"/>
                  <w:vAlign w:val="center"/>
                </w:tcPr>
                <w:p w14:paraId="34E847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建筑物名称</w:t>
                  </w:r>
                </w:p>
              </w:tc>
              <w:tc>
                <w:tcPr>
                  <w:tcW w:w="284" w:type="pct"/>
                  <w:vMerge w:val="restart"/>
                  <w:tcBorders>
                    <w:tl2br w:val="nil"/>
                    <w:tr2bl w:val="nil"/>
                  </w:tcBorders>
                  <w:shd w:val="clear" w:color="auto" w:fill="auto"/>
                  <w:vAlign w:val="center"/>
                </w:tcPr>
                <w:p w14:paraId="488BB4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声源名称</w:t>
                  </w:r>
                  <w:r>
                    <w:rPr>
                      <w:rFonts w:hint="default" w:ascii="Times New Roman" w:hAnsi="Times New Roman" w:eastAsia="仿宋" w:cs="Times New Roman"/>
                      <w:color w:val="auto"/>
                      <w:sz w:val="21"/>
                      <w:szCs w:val="21"/>
                      <w:highlight w:val="none"/>
                      <w:vertAlign w:val="superscript"/>
                    </w:rPr>
                    <w:t>[1]</w:t>
                  </w:r>
                </w:p>
              </w:tc>
              <w:tc>
                <w:tcPr>
                  <w:tcW w:w="228" w:type="pct"/>
                  <w:vMerge w:val="restart"/>
                  <w:tcBorders>
                    <w:tl2br w:val="nil"/>
                    <w:tr2bl w:val="nil"/>
                  </w:tcBorders>
                  <w:shd w:val="clear" w:color="auto" w:fill="auto"/>
                  <w:vAlign w:val="center"/>
                </w:tcPr>
                <w:p w14:paraId="0F8B50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lang w:eastAsia="zh-CN"/>
                    </w:rPr>
                  </w:pPr>
                  <w:r>
                    <w:rPr>
                      <w:rFonts w:hint="default" w:ascii="Times New Roman" w:hAnsi="Times New Roman" w:eastAsia="仿宋" w:cs="Times New Roman"/>
                      <w:b/>
                      <w:bCs/>
                      <w:color w:val="auto"/>
                      <w:sz w:val="21"/>
                      <w:szCs w:val="21"/>
                      <w:highlight w:val="none"/>
                      <w:lang w:val="en-US" w:eastAsia="zh-CN"/>
                    </w:rPr>
                    <w:t>数量</w:t>
                  </w:r>
                  <w:r>
                    <w:rPr>
                      <w:rFonts w:hint="eastAsia" w:eastAsia="仿宋" w:cs="Times New Roman"/>
                      <w:b/>
                      <w:bCs/>
                      <w:color w:val="auto"/>
                      <w:sz w:val="21"/>
                      <w:szCs w:val="21"/>
                      <w:highlight w:val="none"/>
                      <w:lang w:val="en-US" w:eastAsia="zh-CN"/>
                    </w:rPr>
                    <w:t>（台）</w:t>
                  </w:r>
                </w:p>
              </w:tc>
              <w:tc>
                <w:tcPr>
                  <w:tcW w:w="559" w:type="pct"/>
                  <w:gridSpan w:val="2"/>
                  <w:vMerge w:val="restart"/>
                  <w:tcBorders>
                    <w:tl2br w:val="nil"/>
                    <w:tr2bl w:val="nil"/>
                  </w:tcBorders>
                  <w:shd w:val="clear" w:color="auto" w:fill="auto"/>
                  <w:vAlign w:val="center"/>
                </w:tcPr>
                <w:p w14:paraId="4CFB6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lang w:val="en-US" w:eastAsia="zh-CN"/>
                    </w:rPr>
                    <w:t>声源源强</w:t>
                  </w:r>
                </w:p>
              </w:tc>
              <w:tc>
                <w:tcPr>
                  <w:tcW w:w="261" w:type="pct"/>
                  <w:vMerge w:val="restart"/>
                  <w:tcBorders>
                    <w:tl2br w:val="nil"/>
                    <w:tr2bl w:val="nil"/>
                  </w:tcBorders>
                  <w:shd w:val="clear" w:color="auto" w:fill="auto"/>
                  <w:vAlign w:val="center"/>
                </w:tcPr>
                <w:p w14:paraId="077F66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声源控制措施</w:t>
                  </w:r>
                </w:p>
              </w:tc>
              <w:tc>
                <w:tcPr>
                  <w:tcW w:w="406" w:type="pct"/>
                  <w:gridSpan w:val="3"/>
                  <w:tcBorders>
                    <w:tl2br w:val="nil"/>
                    <w:tr2bl w:val="nil"/>
                  </w:tcBorders>
                  <w:shd w:val="clear" w:color="auto" w:fill="auto"/>
                  <w:vAlign w:val="center"/>
                </w:tcPr>
                <w:p w14:paraId="417A80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空间相对位置/m</w:t>
                  </w:r>
                  <w:r>
                    <w:rPr>
                      <w:rFonts w:hint="default" w:ascii="Times New Roman" w:hAnsi="Times New Roman" w:eastAsia="仿宋" w:cs="Times New Roman"/>
                      <w:color w:val="auto"/>
                      <w:sz w:val="21"/>
                      <w:szCs w:val="21"/>
                      <w:highlight w:val="none"/>
                      <w:vertAlign w:val="superscript"/>
                    </w:rPr>
                    <w:t>[2]</w:t>
                  </w:r>
                </w:p>
              </w:tc>
              <w:tc>
                <w:tcPr>
                  <w:tcW w:w="559" w:type="pct"/>
                  <w:gridSpan w:val="4"/>
                  <w:tcBorders>
                    <w:tl2br w:val="nil"/>
                    <w:tr2bl w:val="nil"/>
                  </w:tcBorders>
                  <w:shd w:val="clear" w:color="auto" w:fill="auto"/>
                  <w:vAlign w:val="center"/>
                </w:tcPr>
                <w:p w14:paraId="08B357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距室内边界距离/m</w:t>
                  </w:r>
                </w:p>
              </w:tc>
              <w:tc>
                <w:tcPr>
                  <w:tcW w:w="819" w:type="pct"/>
                  <w:gridSpan w:val="4"/>
                  <w:tcBorders>
                    <w:tl2br w:val="nil"/>
                    <w:tr2bl w:val="nil"/>
                  </w:tcBorders>
                  <w:shd w:val="clear" w:color="auto" w:fill="auto"/>
                  <w:vAlign w:val="center"/>
                </w:tcPr>
                <w:p w14:paraId="501954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rPr>
                    <w:t>室内边界声级/dB</w:t>
                  </w:r>
                  <w:r>
                    <w:rPr>
                      <w:rFonts w:hint="default" w:ascii="Times New Roman" w:hAnsi="Times New Roman" w:eastAsia="仿宋" w:cs="Times New Roman"/>
                      <w:b/>
                      <w:bCs/>
                      <w:color w:val="auto"/>
                      <w:sz w:val="21"/>
                      <w:szCs w:val="21"/>
                      <w:highlight w:val="none"/>
                      <w:lang w:val="en-US" w:eastAsia="zh-CN"/>
                    </w:rPr>
                    <w:t>(</w:t>
                  </w:r>
                  <w:r>
                    <w:rPr>
                      <w:rFonts w:hint="default" w:ascii="Times New Roman" w:hAnsi="Times New Roman" w:eastAsia="仿宋" w:cs="Times New Roman"/>
                      <w:b/>
                      <w:bCs/>
                      <w:color w:val="auto"/>
                      <w:sz w:val="21"/>
                      <w:szCs w:val="21"/>
                      <w:highlight w:val="none"/>
                    </w:rPr>
                    <w:t>A</w:t>
                  </w:r>
                  <w:r>
                    <w:rPr>
                      <w:rFonts w:hint="default" w:ascii="Times New Roman" w:hAnsi="Times New Roman" w:eastAsia="仿宋" w:cs="Times New Roman"/>
                      <w:b/>
                      <w:bCs/>
                      <w:color w:val="auto"/>
                      <w:sz w:val="21"/>
                      <w:szCs w:val="21"/>
                      <w:highlight w:val="none"/>
                      <w:lang w:val="en-US" w:eastAsia="zh-CN"/>
                    </w:rPr>
                    <w:t>)</w:t>
                  </w:r>
                </w:p>
              </w:tc>
              <w:tc>
                <w:tcPr>
                  <w:tcW w:w="130" w:type="pct"/>
                  <w:vMerge w:val="restart"/>
                  <w:tcBorders>
                    <w:tl2br w:val="nil"/>
                    <w:tr2bl w:val="nil"/>
                  </w:tcBorders>
                  <w:shd w:val="clear" w:color="auto" w:fill="auto"/>
                  <w:vAlign w:val="center"/>
                </w:tcPr>
                <w:p w14:paraId="3DC631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运行时段</w:t>
                  </w:r>
                </w:p>
              </w:tc>
              <w:tc>
                <w:tcPr>
                  <w:tcW w:w="308" w:type="pct"/>
                  <w:vMerge w:val="restart"/>
                  <w:tcBorders>
                    <w:tl2br w:val="nil"/>
                    <w:tr2bl w:val="nil"/>
                  </w:tcBorders>
                  <w:shd w:val="clear" w:color="auto" w:fill="auto"/>
                  <w:vAlign w:val="center"/>
                </w:tcPr>
                <w:p w14:paraId="7648F9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建筑物插入损失</w:t>
                  </w:r>
                  <w:r>
                    <w:rPr>
                      <w:rFonts w:hint="default" w:ascii="Times New Roman" w:hAnsi="Times New Roman" w:eastAsia="仿宋" w:cs="Times New Roman"/>
                      <w:b/>
                      <w:bCs/>
                      <w:color w:val="auto"/>
                      <w:sz w:val="21"/>
                      <w:szCs w:val="21"/>
                      <w:highlight w:val="none"/>
                      <w:lang w:val="en-US" w:eastAsia="zh-CN"/>
                    </w:rPr>
                    <w:t>/</w:t>
                  </w:r>
                  <w:r>
                    <w:rPr>
                      <w:rFonts w:hint="default" w:ascii="Times New Roman" w:hAnsi="Times New Roman" w:eastAsia="仿宋" w:cs="Times New Roman"/>
                      <w:b/>
                      <w:bCs/>
                      <w:color w:val="auto"/>
                      <w:sz w:val="21"/>
                      <w:szCs w:val="21"/>
                      <w:highlight w:val="none"/>
                    </w:rPr>
                    <w:t>dB</w:t>
                  </w:r>
                </w:p>
                <w:p w14:paraId="433D77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w:t>
                  </w:r>
                  <w:r>
                    <w:rPr>
                      <w:rFonts w:hint="default" w:ascii="Times New Roman" w:hAnsi="Times New Roman" w:eastAsia="仿宋" w:cs="Times New Roman"/>
                      <w:b/>
                      <w:bCs/>
                      <w:color w:val="auto"/>
                      <w:sz w:val="21"/>
                      <w:szCs w:val="21"/>
                      <w:highlight w:val="none"/>
                    </w:rPr>
                    <w:t>A</w:t>
                  </w:r>
                  <w:r>
                    <w:rPr>
                      <w:rFonts w:hint="default" w:ascii="Times New Roman" w:hAnsi="Times New Roman" w:eastAsia="仿宋" w:cs="Times New Roman"/>
                      <w:b/>
                      <w:bCs/>
                      <w:color w:val="auto"/>
                      <w:sz w:val="21"/>
                      <w:szCs w:val="21"/>
                      <w:highlight w:val="none"/>
                      <w:lang w:val="en-US" w:eastAsia="zh-CN"/>
                    </w:rPr>
                    <w:t>)</w:t>
                  </w:r>
                </w:p>
              </w:tc>
              <w:tc>
                <w:tcPr>
                  <w:tcW w:w="1139" w:type="pct"/>
                  <w:gridSpan w:val="5"/>
                  <w:tcBorders>
                    <w:tl2br w:val="nil"/>
                    <w:tr2bl w:val="nil"/>
                  </w:tcBorders>
                  <w:shd w:val="clear" w:color="auto" w:fill="auto"/>
                  <w:vAlign w:val="center"/>
                </w:tcPr>
                <w:p w14:paraId="2CB0AE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建筑物外噪声</w:t>
                  </w:r>
                </w:p>
              </w:tc>
            </w:tr>
            <w:tr w14:paraId="52CAD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vMerge w:val="continue"/>
                  <w:tcBorders>
                    <w:tl2br w:val="nil"/>
                    <w:tr2bl w:val="nil"/>
                  </w:tcBorders>
                  <w:shd w:val="clear" w:color="auto" w:fill="auto"/>
                  <w:tcMar>
                    <w:top w:w="0" w:type="dxa"/>
                    <w:left w:w="0" w:type="dxa"/>
                    <w:bottom w:w="0" w:type="dxa"/>
                    <w:right w:w="0" w:type="dxa"/>
                  </w:tcMar>
                  <w:vAlign w:val="center"/>
                </w:tcPr>
                <w:p w14:paraId="6079FD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lang w:val="en-US" w:eastAsia="zh-CN"/>
                    </w:rPr>
                  </w:pPr>
                </w:p>
              </w:tc>
              <w:tc>
                <w:tcPr>
                  <w:tcW w:w="152" w:type="pct"/>
                  <w:vMerge w:val="continue"/>
                  <w:tcBorders>
                    <w:tl2br w:val="nil"/>
                    <w:tr2bl w:val="nil"/>
                  </w:tcBorders>
                  <w:shd w:val="clear" w:color="auto" w:fill="auto"/>
                  <w:tcMar>
                    <w:top w:w="0" w:type="dxa"/>
                    <w:left w:w="0" w:type="dxa"/>
                    <w:bottom w:w="0" w:type="dxa"/>
                    <w:right w:w="0" w:type="dxa"/>
                  </w:tcMar>
                  <w:vAlign w:val="center"/>
                </w:tcPr>
                <w:p w14:paraId="250AD5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p>
              </w:tc>
              <w:tc>
                <w:tcPr>
                  <w:tcW w:w="284" w:type="pct"/>
                  <w:vMerge w:val="continue"/>
                  <w:tcBorders>
                    <w:tl2br w:val="nil"/>
                    <w:tr2bl w:val="nil"/>
                  </w:tcBorders>
                  <w:shd w:val="clear" w:color="auto" w:fill="auto"/>
                  <w:tcMar>
                    <w:top w:w="0" w:type="dxa"/>
                    <w:left w:w="0" w:type="dxa"/>
                    <w:bottom w:w="0" w:type="dxa"/>
                    <w:right w:w="0" w:type="dxa"/>
                  </w:tcMar>
                  <w:vAlign w:val="center"/>
                </w:tcPr>
                <w:p w14:paraId="49B1B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p>
              </w:tc>
              <w:tc>
                <w:tcPr>
                  <w:tcW w:w="228" w:type="pct"/>
                  <w:vMerge w:val="continue"/>
                  <w:tcBorders>
                    <w:tl2br w:val="nil"/>
                    <w:tr2bl w:val="nil"/>
                  </w:tcBorders>
                  <w:shd w:val="clear" w:color="auto" w:fill="auto"/>
                  <w:tcMar>
                    <w:top w:w="0" w:type="dxa"/>
                    <w:left w:w="0" w:type="dxa"/>
                    <w:bottom w:w="0" w:type="dxa"/>
                    <w:right w:w="0" w:type="dxa"/>
                  </w:tcMar>
                  <w:vAlign w:val="center"/>
                </w:tcPr>
                <w:p w14:paraId="197F4E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p>
              </w:tc>
              <w:tc>
                <w:tcPr>
                  <w:tcW w:w="559" w:type="pct"/>
                  <w:gridSpan w:val="2"/>
                  <w:vMerge w:val="continue"/>
                  <w:tcBorders>
                    <w:tl2br w:val="nil"/>
                    <w:tr2bl w:val="nil"/>
                  </w:tcBorders>
                  <w:shd w:val="clear" w:color="auto" w:fill="auto"/>
                  <w:tcMar>
                    <w:top w:w="0" w:type="dxa"/>
                    <w:left w:w="0" w:type="dxa"/>
                    <w:bottom w:w="0" w:type="dxa"/>
                    <w:right w:w="0" w:type="dxa"/>
                  </w:tcMar>
                  <w:vAlign w:val="center"/>
                </w:tcPr>
                <w:p w14:paraId="168414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p>
              </w:tc>
              <w:tc>
                <w:tcPr>
                  <w:tcW w:w="261" w:type="pct"/>
                  <w:vMerge w:val="continue"/>
                  <w:tcBorders>
                    <w:tl2br w:val="nil"/>
                    <w:tr2bl w:val="nil"/>
                  </w:tcBorders>
                  <w:shd w:val="clear" w:color="auto" w:fill="auto"/>
                  <w:tcMar>
                    <w:top w:w="0" w:type="dxa"/>
                    <w:left w:w="0" w:type="dxa"/>
                    <w:bottom w:w="0" w:type="dxa"/>
                    <w:right w:w="0" w:type="dxa"/>
                  </w:tcMar>
                  <w:vAlign w:val="center"/>
                </w:tcPr>
                <w:p w14:paraId="097948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p>
              </w:tc>
              <w:tc>
                <w:tcPr>
                  <w:tcW w:w="136" w:type="pct"/>
                  <w:vMerge w:val="restart"/>
                  <w:tcBorders>
                    <w:tl2br w:val="nil"/>
                    <w:tr2bl w:val="nil"/>
                  </w:tcBorders>
                  <w:shd w:val="clear" w:color="auto" w:fill="auto"/>
                  <w:tcMar>
                    <w:top w:w="0" w:type="dxa"/>
                    <w:left w:w="0" w:type="dxa"/>
                    <w:bottom w:w="0" w:type="dxa"/>
                    <w:right w:w="0" w:type="dxa"/>
                  </w:tcMar>
                  <w:vAlign w:val="center"/>
                </w:tcPr>
                <w:p w14:paraId="2C321E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X</w:t>
                  </w:r>
                </w:p>
              </w:tc>
              <w:tc>
                <w:tcPr>
                  <w:tcW w:w="128" w:type="pct"/>
                  <w:vMerge w:val="restart"/>
                  <w:tcBorders>
                    <w:tl2br w:val="nil"/>
                    <w:tr2bl w:val="nil"/>
                  </w:tcBorders>
                  <w:shd w:val="clear" w:color="auto" w:fill="auto"/>
                  <w:tcMar>
                    <w:top w:w="0" w:type="dxa"/>
                    <w:left w:w="0" w:type="dxa"/>
                    <w:bottom w:w="0" w:type="dxa"/>
                    <w:right w:w="0" w:type="dxa"/>
                  </w:tcMar>
                  <w:vAlign w:val="center"/>
                </w:tcPr>
                <w:p w14:paraId="181AB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Y</w:t>
                  </w:r>
                </w:p>
              </w:tc>
              <w:tc>
                <w:tcPr>
                  <w:tcW w:w="140" w:type="pct"/>
                  <w:vMerge w:val="restart"/>
                  <w:tcBorders>
                    <w:tl2br w:val="nil"/>
                    <w:tr2bl w:val="nil"/>
                  </w:tcBorders>
                  <w:shd w:val="clear" w:color="auto" w:fill="auto"/>
                  <w:tcMar>
                    <w:top w:w="0" w:type="dxa"/>
                    <w:left w:w="0" w:type="dxa"/>
                    <w:bottom w:w="0" w:type="dxa"/>
                    <w:right w:w="0" w:type="dxa"/>
                  </w:tcMar>
                  <w:vAlign w:val="center"/>
                </w:tcPr>
                <w:p w14:paraId="5EF28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Z</w:t>
                  </w:r>
                </w:p>
              </w:tc>
              <w:tc>
                <w:tcPr>
                  <w:tcW w:w="107" w:type="pct"/>
                  <w:vMerge w:val="restart"/>
                  <w:tcBorders>
                    <w:tl2br w:val="nil"/>
                    <w:tr2bl w:val="nil"/>
                  </w:tcBorders>
                  <w:shd w:val="clear" w:color="auto" w:fill="auto"/>
                  <w:tcMar>
                    <w:top w:w="0" w:type="dxa"/>
                    <w:left w:w="0" w:type="dxa"/>
                    <w:bottom w:w="0" w:type="dxa"/>
                    <w:right w:w="0" w:type="dxa"/>
                  </w:tcMar>
                  <w:vAlign w:val="center"/>
                </w:tcPr>
                <w:p w14:paraId="131ABE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东</w:t>
                  </w:r>
                </w:p>
              </w:tc>
              <w:tc>
                <w:tcPr>
                  <w:tcW w:w="149" w:type="pct"/>
                  <w:vMerge w:val="restart"/>
                  <w:tcBorders>
                    <w:tl2br w:val="nil"/>
                    <w:tr2bl w:val="nil"/>
                  </w:tcBorders>
                  <w:shd w:val="clear" w:color="auto" w:fill="auto"/>
                  <w:tcMar>
                    <w:top w:w="0" w:type="dxa"/>
                    <w:left w:w="0" w:type="dxa"/>
                    <w:bottom w:w="0" w:type="dxa"/>
                    <w:right w:w="0" w:type="dxa"/>
                  </w:tcMar>
                  <w:vAlign w:val="center"/>
                </w:tcPr>
                <w:p w14:paraId="77232F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南</w:t>
                  </w:r>
                </w:p>
              </w:tc>
              <w:tc>
                <w:tcPr>
                  <w:tcW w:w="153" w:type="pct"/>
                  <w:vMerge w:val="restart"/>
                  <w:tcBorders>
                    <w:tl2br w:val="nil"/>
                    <w:tr2bl w:val="nil"/>
                  </w:tcBorders>
                  <w:shd w:val="clear" w:color="auto" w:fill="auto"/>
                  <w:tcMar>
                    <w:top w:w="0" w:type="dxa"/>
                    <w:left w:w="0" w:type="dxa"/>
                    <w:bottom w:w="0" w:type="dxa"/>
                    <w:right w:w="0" w:type="dxa"/>
                  </w:tcMar>
                  <w:vAlign w:val="center"/>
                </w:tcPr>
                <w:p w14:paraId="094C06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西</w:t>
                  </w:r>
                </w:p>
              </w:tc>
              <w:tc>
                <w:tcPr>
                  <w:tcW w:w="149" w:type="pct"/>
                  <w:vMerge w:val="restart"/>
                  <w:tcBorders>
                    <w:tl2br w:val="nil"/>
                    <w:tr2bl w:val="nil"/>
                  </w:tcBorders>
                  <w:shd w:val="clear" w:color="auto" w:fill="auto"/>
                  <w:tcMar>
                    <w:top w:w="0" w:type="dxa"/>
                    <w:left w:w="0" w:type="dxa"/>
                    <w:bottom w:w="0" w:type="dxa"/>
                    <w:right w:w="0" w:type="dxa"/>
                  </w:tcMar>
                  <w:vAlign w:val="center"/>
                </w:tcPr>
                <w:p w14:paraId="04B198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北</w:t>
                  </w:r>
                </w:p>
              </w:tc>
              <w:tc>
                <w:tcPr>
                  <w:tcW w:w="194" w:type="pct"/>
                  <w:vMerge w:val="restart"/>
                  <w:tcBorders>
                    <w:tl2br w:val="nil"/>
                    <w:tr2bl w:val="nil"/>
                  </w:tcBorders>
                  <w:shd w:val="clear" w:color="auto" w:fill="auto"/>
                  <w:tcMar>
                    <w:top w:w="0" w:type="dxa"/>
                    <w:left w:w="0" w:type="dxa"/>
                    <w:bottom w:w="0" w:type="dxa"/>
                    <w:right w:w="0" w:type="dxa"/>
                  </w:tcMar>
                  <w:vAlign w:val="center"/>
                </w:tcPr>
                <w:p w14:paraId="45FB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sz w:val="21"/>
                      <w:szCs w:val="21"/>
                      <w:highlight w:val="none"/>
                      <w:lang w:val="en-US" w:eastAsia="zh-CN"/>
                    </w:rPr>
                    <w:t>东</w:t>
                  </w:r>
                </w:p>
              </w:tc>
              <w:tc>
                <w:tcPr>
                  <w:tcW w:w="198" w:type="pct"/>
                  <w:vMerge w:val="restart"/>
                  <w:tcBorders>
                    <w:tl2br w:val="nil"/>
                    <w:tr2bl w:val="nil"/>
                  </w:tcBorders>
                  <w:shd w:val="clear" w:color="auto" w:fill="auto"/>
                  <w:tcMar>
                    <w:top w:w="0" w:type="dxa"/>
                    <w:left w:w="0" w:type="dxa"/>
                    <w:bottom w:w="0" w:type="dxa"/>
                    <w:right w:w="0" w:type="dxa"/>
                  </w:tcMar>
                  <w:vAlign w:val="center"/>
                </w:tcPr>
                <w:p w14:paraId="23EE53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sz w:val="21"/>
                      <w:szCs w:val="21"/>
                      <w:highlight w:val="none"/>
                      <w:lang w:val="en-US" w:eastAsia="zh-CN"/>
                    </w:rPr>
                    <w:t>南</w:t>
                  </w:r>
                </w:p>
              </w:tc>
              <w:tc>
                <w:tcPr>
                  <w:tcW w:w="219" w:type="pct"/>
                  <w:vMerge w:val="restart"/>
                  <w:tcBorders>
                    <w:tl2br w:val="nil"/>
                    <w:tr2bl w:val="nil"/>
                  </w:tcBorders>
                  <w:shd w:val="clear" w:color="auto" w:fill="auto"/>
                  <w:tcMar>
                    <w:top w:w="0" w:type="dxa"/>
                    <w:left w:w="0" w:type="dxa"/>
                    <w:bottom w:w="0" w:type="dxa"/>
                    <w:right w:w="0" w:type="dxa"/>
                  </w:tcMar>
                  <w:vAlign w:val="center"/>
                </w:tcPr>
                <w:p w14:paraId="7CCB38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sz w:val="21"/>
                      <w:szCs w:val="21"/>
                      <w:highlight w:val="none"/>
                      <w:lang w:val="en-US" w:eastAsia="zh-CN"/>
                    </w:rPr>
                    <w:t>西</w:t>
                  </w:r>
                </w:p>
              </w:tc>
              <w:tc>
                <w:tcPr>
                  <w:tcW w:w="206" w:type="pct"/>
                  <w:vMerge w:val="restart"/>
                  <w:tcBorders>
                    <w:tl2br w:val="nil"/>
                    <w:tr2bl w:val="nil"/>
                  </w:tcBorders>
                  <w:shd w:val="clear" w:color="auto" w:fill="auto"/>
                  <w:tcMar>
                    <w:top w:w="0" w:type="dxa"/>
                    <w:left w:w="0" w:type="dxa"/>
                    <w:bottom w:w="0" w:type="dxa"/>
                    <w:right w:w="0" w:type="dxa"/>
                  </w:tcMar>
                  <w:vAlign w:val="center"/>
                </w:tcPr>
                <w:p w14:paraId="07426F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sz w:val="21"/>
                      <w:szCs w:val="21"/>
                      <w:highlight w:val="none"/>
                      <w:lang w:val="en-US" w:eastAsia="zh-CN"/>
                    </w:rPr>
                    <w:t>北</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3DF9B8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p>
              </w:tc>
              <w:tc>
                <w:tcPr>
                  <w:tcW w:w="308" w:type="pct"/>
                  <w:vMerge w:val="continue"/>
                  <w:tcBorders>
                    <w:tl2br w:val="nil"/>
                    <w:tr2bl w:val="nil"/>
                  </w:tcBorders>
                  <w:shd w:val="clear" w:color="auto" w:fill="auto"/>
                  <w:tcMar>
                    <w:top w:w="0" w:type="dxa"/>
                    <w:left w:w="0" w:type="dxa"/>
                    <w:bottom w:w="0" w:type="dxa"/>
                    <w:right w:w="0" w:type="dxa"/>
                  </w:tcMar>
                  <w:vAlign w:val="center"/>
                </w:tcPr>
                <w:p w14:paraId="5EF816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p>
              </w:tc>
              <w:tc>
                <w:tcPr>
                  <w:tcW w:w="847" w:type="pct"/>
                  <w:gridSpan w:val="4"/>
                  <w:tcBorders>
                    <w:tl2br w:val="nil"/>
                    <w:tr2bl w:val="nil"/>
                  </w:tcBorders>
                  <w:shd w:val="clear" w:color="auto" w:fill="auto"/>
                  <w:tcMar>
                    <w:top w:w="0" w:type="dxa"/>
                    <w:left w:w="0" w:type="dxa"/>
                    <w:bottom w:w="0" w:type="dxa"/>
                    <w:right w:w="0" w:type="dxa"/>
                  </w:tcMar>
                  <w:vAlign w:val="center"/>
                </w:tcPr>
                <w:p w14:paraId="72C29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声压级/dB</w:t>
                  </w:r>
                  <w:r>
                    <w:rPr>
                      <w:rFonts w:hint="default" w:ascii="Times New Roman" w:hAnsi="Times New Roman" w:eastAsia="仿宋" w:cs="Times New Roman"/>
                      <w:b/>
                      <w:bCs/>
                      <w:color w:val="auto"/>
                      <w:sz w:val="21"/>
                      <w:szCs w:val="21"/>
                      <w:highlight w:val="none"/>
                      <w:lang w:val="en-US" w:eastAsia="zh-CN"/>
                    </w:rPr>
                    <w:t>(</w:t>
                  </w:r>
                  <w:r>
                    <w:rPr>
                      <w:rFonts w:hint="default" w:ascii="Times New Roman" w:hAnsi="Times New Roman" w:eastAsia="仿宋" w:cs="Times New Roman"/>
                      <w:b/>
                      <w:bCs/>
                      <w:color w:val="auto"/>
                      <w:sz w:val="21"/>
                      <w:szCs w:val="21"/>
                      <w:highlight w:val="none"/>
                    </w:rPr>
                    <w:t>A</w:t>
                  </w:r>
                  <w:r>
                    <w:rPr>
                      <w:rFonts w:hint="default" w:ascii="Times New Roman" w:hAnsi="Times New Roman" w:eastAsia="仿宋" w:cs="Times New Roman"/>
                      <w:b/>
                      <w:bCs/>
                      <w:color w:val="auto"/>
                      <w:sz w:val="21"/>
                      <w:szCs w:val="21"/>
                      <w:highlight w:val="none"/>
                      <w:lang w:val="en-US" w:eastAsia="zh-CN"/>
                    </w:rPr>
                    <w:t>)</w:t>
                  </w:r>
                </w:p>
              </w:tc>
              <w:tc>
                <w:tcPr>
                  <w:tcW w:w="291" w:type="pct"/>
                  <w:vMerge w:val="restart"/>
                  <w:tcBorders>
                    <w:tl2br w:val="nil"/>
                    <w:tr2bl w:val="nil"/>
                  </w:tcBorders>
                  <w:shd w:val="clear" w:color="auto" w:fill="auto"/>
                  <w:tcMar>
                    <w:top w:w="0" w:type="dxa"/>
                    <w:left w:w="0" w:type="dxa"/>
                    <w:bottom w:w="0" w:type="dxa"/>
                    <w:right w:w="0" w:type="dxa"/>
                  </w:tcMar>
                  <w:vAlign w:val="center"/>
                </w:tcPr>
                <w:p w14:paraId="17C6C5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建筑物外距离</w:t>
                  </w:r>
                </w:p>
              </w:tc>
            </w:tr>
            <w:tr w14:paraId="0F6E2C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vMerge w:val="continue"/>
                  <w:tcBorders>
                    <w:tl2br w:val="nil"/>
                    <w:tr2bl w:val="nil"/>
                  </w:tcBorders>
                  <w:shd w:val="clear" w:color="auto" w:fill="auto"/>
                  <w:tcMar>
                    <w:top w:w="0" w:type="dxa"/>
                    <w:left w:w="0" w:type="dxa"/>
                    <w:bottom w:w="0" w:type="dxa"/>
                    <w:right w:w="0" w:type="dxa"/>
                  </w:tcMar>
                  <w:vAlign w:val="center"/>
                </w:tcPr>
                <w:p w14:paraId="3FF170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52" w:type="pct"/>
                  <w:vMerge w:val="continue"/>
                  <w:tcBorders>
                    <w:tl2br w:val="nil"/>
                    <w:tr2bl w:val="nil"/>
                  </w:tcBorders>
                  <w:shd w:val="clear" w:color="auto" w:fill="auto"/>
                  <w:tcMar>
                    <w:top w:w="0" w:type="dxa"/>
                    <w:left w:w="0" w:type="dxa"/>
                    <w:bottom w:w="0" w:type="dxa"/>
                    <w:right w:w="0" w:type="dxa"/>
                  </w:tcMar>
                  <w:vAlign w:val="center"/>
                </w:tcPr>
                <w:p w14:paraId="5849E3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284" w:type="pct"/>
                  <w:vMerge w:val="continue"/>
                  <w:tcBorders>
                    <w:tl2br w:val="nil"/>
                    <w:tr2bl w:val="nil"/>
                  </w:tcBorders>
                  <w:shd w:val="clear" w:color="auto" w:fill="auto"/>
                  <w:tcMar>
                    <w:top w:w="0" w:type="dxa"/>
                    <w:left w:w="0" w:type="dxa"/>
                    <w:bottom w:w="0" w:type="dxa"/>
                    <w:right w:w="0" w:type="dxa"/>
                  </w:tcMar>
                  <w:vAlign w:val="center"/>
                </w:tcPr>
                <w:p w14:paraId="5047B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228" w:type="pct"/>
                  <w:vMerge w:val="continue"/>
                  <w:tcBorders>
                    <w:tl2br w:val="nil"/>
                    <w:tr2bl w:val="nil"/>
                  </w:tcBorders>
                  <w:shd w:val="clear" w:color="auto" w:fill="auto"/>
                  <w:tcMar>
                    <w:top w:w="0" w:type="dxa"/>
                    <w:left w:w="0" w:type="dxa"/>
                    <w:bottom w:w="0" w:type="dxa"/>
                    <w:right w:w="0" w:type="dxa"/>
                  </w:tcMar>
                  <w:vAlign w:val="center"/>
                </w:tcPr>
                <w:p w14:paraId="23FAD8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318" w:type="pct"/>
                  <w:tcBorders>
                    <w:tl2br w:val="nil"/>
                    <w:tr2bl w:val="nil"/>
                  </w:tcBorders>
                  <w:shd w:val="clear" w:color="auto" w:fill="auto"/>
                  <w:tcMar>
                    <w:top w:w="0" w:type="dxa"/>
                    <w:left w:w="0" w:type="dxa"/>
                    <w:bottom w:w="0" w:type="dxa"/>
                    <w:right w:w="0" w:type="dxa"/>
                  </w:tcMar>
                  <w:vAlign w:val="center"/>
                </w:tcPr>
                <w:p w14:paraId="0759BF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bCs/>
                      <w:color w:val="auto"/>
                      <w:kern w:val="2"/>
                      <w:sz w:val="21"/>
                      <w:szCs w:val="21"/>
                      <w:highlight w:val="none"/>
                      <w:vertAlign w:val="baseline"/>
                      <w:lang w:val="en-US" w:eastAsia="zh-CN" w:bidi="ar-SA"/>
                    </w:rPr>
                    <w:t>声</w:t>
                  </w:r>
                  <w:r>
                    <w:rPr>
                      <w:rFonts w:hint="eastAsia" w:eastAsia="仿宋" w:cs="Times New Roman"/>
                      <w:b/>
                      <w:bCs/>
                      <w:color w:val="auto"/>
                      <w:kern w:val="2"/>
                      <w:sz w:val="21"/>
                      <w:szCs w:val="21"/>
                      <w:highlight w:val="none"/>
                      <w:vertAlign w:val="baseline"/>
                      <w:lang w:val="en-US" w:eastAsia="zh-CN" w:bidi="ar-SA"/>
                    </w:rPr>
                    <w:t>压</w:t>
                  </w:r>
                  <w:r>
                    <w:rPr>
                      <w:rFonts w:hint="default" w:ascii="Times New Roman" w:hAnsi="Times New Roman" w:eastAsia="仿宋" w:cs="Times New Roman"/>
                      <w:b/>
                      <w:bCs/>
                      <w:color w:val="auto"/>
                      <w:kern w:val="2"/>
                      <w:sz w:val="21"/>
                      <w:szCs w:val="21"/>
                      <w:highlight w:val="none"/>
                      <w:vertAlign w:val="baseline"/>
                      <w:lang w:val="en-US" w:eastAsia="zh-CN" w:bidi="ar-SA"/>
                    </w:rPr>
                    <w:t>级/dB(A)</w:t>
                  </w:r>
                </w:p>
              </w:tc>
              <w:tc>
                <w:tcPr>
                  <w:tcW w:w="240" w:type="pct"/>
                  <w:tcBorders>
                    <w:tl2br w:val="nil"/>
                    <w:tr2bl w:val="nil"/>
                  </w:tcBorders>
                  <w:shd w:val="clear" w:color="auto" w:fill="auto"/>
                  <w:tcMar>
                    <w:top w:w="0" w:type="dxa"/>
                    <w:left w:w="0" w:type="dxa"/>
                    <w:bottom w:w="0" w:type="dxa"/>
                    <w:right w:w="0" w:type="dxa"/>
                  </w:tcMar>
                  <w:vAlign w:val="center"/>
                </w:tcPr>
                <w:p w14:paraId="0E4312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仿宋" w:cs="Times New Roman"/>
                      <w:color w:val="auto"/>
                      <w:sz w:val="21"/>
                      <w:szCs w:val="21"/>
                      <w:highlight w:val="none"/>
                      <w:lang w:val="en-US" w:eastAsia="zh-CN"/>
                    </w:rPr>
                  </w:pPr>
                  <w:r>
                    <w:rPr>
                      <w:rFonts w:hint="eastAsia" w:eastAsia="仿宋" w:cs="Times New Roman"/>
                      <w:b/>
                      <w:bCs/>
                      <w:color w:val="auto"/>
                      <w:sz w:val="21"/>
                      <w:szCs w:val="21"/>
                      <w:highlight w:val="none"/>
                      <w:lang w:val="en-US" w:eastAsia="zh-CN"/>
                    </w:rPr>
                    <w:t>距离（m）</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25ABB1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16B7A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28" w:type="pct"/>
                  <w:vMerge w:val="continue"/>
                  <w:tcBorders>
                    <w:tl2br w:val="nil"/>
                    <w:tr2bl w:val="nil"/>
                  </w:tcBorders>
                  <w:shd w:val="clear" w:color="auto" w:fill="auto"/>
                  <w:tcMar>
                    <w:top w:w="0" w:type="dxa"/>
                    <w:left w:w="0" w:type="dxa"/>
                    <w:bottom w:w="0" w:type="dxa"/>
                    <w:right w:w="0" w:type="dxa"/>
                  </w:tcMar>
                  <w:vAlign w:val="center"/>
                </w:tcPr>
                <w:p w14:paraId="0A3DE2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40" w:type="pct"/>
                  <w:vMerge w:val="continue"/>
                  <w:tcBorders>
                    <w:tl2br w:val="nil"/>
                    <w:tr2bl w:val="nil"/>
                  </w:tcBorders>
                  <w:shd w:val="clear" w:color="auto" w:fill="auto"/>
                  <w:tcMar>
                    <w:top w:w="0" w:type="dxa"/>
                    <w:left w:w="0" w:type="dxa"/>
                    <w:bottom w:w="0" w:type="dxa"/>
                    <w:right w:w="0" w:type="dxa"/>
                  </w:tcMar>
                  <w:vAlign w:val="center"/>
                </w:tcPr>
                <w:p w14:paraId="06536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07" w:type="pct"/>
                  <w:vMerge w:val="continue"/>
                  <w:tcBorders>
                    <w:tl2br w:val="nil"/>
                    <w:tr2bl w:val="nil"/>
                  </w:tcBorders>
                  <w:shd w:val="clear" w:color="auto" w:fill="auto"/>
                  <w:tcMar>
                    <w:top w:w="0" w:type="dxa"/>
                    <w:left w:w="0" w:type="dxa"/>
                    <w:bottom w:w="0" w:type="dxa"/>
                    <w:right w:w="0" w:type="dxa"/>
                  </w:tcMar>
                  <w:vAlign w:val="center"/>
                </w:tcPr>
                <w:p w14:paraId="75BFBD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5CE6C8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53" w:type="pct"/>
                  <w:vMerge w:val="continue"/>
                  <w:tcBorders>
                    <w:tl2br w:val="nil"/>
                    <w:tr2bl w:val="nil"/>
                  </w:tcBorders>
                  <w:shd w:val="clear" w:color="auto" w:fill="auto"/>
                  <w:tcMar>
                    <w:top w:w="0" w:type="dxa"/>
                    <w:left w:w="0" w:type="dxa"/>
                    <w:bottom w:w="0" w:type="dxa"/>
                    <w:right w:w="0" w:type="dxa"/>
                  </w:tcMar>
                  <w:vAlign w:val="center"/>
                </w:tcPr>
                <w:p w14:paraId="3125D0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F3E88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94" w:type="pct"/>
                  <w:vMerge w:val="continue"/>
                  <w:tcBorders>
                    <w:tl2br w:val="nil"/>
                    <w:tr2bl w:val="nil"/>
                  </w:tcBorders>
                  <w:shd w:val="clear" w:color="auto" w:fill="auto"/>
                  <w:tcMar>
                    <w:top w:w="0" w:type="dxa"/>
                    <w:left w:w="0" w:type="dxa"/>
                    <w:bottom w:w="0" w:type="dxa"/>
                    <w:right w:w="0" w:type="dxa"/>
                  </w:tcMar>
                  <w:vAlign w:val="center"/>
                </w:tcPr>
                <w:p w14:paraId="593362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98" w:type="pct"/>
                  <w:vMerge w:val="continue"/>
                  <w:tcBorders>
                    <w:tl2br w:val="nil"/>
                    <w:tr2bl w:val="nil"/>
                  </w:tcBorders>
                  <w:shd w:val="clear" w:color="auto" w:fill="auto"/>
                  <w:tcMar>
                    <w:top w:w="0" w:type="dxa"/>
                    <w:left w:w="0" w:type="dxa"/>
                    <w:bottom w:w="0" w:type="dxa"/>
                    <w:right w:w="0" w:type="dxa"/>
                  </w:tcMar>
                  <w:vAlign w:val="center"/>
                </w:tcPr>
                <w:p w14:paraId="4B0D93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219" w:type="pct"/>
                  <w:vMerge w:val="continue"/>
                  <w:tcBorders>
                    <w:tl2br w:val="nil"/>
                    <w:tr2bl w:val="nil"/>
                  </w:tcBorders>
                  <w:shd w:val="clear" w:color="auto" w:fill="auto"/>
                  <w:tcMar>
                    <w:top w:w="0" w:type="dxa"/>
                    <w:left w:w="0" w:type="dxa"/>
                    <w:bottom w:w="0" w:type="dxa"/>
                    <w:right w:w="0" w:type="dxa"/>
                  </w:tcMar>
                  <w:vAlign w:val="center"/>
                </w:tcPr>
                <w:p w14:paraId="6C0652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206" w:type="pct"/>
                  <w:vMerge w:val="continue"/>
                  <w:tcBorders>
                    <w:tl2br w:val="nil"/>
                    <w:tr2bl w:val="nil"/>
                  </w:tcBorders>
                  <w:shd w:val="clear" w:color="auto" w:fill="auto"/>
                  <w:tcMar>
                    <w:top w:w="0" w:type="dxa"/>
                    <w:left w:w="0" w:type="dxa"/>
                    <w:bottom w:w="0" w:type="dxa"/>
                    <w:right w:w="0" w:type="dxa"/>
                  </w:tcMar>
                  <w:vAlign w:val="center"/>
                </w:tcPr>
                <w:p w14:paraId="3E4F32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30" w:type="pct"/>
                  <w:vMerge w:val="continue"/>
                  <w:tcBorders>
                    <w:tl2br w:val="nil"/>
                    <w:tr2bl w:val="nil"/>
                  </w:tcBorders>
                  <w:shd w:val="clear" w:color="auto" w:fill="auto"/>
                  <w:tcMar>
                    <w:top w:w="0" w:type="dxa"/>
                    <w:left w:w="0" w:type="dxa"/>
                    <w:bottom w:w="0" w:type="dxa"/>
                    <w:right w:w="0" w:type="dxa"/>
                  </w:tcMar>
                  <w:vAlign w:val="center"/>
                </w:tcPr>
                <w:p w14:paraId="11467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308" w:type="pct"/>
                  <w:vMerge w:val="continue"/>
                  <w:tcBorders>
                    <w:tl2br w:val="nil"/>
                    <w:tr2bl w:val="nil"/>
                  </w:tcBorders>
                  <w:shd w:val="clear" w:color="auto" w:fill="auto"/>
                  <w:tcMar>
                    <w:top w:w="0" w:type="dxa"/>
                    <w:left w:w="0" w:type="dxa"/>
                    <w:bottom w:w="0" w:type="dxa"/>
                    <w:right w:w="0" w:type="dxa"/>
                  </w:tcMar>
                  <w:vAlign w:val="center"/>
                </w:tcPr>
                <w:p w14:paraId="659985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229" w:type="pct"/>
                  <w:tcBorders>
                    <w:tl2br w:val="nil"/>
                    <w:tr2bl w:val="nil"/>
                  </w:tcBorders>
                  <w:shd w:val="clear" w:color="auto" w:fill="auto"/>
                  <w:tcMar>
                    <w:top w:w="0" w:type="dxa"/>
                    <w:left w:w="0" w:type="dxa"/>
                    <w:bottom w:w="0" w:type="dxa"/>
                    <w:right w:w="0" w:type="dxa"/>
                  </w:tcMar>
                  <w:vAlign w:val="center"/>
                </w:tcPr>
                <w:p w14:paraId="73B407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sz w:val="21"/>
                      <w:szCs w:val="21"/>
                      <w:highlight w:val="none"/>
                      <w:lang w:val="en-US" w:eastAsia="zh-CN"/>
                    </w:rPr>
                    <w:t>东</w:t>
                  </w:r>
                </w:p>
              </w:tc>
              <w:tc>
                <w:tcPr>
                  <w:tcW w:w="201" w:type="pct"/>
                  <w:tcBorders>
                    <w:tl2br w:val="nil"/>
                    <w:tr2bl w:val="nil"/>
                  </w:tcBorders>
                  <w:shd w:val="clear" w:color="auto" w:fill="auto"/>
                  <w:tcMar>
                    <w:top w:w="0" w:type="dxa"/>
                    <w:left w:w="0" w:type="dxa"/>
                    <w:bottom w:w="0" w:type="dxa"/>
                    <w:right w:w="0" w:type="dxa"/>
                  </w:tcMar>
                  <w:vAlign w:val="center"/>
                </w:tcPr>
                <w:p w14:paraId="3B3919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sz w:val="21"/>
                      <w:szCs w:val="21"/>
                      <w:highlight w:val="none"/>
                      <w:lang w:val="en-US" w:eastAsia="zh-CN"/>
                    </w:rPr>
                    <w:t>南</w:t>
                  </w:r>
                </w:p>
              </w:tc>
              <w:tc>
                <w:tcPr>
                  <w:tcW w:w="201" w:type="pct"/>
                  <w:tcBorders>
                    <w:tl2br w:val="nil"/>
                    <w:tr2bl w:val="nil"/>
                  </w:tcBorders>
                  <w:shd w:val="clear" w:color="auto" w:fill="auto"/>
                  <w:tcMar>
                    <w:top w:w="0" w:type="dxa"/>
                    <w:left w:w="0" w:type="dxa"/>
                    <w:bottom w:w="0" w:type="dxa"/>
                    <w:right w:w="0" w:type="dxa"/>
                  </w:tcMar>
                  <w:vAlign w:val="center"/>
                </w:tcPr>
                <w:p w14:paraId="1B216C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sz w:val="21"/>
                      <w:szCs w:val="21"/>
                      <w:highlight w:val="none"/>
                      <w:lang w:val="en-US" w:eastAsia="zh-CN"/>
                    </w:rPr>
                    <w:t>西</w:t>
                  </w:r>
                </w:p>
              </w:tc>
              <w:tc>
                <w:tcPr>
                  <w:tcW w:w="215" w:type="pct"/>
                  <w:tcBorders>
                    <w:tl2br w:val="nil"/>
                    <w:tr2bl w:val="nil"/>
                  </w:tcBorders>
                  <w:shd w:val="clear" w:color="auto" w:fill="auto"/>
                  <w:tcMar>
                    <w:top w:w="0" w:type="dxa"/>
                    <w:left w:w="0" w:type="dxa"/>
                    <w:bottom w:w="0" w:type="dxa"/>
                    <w:right w:w="0" w:type="dxa"/>
                  </w:tcMar>
                  <w:vAlign w:val="center"/>
                </w:tcPr>
                <w:p w14:paraId="00AD03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sz w:val="21"/>
                      <w:szCs w:val="21"/>
                      <w:highlight w:val="none"/>
                      <w:lang w:val="en-US" w:eastAsia="zh-CN"/>
                    </w:rPr>
                    <w:t>北</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555C9A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bCs/>
                      <w:color w:val="auto"/>
                      <w:sz w:val="21"/>
                      <w:szCs w:val="21"/>
                      <w:highlight w:val="none"/>
                    </w:rPr>
                  </w:pPr>
                </w:p>
              </w:tc>
            </w:tr>
            <w:tr w14:paraId="66256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593E7739">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1</w:t>
                  </w:r>
                </w:p>
              </w:tc>
              <w:tc>
                <w:tcPr>
                  <w:tcW w:w="152" w:type="pct"/>
                  <w:vMerge w:val="restart"/>
                  <w:tcBorders>
                    <w:tl2br w:val="nil"/>
                    <w:tr2bl w:val="nil"/>
                  </w:tcBorders>
                  <w:shd w:val="clear" w:color="auto" w:fill="auto"/>
                  <w:tcMar>
                    <w:top w:w="0" w:type="dxa"/>
                    <w:left w:w="0" w:type="dxa"/>
                    <w:bottom w:w="0" w:type="dxa"/>
                    <w:right w:w="0" w:type="dxa"/>
                  </w:tcMar>
                  <w:vAlign w:val="center"/>
                </w:tcPr>
                <w:p w14:paraId="0C4010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生产车间</w:t>
                  </w:r>
                </w:p>
              </w:tc>
              <w:tc>
                <w:tcPr>
                  <w:tcW w:w="284" w:type="pct"/>
                  <w:tcBorders>
                    <w:tl2br w:val="nil"/>
                    <w:tr2bl w:val="nil"/>
                  </w:tcBorders>
                  <w:shd w:val="clear" w:color="auto" w:fill="auto"/>
                  <w:tcMar>
                    <w:top w:w="0" w:type="dxa"/>
                    <w:left w:w="0" w:type="dxa"/>
                    <w:bottom w:w="0" w:type="dxa"/>
                    <w:right w:w="0" w:type="dxa"/>
                  </w:tcMar>
                  <w:vAlign w:val="center"/>
                </w:tcPr>
                <w:p w14:paraId="26C9DFCE">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加工中心</w:t>
                  </w:r>
                </w:p>
              </w:tc>
              <w:tc>
                <w:tcPr>
                  <w:tcW w:w="228" w:type="pct"/>
                  <w:tcBorders>
                    <w:tl2br w:val="nil"/>
                    <w:tr2bl w:val="nil"/>
                  </w:tcBorders>
                  <w:shd w:val="clear" w:color="auto" w:fill="auto"/>
                  <w:tcMar>
                    <w:top w:w="0" w:type="dxa"/>
                    <w:left w:w="0" w:type="dxa"/>
                    <w:bottom w:w="0" w:type="dxa"/>
                    <w:right w:w="0" w:type="dxa"/>
                  </w:tcMar>
                  <w:vAlign w:val="center"/>
                </w:tcPr>
                <w:p w14:paraId="4C57C1E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eastAsia="仿宋" w:cs="Times New Roman"/>
                      <w:i w:val="0"/>
                      <w:iCs w:val="0"/>
                      <w:color w:val="auto"/>
                      <w:kern w:val="0"/>
                      <w:sz w:val="21"/>
                      <w:szCs w:val="21"/>
                      <w:highlight w:val="none"/>
                      <w:u w:val="none"/>
                      <w:lang w:val="en-US" w:eastAsia="zh-CN" w:bidi="ar"/>
                    </w:rPr>
                    <w:t>8</w:t>
                  </w:r>
                </w:p>
              </w:tc>
              <w:tc>
                <w:tcPr>
                  <w:tcW w:w="318" w:type="pct"/>
                  <w:tcBorders>
                    <w:tl2br w:val="nil"/>
                    <w:tr2bl w:val="nil"/>
                  </w:tcBorders>
                  <w:shd w:val="clear" w:color="auto" w:fill="auto"/>
                  <w:tcMar>
                    <w:top w:w="0" w:type="dxa"/>
                    <w:left w:w="0" w:type="dxa"/>
                    <w:bottom w:w="0" w:type="dxa"/>
                    <w:right w:w="0" w:type="dxa"/>
                  </w:tcMar>
                  <w:vAlign w:val="center"/>
                </w:tcPr>
                <w:p w14:paraId="20A0C148">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w:t>
                  </w:r>
                  <w:r>
                    <w:rPr>
                      <w:rFonts w:hint="eastAsia"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（叠加后</w:t>
                  </w:r>
                  <w:r>
                    <w:rPr>
                      <w:rFonts w:hint="eastAsia" w:eastAsia="仿宋" w:cs="Times New Roman"/>
                      <w:color w:val="auto"/>
                      <w:kern w:val="2"/>
                      <w:sz w:val="21"/>
                      <w:szCs w:val="21"/>
                      <w:highlight w:val="none"/>
                      <w:lang w:val="en-US" w:eastAsia="zh-CN" w:bidi="ar-SA"/>
                    </w:rPr>
                    <w:t>84.1</w:t>
                  </w:r>
                  <w:r>
                    <w:rPr>
                      <w:rFonts w:hint="default" w:ascii="Times New Roman" w:hAnsi="Times New Roman" w:eastAsia="仿宋" w:cs="Times New Roman"/>
                      <w:color w:val="auto"/>
                      <w:kern w:val="2"/>
                      <w:sz w:val="21"/>
                      <w:szCs w:val="21"/>
                      <w:highlight w:val="none"/>
                      <w:lang w:val="en-US" w:eastAsia="zh-CN" w:bidi="ar-SA"/>
                    </w:rPr>
                    <w:t>）</w:t>
                  </w:r>
                </w:p>
              </w:tc>
              <w:tc>
                <w:tcPr>
                  <w:tcW w:w="240" w:type="pct"/>
                  <w:tcBorders>
                    <w:tl2br w:val="nil"/>
                    <w:tr2bl w:val="nil"/>
                  </w:tcBorders>
                  <w:shd w:val="clear" w:color="auto" w:fill="auto"/>
                  <w:tcMar>
                    <w:top w:w="0" w:type="dxa"/>
                    <w:left w:w="0" w:type="dxa"/>
                    <w:bottom w:w="0" w:type="dxa"/>
                    <w:right w:w="0" w:type="dxa"/>
                  </w:tcMar>
                  <w:vAlign w:val="center"/>
                </w:tcPr>
                <w:p w14:paraId="4D398E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restart"/>
                  <w:tcBorders>
                    <w:tl2br w:val="nil"/>
                    <w:tr2bl w:val="nil"/>
                  </w:tcBorders>
                  <w:shd w:val="clear" w:color="auto" w:fill="auto"/>
                  <w:tcMar>
                    <w:top w:w="0" w:type="dxa"/>
                    <w:left w:w="0" w:type="dxa"/>
                    <w:bottom w:w="0" w:type="dxa"/>
                    <w:right w:w="0" w:type="dxa"/>
                  </w:tcMar>
                  <w:vAlign w:val="center"/>
                </w:tcPr>
                <w:p w14:paraId="249F74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val="0"/>
                      <w:bCs w:val="0"/>
                      <w:color w:val="auto"/>
                      <w:kern w:val="2"/>
                      <w:sz w:val="21"/>
                      <w:szCs w:val="21"/>
                      <w:highlight w:val="none"/>
                      <w:vertAlign w:val="baseline"/>
                      <w:lang w:val="en-US" w:eastAsia="zh-CN" w:bidi="ar-SA"/>
                    </w:rPr>
                    <w:t>选用低噪声设备、墙体隔声、距离衰减、减振</w:t>
                  </w:r>
                </w:p>
              </w:tc>
              <w:tc>
                <w:tcPr>
                  <w:tcW w:w="136" w:type="pct"/>
                  <w:tcBorders>
                    <w:tl2br w:val="nil"/>
                    <w:tr2bl w:val="nil"/>
                  </w:tcBorders>
                  <w:shd w:val="clear" w:color="auto" w:fill="auto"/>
                  <w:tcMar>
                    <w:top w:w="0" w:type="dxa"/>
                    <w:left w:w="0" w:type="dxa"/>
                    <w:bottom w:w="0" w:type="dxa"/>
                    <w:right w:w="0" w:type="dxa"/>
                  </w:tcMar>
                  <w:vAlign w:val="center"/>
                </w:tcPr>
                <w:p w14:paraId="6D0C7A9F">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55</w:t>
                  </w:r>
                </w:p>
              </w:tc>
              <w:tc>
                <w:tcPr>
                  <w:tcW w:w="128" w:type="pct"/>
                  <w:tcBorders>
                    <w:tl2br w:val="nil"/>
                    <w:tr2bl w:val="nil"/>
                  </w:tcBorders>
                  <w:shd w:val="clear" w:color="auto" w:fill="auto"/>
                  <w:tcMar>
                    <w:top w:w="0" w:type="dxa"/>
                    <w:left w:w="0" w:type="dxa"/>
                    <w:bottom w:w="0" w:type="dxa"/>
                    <w:right w:w="0" w:type="dxa"/>
                  </w:tcMar>
                  <w:vAlign w:val="center"/>
                </w:tcPr>
                <w:p w14:paraId="0BEC8C1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10</w:t>
                  </w:r>
                </w:p>
              </w:tc>
              <w:tc>
                <w:tcPr>
                  <w:tcW w:w="140" w:type="pct"/>
                  <w:tcBorders>
                    <w:tl2br w:val="nil"/>
                    <w:tr2bl w:val="nil"/>
                  </w:tcBorders>
                  <w:shd w:val="clear" w:color="auto" w:fill="auto"/>
                  <w:tcMar>
                    <w:top w:w="0" w:type="dxa"/>
                    <w:left w:w="0" w:type="dxa"/>
                    <w:bottom w:w="0" w:type="dxa"/>
                    <w:right w:w="0" w:type="dxa"/>
                  </w:tcMar>
                  <w:vAlign w:val="center"/>
                </w:tcPr>
                <w:p w14:paraId="1B4C926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2786B43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8</w:t>
                  </w:r>
                </w:p>
              </w:tc>
              <w:tc>
                <w:tcPr>
                  <w:tcW w:w="149" w:type="pct"/>
                  <w:tcBorders>
                    <w:tl2br w:val="nil"/>
                    <w:tr2bl w:val="nil"/>
                  </w:tcBorders>
                  <w:shd w:val="clear" w:color="auto" w:fill="auto"/>
                  <w:tcMar>
                    <w:top w:w="0" w:type="dxa"/>
                    <w:left w:w="0" w:type="dxa"/>
                    <w:bottom w:w="0" w:type="dxa"/>
                    <w:right w:w="0" w:type="dxa"/>
                  </w:tcMar>
                  <w:vAlign w:val="center"/>
                </w:tcPr>
                <w:p w14:paraId="66A1BEF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46</w:t>
                  </w:r>
                </w:p>
              </w:tc>
              <w:tc>
                <w:tcPr>
                  <w:tcW w:w="153" w:type="pct"/>
                  <w:tcBorders>
                    <w:tl2br w:val="nil"/>
                    <w:tr2bl w:val="nil"/>
                  </w:tcBorders>
                  <w:shd w:val="clear" w:color="auto" w:fill="auto"/>
                  <w:tcMar>
                    <w:top w:w="0" w:type="dxa"/>
                    <w:left w:w="0" w:type="dxa"/>
                    <w:bottom w:w="0" w:type="dxa"/>
                    <w:right w:w="0" w:type="dxa"/>
                  </w:tcMar>
                  <w:vAlign w:val="center"/>
                </w:tcPr>
                <w:p w14:paraId="3E32047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49</w:t>
                  </w:r>
                </w:p>
              </w:tc>
              <w:tc>
                <w:tcPr>
                  <w:tcW w:w="149" w:type="pct"/>
                  <w:tcBorders>
                    <w:tl2br w:val="nil"/>
                    <w:tr2bl w:val="nil"/>
                  </w:tcBorders>
                  <w:shd w:val="clear" w:color="auto" w:fill="auto"/>
                  <w:tcMar>
                    <w:top w:w="0" w:type="dxa"/>
                    <w:left w:w="0" w:type="dxa"/>
                    <w:bottom w:w="0" w:type="dxa"/>
                    <w:right w:w="0" w:type="dxa"/>
                  </w:tcMar>
                  <w:vAlign w:val="center"/>
                </w:tcPr>
                <w:p w14:paraId="36BFC93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w:t>
                  </w:r>
                </w:p>
              </w:tc>
              <w:tc>
                <w:tcPr>
                  <w:tcW w:w="194" w:type="pct"/>
                  <w:tcBorders>
                    <w:tl2br w:val="nil"/>
                    <w:tr2bl w:val="nil"/>
                  </w:tcBorders>
                  <w:shd w:val="clear" w:color="auto" w:fill="auto"/>
                  <w:tcMar>
                    <w:top w:w="0" w:type="dxa"/>
                    <w:left w:w="0" w:type="dxa"/>
                    <w:bottom w:w="0" w:type="dxa"/>
                    <w:right w:w="0" w:type="dxa"/>
                  </w:tcMar>
                  <w:vAlign w:val="center"/>
                </w:tcPr>
                <w:p w14:paraId="5447ACF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66.0</w:t>
                  </w:r>
                </w:p>
              </w:tc>
              <w:tc>
                <w:tcPr>
                  <w:tcW w:w="198" w:type="pct"/>
                  <w:tcBorders>
                    <w:tl2br w:val="nil"/>
                    <w:tr2bl w:val="nil"/>
                  </w:tcBorders>
                  <w:shd w:val="clear" w:color="auto" w:fill="auto"/>
                  <w:tcMar>
                    <w:top w:w="0" w:type="dxa"/>
                    <w:left w:w="0" w:type="dxa"/>
                    <w:bottom w:w="0" w:type="dxa"/>
                    <w:right w:w="0" w:type="dxa"/>
                  </w:tcMar>
                  <w:vAlign w:val="center"/>
                </w:tcPr>
                <w:p w14:paraId="4DE4451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50.8</w:t>
                  </w:r>
                </w:p>
              </w:tc>
              <w:tc>
                <w:tcPr>
                  <w:tcW w:w="219" w:type="pct"/>
                  <w:tcBorders>
                    <w:tl2br w:val="nil"/>
                    <w:tr2bl w:val="nil"/>
                  </w:tcBorders>
                  <w:shd w:val="clear" w:color="auto" w:fill="auto"/>
                  <w:tcMar>
                    <w:top w:w="0" w:type="dxa"/>
                    <w:left w:w="0" w:type="dxa"/>
                    <w:bottom w:w="0" w:type="dxa"/>
                    <w:right w:w="0" w:type="dxa"/>
                  </w:tcMar>
                  <w:vAlign w:val="center"/>
                </w:tcPr>
                <w:p w14:paraId="12CBE3D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50.2</w:t>
                  </w:r>
                </w:p>
              </w:tc>
              <w:tc>
                <w:tcPr>
                  <w:tcW w:w="206" w:type="pct"/>
                  <w:tcBorders>
                    <w:tl2br w:val="nil"/>
                    <w:tr2bl w:val="nil"/>
                  </w:tcBorders>
                  <w:shd w:val="clear" w:color="auto" w:fill="auto"/>
                  <w:tcMar>
                    <w:top w:w="0" w:type="dxa"/>
                    <w:left w:w="0" w:type="dxa"/>
                    <w:bottom w:w="0" w:type="dxa"/>
                    <w:right w:w="0" w:type="dxa"/>
                  </w:tcMar>
                  <w:vAlign w:val="center"/>
                </w:tcPr>
                <w:p w14:paraId="13287AC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69.7</w:t>
                  </w:r>
                </w:p>
              </w:tc>
              <w:tc>
                <w:tcPr>
                  <w:tcW w:w="130" w:type="pct"/>
                  <w:vMerge w:val="restart"/>
                  <w:tcBorders>
                    <w:tl2br w:val="nil"/>
                    <w:tr2bl w:val="nil"/>
                  </w:tcBorders>
                  <w:shd w:val="clear" w:color="auto" w:fill="auto"/>
                  <w:tcMar>
                    <w:top w:w="0" w:type="dxa"/>
                    <w:left w:w="0" w:type="dxa"/>
                    <w:bottom w:w="0" w:type="dxa"/>
                    <w:right w:w="0" w:type="dxa"/>
                  </w:tcMar>
                  <w:vAlign w:val="center"/>
                </w:tcPr>
                <w:p w14:paraId="02F602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昼间、夜间</w:t>
                  </w:r>
                </w:p>
              </w:tc>
              <w:tc>
                <w:tcPr>
                  <w:tcW w:w="308" w:type="pct"/>
                  <w:tcBorders>
                    <w:tl2br w:val="nil"/>
                    <w:tr2bl w:val="nil"/>
                  </w:tcBorders>
                  <w:shd w:val="clear" w:color="auto" w:fill="auto"/>
                  <w:tcMar>
                    <w:top w:w="0" w:type="dxa"/>
                    <w:left w:w="0" w:type="dxa"/>
                    <w:bottom w:w="0" w:type="dxa"/>
                    <w:right w:w="0" w:type="dxa"/>
                  </w:tcMar>
                  <w:vAlign w:val="center"/>
                </w:tcPr>
                <w:p w14:paraId="71F44F31">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1B3052C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46</w:t>
                  </w:r>
                </w:p>
              </w:tc>
              <w:tc>
                <w:tcPr>
                  <w:tcW w:w="201" w:type="pct"/>
                  <w:tcBorders>
                    <w:tl2br w:val="nil"/>
                    <w:tr2bl w:val="nil"/>
                  </w:tcBorders>
                  <w:shd w:val="clear" w:color="auto" w:fill="auto"/>
                  <w:tcMar>
                    <w:top w:w="0" w:type="dxa"/>
                    <w:left w:w="0" w:type="dxa"/>
                    <w:bottom w:w="0" w:type="dxa"/>
                    <w:right w:w="0" w:type="dxa"/>
                  </w:tcMar>
                  <w:vAlign w:val="center"/>
                </w:tcPr>
                <w:p w14:paraId="18D6E9D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30.8</w:t>
                  </w:r>
                </w:p>
              </w:tc>
              <w:tc>
                <w:tcPr>
                  <w:tcW w:w="201" w:type="pct"/>
                  <w:tcBorders>
                    <w:tl2br w:val="nil"/>
                    <w:tr2bl w:val="nil"/>
                  </w:tcBorders>
                  <w:shd w:val="clear" w:color="auto" w:fill="auto"/>
                  <w:tcMar>
                    <w:top w:w="0" w:type="dxa"/>
                    <w:left w:w="0" w:type="dxa"/>
                    <w:bottom w:w="0" w:type="dxa"/>
                    <w:right w:w="0" w:type="dxa"/>
                  </w:tcMar>
                  <w:vAlign w:val="center"/>
                </w:tcPr>
                <w:p w14:paraId="70C63ED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30.2</w:t>
                  </w:r>
                </w:p>
              </w:tc>
              <w:tc>
                <w:tcPr>
                  <w:tcW w:w="215" w:type="pct"/>
                  <w:tcBorders>
                    <w:tl2br w:val="nil"/>
                    <w:tr2bl w:val="nil"/>
                  </w:tcBorders>
                  <w:shd w:val="clear" w:color="auto" w:fill="auto"/>
                  <w:tcMar>
                    <w:top w:w="0" w:type="dxa"/>
                    <w:left w:w="0" w:type="dxa"/>
                    <w:bottom w:w="0" w:type="dxa"/>
                    <w:right w:w="0" w:type="dxa"/>
                  </w:tcMar>
                  <w:vAlign w:val="center"/>
                </w:tcPr>
                <w:p w14:paraId="663CA0F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49.7</w:t>
                  </w:r>
                </w:p>
              </w:tc>
              <w:tc>
                <w:tcPr>
                  <w:tcW w:w="291" w:type="pct"/>
                  <w:vMerge w:val="restart"/>
                  <w:tcBorders>
                    <w:tl2br w:val="nil"/>
                    <w:tr2bl w:val="nil"/>
                  </w:tcBorders>
                  <w:shd w:val="clear" w:color="auto" w:fill="auto"/>
                  <w:tcMar>
                    <w:top w:w="0" w:type="dxa"/>
                    <w:left w:w="0" w:type="dxa"/>
                    <w:bottom w:w="0" w:type="dxa"/>
                    <w:right w:w="0" w:type="dxa"/>
                  </w:tcMar>
                  <w:vAlign w:val="center"/>
                </w:tcPr>
                <w:p w14:paraId="24926277">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1m</w:t>
                  </w:r>
                </w:p>
              </w:tc>
            </w:tr>
            <w:tr w14:paraId="0E0B2C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49DBD95D">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2</w:t>
                  </w:r>
                </w:p>
              </w:tc>
              <w:tc>
                <w:tcPr>
                  <w:tcW w:w="152" w:type="pct"/>
                  <w:vMerge w:val="continue"/>
                  <w:tcBorders>
                    <w:tl2br w:val="nil"/>
                    <w:tr2bl w:val="nil"/>
                  </w:tcBorders>
                  <w:shd w:val="clear" w:color="auto" w:fill="auto"/>
                  <w:tcMar>
                    <w:top w:w="0" w:type="dxa"/>
                    <w:left w:w="0" w:type="dxa"/>
                    <w:bottom w:w="0" w:type="dxa"/>
                    <w:right w:w="0" w:type="dxa"/>
                  </w:tcMar>
                  <w:vAlign w:val="center"/>
                </w:tcPr>
                <w:p w14:paraId="64BD5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284" w:type="pct"/>
                  <w:tcBorders>
                    <w:tl2br w:val="nil"/>
                    <w:tr2bl w:val="nil"/>
                  </w:tcBorders>
                  <w:shd w:val="clear" w:color="auto" w:fill="auto"/>
                  <w:tcMar>
                    <w:top w:w="0" w:type="dxa"/>
                    <w:left w:w="0" w:type="dxa"/>
                    <w:bottom w:w="0" w:type="dxa"/>
                    <w:right w:w="0" w:type="dxa"/>
                  </w:tcMar>
                  <w:vAlign w:val="center"/>
                </w:tcPr>
                <w:p w14:paraId="3D497607">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加工中心</w:t>
                  </w:r>
                </w:p>
              </w:tc>
              <w:tc>
                <w:tcPr>
                  <w:tcW w:w="228" w:type="pct"/>
                  <w:tcBorders>
                    <w:tl2br w:val="nil"/>
                    <w:tr2bl w:val="nil"/>
                  </w:tcBorders>
                  <w:shd w:val="clear" w:color="auto" w:fill="auto"/>
                  <w:tcMar>
                    <w:top w:w="0" w:type="dxa"/>
                    <w:left w:w="0" w:type="dxa"/>
                    <w:bottom w:w="0" w:type="dxa"/>
                    <w:right w:w="0" w:type="dxa"/>
                  </w:tcMar>
                  <w:vAlign w:val="center"/>
                </w:tcPr>
                <w:p w14:paraId="1A4FCA2D">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eastAsia="仿宋" w:cs="Times New Roman"/>
                      <w:i w:val="0"/>
                      <w:iCs w:val="0"/>
                      <w:color w:val="auto"/>
                      <w:kern w:val="0"/>
                      <w:sz w:val="21"/>
                      <w:szCs w:val="21"/>
                      <w:highlight w:val="none"/>
                      <w:u w:val="none"/>
                      <w:lang w:val="en-US" w:eastAsia="zh-CN" w:bidi="ar"/>
                    </w:rPr>
                    <w:t>10</w:t>
                  </w:r>
                </w:p>
              </w:tc>
              <w:tc>
                <w:tcPr>
                  <w:tcW w:w="318" w:type="pct"/>
                  <w:tcBorders>
                    <w:tl2br w:val="nil"/>
                    <w:tr2bl w:val="nil"/>
                  </w:tcBorders>
                  <w:shd w:val="clear" w:color="auto" w:fill="auto"/>
                  <w:tcMar>
                    <w:top w:w="0" w:type="dxa"/>
                    <w:left w:w="0" w:type="dxa"/>
                    <w:bottom w:w="0" w:type="dxa"/>
                    <w:right w:w="0" w:type="dxa"/>
                  </w:tcMar>
                  <w:vAlign w:val="center"/>
                </w:tcPr>
                <w:p w14:paraId="67CBE59E">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w:t>
                  </w:r>
                  <w:r>
                    <w:rPr>
                      <w:rFonts w:hint="eastAsia"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（叠加后</w:t>
                  </w:r>
                  <w:r>
                    <w:rPr>
                      <w:rFonts w:hint="eastAsia" w:eastAsia="仿宋" w:cs="Times New Roman"/>
                      <w:color w:val="auto"/>
                      <w:kern w:val="2"/>
                      <w:sz w:val="21"/>
                      <w:szCs w:val="21"/>
                      <w:highlight w:val="none"/>
                      <w:lang w:val="en-US" w:eastAsia="zh-CN" w:bidi="ar-SA"/>
                    </w:rPr>
                    <w:t>85</w:t>
                  </w:r>
                  <w:r>
                    <w:rPr>
                      <w:rFonts w:hint="default" w:ascii="Times New Roman" w:hAnsi="Times New Roman" w:eastAsia="仿宋" w:cs="Times New Roman"/>
                      <w:color w:val="auto"/>
                      <w:kern w:val="2"/>
                      <w:sz w:val="21"/>
                      <w:szCs w:val="21"/>
                      <w:highlight w:val="none"/>
                      <w:lang w:val="en-US" w:eastAsia="zh-CN" w:bidi="ar-SA"/>
                    </w:rPr>
                    <w:t>）</w:t>
                  </w:r>
                </w:p>
              </w:tc>
              <w:tc>
                <w:tcPr>
                  <w:tcW w:w="240" w:type="pct"/>
                  <w:tcBorders>
                    <w:tl2br w:val="nil"/>
                    <w:tr2bl w:val="nil"/>
                  </w:tcBorders>
                  <w:shd w:val="clear" w:color="auto" w:fill="auto"/>
                  <w:tcMar>
                    <w:top w:w="0" w:type="dxa"/>
                    <w:left w:w="0" w:type="dxa"/>
                    <w:bottom w:w="0" w:type="dxa"/>
                    <w:right w:w="0" w:type="dxa"/>
                  </w:tcMar>
                  <w:vAlign w:val="center"/>
                </w:tcPr>
                <w:p w14:paraId="4E1CDF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04FDB5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p>
              </w:tc>
              <w:tc>
                <w:tcPr>
                  <w:tcW w:w="136" w:type="pct"/>
                  <w:tcBorders>
                    <w:tl2br w:val="nil"/>
                    <w:tr2bl w:val="nil"/>
                  </w:tcBorders>
                  <w:shd w:val="clear" w:color="auto" w:fill="auto"/>
                  <w:tcMar>
                    <w:top w:w="0" w:type="dxa"/>
                    <w:left w:w="0" w:type="dxa"/>
                    <w:bottom w:w="0" w:type="dxa"/>
                    <w:right w:w="0" w:type="dxa"/>
                  </w:tcMar>
                  <w:vAlign w:val="center"/>
                </w:tcPr>
                <w:p w14:paraId="18389A8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53</w:t>
                  </w:r>
                </w:p>
              </w:tc>
              <w:tc>
                <w:tcPr>
                  <w:tcW w:w="128" w:type="pct"/>
                  <w:tcBorders>
                    <w:tl2br w:val="nil"/>
                    <w:tr2bl w:val="nil"/>
                  </w:tcBorders>
                  <w:shd w:val="clear" w:color="auto" w:fill="auto"/>
                  <w:tcMar>
                    <w:top w:w="0" w:type="dxa"/>
                    <w:left w:w="0" w:type="dxa"/>
                    <w:bottom w:w="0" w:type="dxa"/>
                    <w:right w:w="0" w:type="dxa"/>
                  </w:tcMar>
                  <w:vAlign w:val="center"/>
                </w:tcPr>
                <w:p w14:paraId="543EC92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w:t>
                  </w:r>
                </w:p>
              </w:tc>
              <w:tc>
                <w:tcPr>
                  <w:tcW w:w="140" w:type="pct"/>
                  <w:tcBorders>
                    <w:tl2br w:val="nil"/>
                    <w:tr2bl w:val="nil"/>
                  </w:tcBorders>
                  <w:shd w:val="clear" w:color="auto" w:fill="auto"/>
                  <w:tcMar>
                    <w:top w:w="0" w:type="dxa"/>
                    <w:left w:w="0" w:type="dxa"/>
                    <w:bottom w:w="0" w:type="dxa"/>
                    <w:right w:w="0" w:type="dxa"/>
                  </w:tcMar>
                  <w:vAlign w:val="center"/>
                </w:tcPr>
                <w:p w14:paraId="03041A69">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7E04428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16</w:t>
                  </w:r>
                </w:p>
              </w:tc>
              <w:tc>
                <w:tcPr>
                  <w:tcW w:w="149" w:type="pct"/>
                  <w:tcBorders>
                    <w:tl2br w:val="nil"/>
                    <w:tr2bl w:val="nil"/>
                  </w:tcBorders>
                  <w:shd w:val="clear" w:color="auto" w:fill="auto"/>
                  <w:tcMar>
                    <w:top w:w="0" w:type="dxa"/>
                    <w:left w:w="0" w:type="dxa"/>
                    <w:bottom w:w="0" w:type="dxa"/>
                    <w:right w:w="0" w:type="dxa"/>
                  </w:tcMar>
                  <w:vAlign w:val="center"/>
                </w:tcPr>
                <w:p w14:paraId="3FA9AEB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41</w:t>
                  </w:r>
                </w:p>
              </w:tc>
              <w:tc>
                <w:tcPr>
                  <w:tcW w:w="153" w:type="pct"/>
                  <w:tcBorders>
                    <w:tl2br w:val="nil"/>
                    <w:tr2bl w:val="nil"/>
                  </w:tcBorders>
                  <w:shd w:val="clear" w:color="auto" w:fill="auto"/>
                  <w:tcMar>
                    <w:top w:w="0" w:type="dxa"/>
                    <w:left w:w="0" w:type="dxa"/>
                    <w:bottom w:w="0" w:type="dxa"/>
                    <w:right w:w="0" w:type="dxa"/>
                  </w:tcMar>
                  <w:vAlign w:val="center"/>
                </w:tcPr>
                <w:p w14:paraId="33E9155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49</w:t>
                  </w:r>
                </w:p>
              </w:tc>
              <w:tc>
                <w:tcPr>
                  <w:tcW w:w="149" w:type="pct"/>
                  <w:tcBorders>
                    <w:tl2br w:val="nil"/>
                    <w:tr2bl w:val="nil"/>
                  </w:tcBorders>
                  <w:shd w:val="clear" w:color="auto" w:fill="auto"/>
                  <w:tcMar>
                    <w:top w:w="0" w:type="dxa"/>
                    <w:left w:w="0" w:type="dxa"/>
                    <w:bottom w:w="0" w:type="dxa"/>
                    <w:right w:w="0" w:type="dxa"/>
                  </w:tcMar>
                  <w:vAlign w:val="center"/>
                </w:tcPr>
                <w:p w14:paraId="46A8358F">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10</w:t>
                  </w:r>
                </w:p>
              </w:tc>
              <w:tc>
                <w:tcPr>
                  <w:tcW w:w="194" w:type="pct"/>
                  <w:tcBorders>
                    <w:tl2br w:val="nil"/>
                    <w:tr2bl w:val="nil"/>
                  </w:tcBorders>
                  <w:shd w:val="clear" w:color="auto" w:fill="auto"/>
                  <w:tcMar>
                    <w:top w:w="0" w:type="dxa"/>
                    <w:left w:w="0" w:type="dxa"/>
                    <w:bottom w:w="0" w:type="dxa"/>
                    <w:right w:w="0" w:type="dxa"/>
                  </w:tcMar>
                  <w:vAlign w:val="center"/>
                </w:tcPr>
                <w:p w14:paraId="4897E1BE">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61.2</w:t>
                  </w:r>
                </w:p>
              </w:tc>
              <w:tc>
                <w:tcPr>
                  <w:tcW w:w="198" w:type="pct"/>
                  <w:tcBorders>
                    <w:tl2br w:val="nil"/>
                    <w:tr2bl w:val="nil"/>
                  </w:tcBorders>
                  <w:shd w:val="clear" w:color="auto" w:fill="auto"/>
                  <w:tcMar>
                    <w:top w:w="0" w:type="dxa"/>
                    <w:left w:w="0" w:type="dxa"/>
                    <w:bottom w:w="0" w:type="dxa"/>
                    <w:right w:w="0" w:type="dxa"/>
                  </w:tcMar>
                  <w:vAlign w:val="center"/>
                </w:tcPr>
                <w:p w14:paraId="088CB46F">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52.8</w:t>
                  </w:r>
                </w:p>
              </w:tc>
              <w:tc>
                <w:tcPr>
                  <w:tcW w:w="219" w:type="pct"/>
                  <w:tcBorders>
                    <w:tl2br w:val="nil"/>
                    <w:tr2bl w:val="nil"/>
                  </w:tcBorders>
                  <w:shd w:val="clear" w:color="auto" w:fill="auto"/>
                  <w:tcMar>
                    <w:top w:w="0" w:type="dxa"/>
                    <w:left w:w="0" w:type="dxa"/>
                    <w:bottom w:w="0" w:type="dxa"/>
                    <w:right w:w="0" w:type="dxa"/>
                  </w:tcMar>
                  <w:vAlign w:val="center"/>
                </w:tcPr>
                <w:p w14:paraId="33AC86F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51.1</w:t>
                  </w:r>
                </w:p>
              </w:tc>
              <w:tc>
                <w:tcPr>
                  <w:tcW w:w="206" w:type="pct"/>
                  <w:tcBorders>
                    <w:tl2br w:val="nil"/>
                    <w:tr2bl w:val="nil"/>
                  </w:tcBorders>
                  <w:shd w:val="clear" w:color="auto" w:fill="auto"/>
                  <w:tcMar>
                    <w:top w:w="0" w:type="dxa"/>
                    <w:left w:w="0" w:type="dxa"/>
                    <w:bottom w:w="0" w:type="dxa"/>
                    <w:right w:w="0" w:type="dxa"/>
                  </w:tcMar>
                  <w:vAlign w:val="center"/>
                </w:tcPr>
                <w:p w14:paraId="7A85C85D">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64.9</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180D3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308" w:type="pct"/>
                  <w:tcBorders>
                    <w:tl2br w:val="nil"/>
                    <w:tr2bl w:val="nil"/>
                  </w:tcBorders>
                  <w:shd w:val="clear" w:color="auto" w:fill="auto"/>
                  <w:tcMar>
                    <w:top w:w="0" w:type="dxa"/>
                    <w:left w:w="0" w:type="dxa"/>
                    <w:bottom w:w="0" w:type="dxa"/>
                    <w:right w:w="0" w:type="dxa"/>
                  </w:tcMar>
                  <w:vAlign w:val="center"/>
                </w:tcPr>
                <w:p w14:paraId="3DC9BC1D">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49E60D28">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41.2</w:t>
                  </w:r>
                </w:p>
              </w:tc>
              <w:tc>
                <w:tcPr>
                  <w:tcW w:w="201" w:type="pct"/>
                  <w:tcBorders>
                    <w:tl2br w:val="nil"/>
                    <w:tr2bl w:val="nil"/>
                  </w:tcBorders>
                  <w:shd w:val="clear" w:color="auto" w:fill="auto"/>
                  <w:tcMar>
                    <w:top w:w="0" w:type="dxa"/>
                    <w:left w:w="0" w:type="dxa"/>
                    <w:bottom w:w="0" w:type="dxa"/>
                    <w:right w:w="0" w:type="dxa"/>
                  </w:tcMar>
                  <w:vAlign w:val="center"/>
                </w:tcPr>
                <w:p w14:paraId="5A0FE25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32.8</w:t>
                  </w:r>
                </w:p>
              </w:tc>
              <w:tc>
                <w:tcPr>
                  <w:tcW w:w="201" w:type="pct"/>
                  <w:tcBorders>
                    <w:tl2br w:val="nil"/>
                    <w:tr2bl w:val="nil"/>
                  </w:tcBorders>
                  <w:shd w:val="clear" w:color="auto" w:fill="auto"/>
                  <w:tcMar>
                    <w:top w:w="0" w:type="dxa"/>
                    <w:left w:w="0" w:type="dxa"/>
                    <w:bottom w:w="0" w:type="dxa"/>
                    <w:right w:w="0" w:type="dxa"/>
                  </w:tcMar>
                  <w:vAlign w:val="center"/>
                </w:tcPr>
                <w:p w14:paraId="4FFDB78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31.1</w:t>
                  </w:r>
                </w:p>
              </w:tc>
              <w:tc>
                <w:tcPr>
                  <w:tcW w:w="215" w:type="pct"/>
                  <w:tcBorders>
                    <w:tl2br w:val="nil"/>
                    <w:tr2bl w:val="nil"/>
                  </w:tcBorders>
                  <w:shd w:val="clear" w:color="auto" w:fill="auto"/>
                  <w:tcMar>
                    <w:top w:w="0" w:type="dxa"/>
                    <w:left w:w="0" w:type="dxa"/>
                    <w:bottom w:w="0" w:type="dxa"/>
                    <w:right w:w="0" w:type="dxa"/>
                  </w:tcMar>
                  <w:vAlign w:val="center"/>
                </w:tcPr>
                <w:p w14:paraId="7A682DBB">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44.9</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7061C0E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p>
              </w:tc>
            </w:tr>
            <w:tr w14:paraId="20D275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5983C37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3</w:t>
                  </w:r>
                </w:p>
              </w:tc>
              <w:tc>
                <w:tcPr>
                  <w:tcW w:w="152" w:type="pct"/>
                  <w:vMerge w:val="continue"/>
                  <w:tcBorders>
                    <w:tl2br w:val="nil"/>
                    <w:tr2bl w:val="nil"/>
                  </w:tcBorders>
                  <w:shd w:val="clear" w:color="auto" w:fill="auto"/>
                  <w:tcMar>
                    <w:top w:w="0" w:type="dxa"/>
                    <w:left w:w="0" w:type="dxa"/>
                    <w:bottom w:w="0" w:type="dxa"/>
                    <w:right w:w="0" w:type="dxa"/>
                  </w:tcMar>
                  <w:vAlign w:val="center"/>
                </w:tcPr>
                <w:p w14:paraId="3923A3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284" w:type="pct"/>
                  <w:tcBorders>
                    <w:tl2br w:val="nil"/>
                    <w:tr2bl w:val="nil"/>
                  </w:tcBorders>
                  <w:shd w:val="clear" w:color="auto" w:fill="auto"/>
                  <w:tcMar>
                    <w:top w:w="0" w:type="dxa"/>
                    <w:left w:w="0" w:type="dxa"/>
                    <w:bottom w:w="0" w:type="dxa"/>
                    <w:right w:w="0" w:type="dxa"/>
                  </w:tcMar>
                  <w:vAlign w:val="center"/>
                </w:tcPr>
                <w:p w14:paraId="4E64B11D">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加工中心</w:t>
                  </w:r>
                </w:p>
              </w:tc>
              <w:tc>
                <w:tcPr>
                  <w:tcW w:w="228" w:type="pct"/>
                  <w:tcBorders>
                    <w:tl2br w:val="nil"/>
                    <w:tr2bl w:val="nil"/>
                  </w:tcBorders>
                  <w:shd w:val="clear" w:color="auto" w:fill="auto"/>
                  <w:tcMar>
                    <w:top w:w="0" w:type="dxa"/>
                    <w:left w:w="0" w:type="dxa"/>
                    <w:bottom w:w="0" w:type="dxa"/>
                    <w:right w:w="0" w:type="dxa"/>
                  </w:tcMar>
                  <w:vAlign w:val="center"/>
                </w:tcPr>
                <w:p w14:paraId="62C9459C">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eastAsia="仿宋" w:cs="Times New Roman"/>
                      <w:i w:val="0"/>
                      <w:iCs w:val="0"/>
                      <w:color w:val="auto"/>
                      <w:kern w:val="0"/>
                      <w:sz w:val="21"/>
                      <w:szCs w:val="21"/>
                      <w:highlight w:val="none"/>
                      <w:u w:val="none"/>
                      <w:lang w:val="en-US" w:eastAsia="zh-CN" w:bidi="ar"/>
                    </w:rPr>
                    <w:t>10</w:t>
                  </w:r>
                </w:p>
              </w:tc>
              <w:tc>
                <w:tcPr>
                  <w:tcW w:w="318" w:type="pct"/>
                  <w:tcBorders>
                    <w:tl2br w:val="nil"/>
                    <w:tr2bl w:val="nil"/>
                  </w:tcBorders>
                  <w:shd w:val="clear" w:color="auto" w:fill="auto"/>
                  <w:tcMar>
                    <w:top w:w="0" w:type="dxa"/>
                    <w:left w:w="0" w:type="dxa"/>
                    <w:bottom w:w="0" w:type="dxa"/>
                    <w:right w:w="0" w:type="dxa"/>
                  </w:tcMar>
                  <w:vAlign w:val="center"/>
                </w:tcPr>
                <w:p w14:paraId="03B11225">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w:t>
                  </w:r>
                  <w:r>
                    <w:rPr>
                      <w:rFonts w:hint="eastAsia"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（叠加后</w:t>
                  </w:r>
                  <w:r>
                    <w:rPr>
                      <w:rFonts w:hint="eastAsia" w:eastAsia="仿宋" w:cs="Times New Roman"/>
                      <w:color w:val="auto"/>
                      <w:kern w:val="2"/>
                      <w:sz w:val="21"/>
                      <w:szCs w:val="21"/>
                      <w:highlight w:val="none"/>
                      <w:lang w:val="en-US" w:eastAsia="zh-CN" w:bidi="ar-SA"/>
                    </w:rPr>
                    <w:t>85</w:t>
                  </w:r>
                  <w:r>
                    <w:rPr>
                      <w:rFonts w:hint="default" w:ascii="Times New Roman" w:hAnsi="Times New Roman" w:eastAsia="仿宋" w:cs="Times New Roman"/>
                      <w:color w:val="auto"/>
                      <w:kern w:val="2"/>
                      <w:sz w:val="21"/>
                      <w:szCs w:val="21"/>
                      <w:highlight w:val="none"/>
                      <w:lang w:val="en-US" w:eastAsia="zh-CN" w:bidi="ar-SA"/>
                    </w:rPr>
                    <w:t>）</w:t>
                  </w:r>
                </w:p>
              </w:tc>
              <w:tc>
                <w:tcPr>
                  <w:tcW w:w="240" w:type="pct"/>
                  <w:tcBorders>
                    <w:tl2br w:val="nil"/>
                    <w:tr2bl w:val="nil"/>
                  </w:tcBorders>
                  <w:shd w:val="clear" w:color="auto" w:fill="auto"/>
                  <w:tcMar>
                    <w:top w:w="0" w:type="dxa"/>
                    <w:left w:w="0" w:type="dxa"/>
                    <w:bottom w:w="0" w:type="dxa"/>
                    <w:right w:w="0" w:type="dxa"/>
                  </w:tcMar>
                  <w:vAlign w:val="center"/>
                </w:tcPr>
                <w:p w14:paraId="0D039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008D31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p>
              </w:tc>
              <w:tc>
                <w:tcPr>
                  <w:tcW w:w="136" w:type="pct"/>
                  <w:tcBorders>
                    <w:tl2br w:val="nil"/>
                    <w:tr2bl w:val="nil"/>
                  </w:tcBorders>
                  <w:shd w:val="clear" w:color="auto" w:fill="auto"/>
                  <w:tcMar>
                    <w:top w:w="0" w:type="dxa"/>
                    <w:left w:w="0" w:type="dxa"/>
                    <w:bottom w:w="0" w:type="dxa"/>
                    <w:right w:w="0" w:type="dxa"/>
                  </w:tcMar>
                  <w:vAlign w:val="center"/>
                </w:tcPr>
                <w:p w14:paraId="5CE6E389">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51</w:t>
                  </w:r>
                </w:p>
              </w:tc>
              <w:tc>
                <w:tcPr>
                  <w:tcW w:w="128" w:type="pct"/>
                  <w:tcBorders>
                    <w:tl2br w:val="nil"/>
                    <w:tr2bl w:val="nil"/>
                  </w:tcBorders>
                  <w:shd w:val="clear" w:color="auto" w:fill="auto"/>
                  <w:tcMar>
                    <w:top w:w="0" w:type="dxa"/>
                    <w:left w:w="0" w:type="dxa"/>
                    <w:bottom w:w="0" w:type="dxa"/>
                    <w:right w:w="0" w:type="dxa"/>
                  </w:tcMar>
                  <w:vAlign w:val="center"/>
                </w:tcPr>
                <w:p w14:paraId="36165AF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140" w:type="pct"/>
                  <w:tcBorders>
                    <w:tl2br w:val="nil"/>
                    <w:tr2bl w:val="nil"/>
                  </w:tcBorders>
                  <w:shd w:val="clear" w:color="auto" w:fill="auto"/>
                  <w:tcMar>
                    <w:top w:w="0" w:type="dxa"/>
                    <w:left w:w="0" w:type="dxa"/>
                    <w:bottom w:w="0" w:type="dxa"/>
                    <w:right w:w="0" w:type="dxa"/>
                  </w:tcMar>
                  <w:vAlign w:val="center"/>
                </w:tcPr>
                <w:p w14:paraId="72C7AC9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00F7F8C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23</w:t>
                  </w:r>
                </w:p>
              </w:tc>
              <w:tc>
                <w:tcPr>
                  <w:tcW w:w="149" w:type="pct"/>
                  <w:tcBorders>
                    <w:tl2br w:val="nil"/>
                    <w:tr2bl w:val="nil"/>
                  </w:tcBorders>
                  <w:shd w:val="clear" w:color="auto" w:fill="auto"/>
                  <w:tcMar>
                    <w:top w:w="0" w:type="dxa"/>
                    <w:left w:w="0" w:type="dxa"/>
                    <w:bottom w:w="0" w:type="dxa"/>
                    <w:right w:w="0" w:type="dxa"/>
                  </w:tcMar>
                  <w:vAlign w:val="center"/>
                </w:tcPr>
                <w:p w14:paraId="6B54378B">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36</w:t>
                  </w:r>
                </w:p>
              </w:tc>
              <w:tc>
                <w:tcPr>
                  <w:tcW w:w="153" w:type="pct"/>
                  <w:tcBorders>
                    <w:tl2br w:val="nil"/>
                    <w:tr2bl w:val="nil"/>
                  </w:tcBorders>
                  <w:shd w:val="clear" w:color="auto" w:fill="auto"/>
                  <w:tcMar>
                    <w:top w:w="0" w:type="dxa"/>
                    <w:left w:w="0" w:type="dxa"/>
                    <w:bottom w:w="0" w:type="dxa"/>
                    <w:right w:w="0" w:type="dxa"/>
                  </w:tcMar>
                  <w:vAlign w:val="center"/>
                </w:tcPr>
                <w:p w14:paraId="05736AF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49</w:t>
                  </w:r>
                </w:p>
              </w:tc>
              <w:tc>
                <w:tcPr>
                  <w:tcW w:w="149" w:type="pct"/>
                  <w:tcBorders>
                    <w:tl2br w:val="nil"/>
                    <w:tr2bl w:val="nil"/>
                  </w:tcBorders>
                  <w:shd w:val="clear" w:color="auto" w:fill="auto"/>
                  <w:tcMar>
                    <w:top w:w="0" w:type="dxa"/>
                    <w:left w:w="0" w:type="dxa"/>
                    <w:bottom w:w="0" w:type="dxa"/>
                    <w:right w:w="0" w:type="dxa"/>
                  </w:tcMar>
                  <w:vAlign w:val="center"/>
                </w:tcPr>
                <w:p w14:paraId="4C6B2659">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15</w:t>
                  </w:r>
                </w:p>
              </w:tc>
              <w:tc>
                <w:tcPr>
                  <w:tcW w:w="194" w:type="pct"/>
                  <w:tcBorders>
                    <w:tl2br w:val="nil"/>
                    <w:tr2bl w:val="nil"/>
                  </w:tcBorders>
                  <w:shd w:val="clear" w:color="auto" w:fill="auto"/>
                  <w:tcMar>
                    <w:top w:w="0" w:type="dxa"/>
                    <w:left w:w="0" w:type="dxa"/>
                    <w:bottom w:w="0" w:type="dxa"/>
                    <w:right w:w="0" w:type="dxa"/>
                  </w:tcMar>
                  <w:vAlign w:val="center"/>
                </w:tcPr>
                <w:p w14:paraId="5AA7987D">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57.7</w:t>
                  </w:r>
                </w:p>
              </w:tc>
              <w:tc>
                <w:tcPr>
                  <w:tcW w:w="198" w:type="pct"/>
                  <w:tcBorders>
                    <w:tl2br w:val="nil"/>
                    <w:tr2bl w:val="nil"/>
                  </w:tcBorders>
                  <w:shd w:val="clear" w:color="auto" w:fill="auto"/>
                  <w:tcMar>
                    <w:top w:w="0" w:type="dxa"/>
                    <w:left w:w="0" w:type="dxa"/>
                    <w:bottom w:w="0" w:type="dxa"/>
                    <w:right w:w="0" w:type="dxa"/>
                  </w:tcMar>
                  <w:vAlign w:val="center"/>
                </w:tcPr>
                <w:p w14:paraId="53437D9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53.9</w:t>
                  </w:r>
                </w:p>
              </w:tc>
              <w:tc>
                <w:tcPr>
                  <w:tcW w:w="219" w:type="pct"/>
                  <w:tcBorders>
                    <w:tl2br w:val="nil"/>
                    <w:tr2bl w:val="nil"/>
                  </w:tcBorders>
                  <w:shd w:val="clear" w:color="auto" w:fill="auto"/>
                  <w:tcMar>
                    <w:top w:w="0" w:type="dxa"/>
                    <w:left w:w="0" w:type="dxa"/>
                    <w:bottom w:w="0" w:type="dxa"/>
                    <w:right w:w="0" w:type="dxa"/>
                  </w:tcMar>
                  <w:vAlign w:val="center"/>
                </w:tcPr>
                <w:p w14:paraId="4CA151A8">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51.2</w:t>
                  </w:r>
                </w:p>
              </w:tc>
              <w:tc>
                <w:tcPr>
                  <w:tcW w:w="206" w:type="pct"/>
                  <w:tcBorders>
                    <w:tl2br w:val="nil"/>
                    <w:tr2bl w:val="nil"/>
                  </w:tcBorders>
                  <w:shd w:val="clear" w:color="auto" w:fill="auto"/>
                  <w:tcMar>
                    <w:top w:w="0" w:type="dxa"/>
                    <w:left w:w="0" w:type="dxa"/>
                    <w:bottom w:w="0" w:type="dxa"/>
                    <w:right w:w="0" w:type="dxa"/>
                  </w:tcMar>
                  <w:vAlign w:val="center"/>
                </w:tcPr>
                <w:p w14:paraId="287315A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61.4</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6D7D8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308" w:type="pct"/>
                  <w:tcBorders>
                    <w:tl2br w:val="nil"/>
                    <w:tr2bl w:val="nil"/>
                  </w:tcBorders>
                  <w:shd w:val="clear" w:color="auto" w:fill="auto"/>
                  <w:tcMar>
                    <w:top w:w="0" w:type="dxa"/>
                    <w:left w:w="0" w:type="dxa"/>
                    <w:bottom w:w="0" w:type="dxa"/>
                    <w:right w:w="0" w:type="dxa"/>
                  </w:tcMar>
                  <w:vAlign w:val="center"/>
                </w:tcPr>
                <w:p w14:paraId="2A0A1CBE">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211D96E9">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37.7</w:t>
                  </w:r>
                </w:p>
              </w:tc>
              <w:tc>
                <w:tcPr>
                  <w:tcW w:w="201" w:type="pct"/>
                  <w:tcBorders>
                    <w:tl2br w:val="nil"/>
                    <w:tr2bl w:val="nil"/>
                  </w:tcBorders>
                  <w:shd w:val="clear" w:color="auto" w:fill="auto"/>
                  <w:tcMar>
                    <w:top w:w="0" w:type="dxa"/>
                    <w:left w:w="0" w:type="dxa"/>
                    <w:bottom w:w="0" w:type="dxa"/>
                    <w:right w:w="0" w:type="dxa"/>
                  </w:tcMar>
                  <w:vAlign w:val="center"/>
                </w:tcPr>
                <w:p w14:paraId="0EB86789">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33.9</w:t>
                  </w:r>
                </w:p>
              </w:tc>
              <w:tc>
                <w:tcPr>
                  <w:tcW w:w="201" w:type="pct"/>
                  <w:tcBorders>
                    <w:tl2br w:val="nil"/>
                    <w:tr2bl w:val="nil"/>
                  </w:tcBorders>
                  <w:shd w:val="clear" w:color="auto" w:fill="auto"/>
                  <w:tcMar>
                    <w:top w:w="0" w:type="dxa"/>
                    <w:left w:w="0" w:type="dxa"/>
                    <w:bottom w:w="0" w:type="dxa"/>
                    <w:right w:w="0" w:type="dxa"/>
                  </w:tcMar>
                  <w:vAlign w:val="center"/>
                </w:tcPr>
                <w:p w14:paraId="02C6838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31.2</w:t>
                  </w:r>
                </w:p>
              </w:tc>
              <w:tc>
                <w:tcPr>
                  <w:tcW w:w="215" w:type="pct"/>
                  <w:tcBorders>
                    <w:tl2br w:val="nil"/>
                    <w:tr2bl w:val="nil"/>
                  </w:tcBorders>
                  <w:shd w:val="clear" w:color="auto" w:fill="auto"/>
                  <w:tcMar>
                    <w:top w:w="0" w:type="dxa"/>
                    <w:left w:w="0" w:type="dxa"/>
                    <w:bottom w:w="0" w:type="dxa"/>
                    <w:right w:w="0" w:type="dxa"/>
                  </w:tcMar>
                  <w:vAlign w:val="center"/>
                </w:tcPr>
                <w:p w14:paraId="0C5B835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41.4</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0AA9ED98">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p>
              </w:tc>
            </w:tr>
            <w:tr w14:paraId="1940AD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491C231D">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4</w:t>
                  </w:r>
                </w:p>
              </w:tc>
              <w:tc>
                <w:tcPr>
                  <w:tcW w:w="152" w:type="pct"/>
                  <w:vMerge w:val="continue"/>
                  <w:tcBorders>
                    <w:tl2br w:val="nil"/>
                    <w:tr2bl w:val="nil"/>
                  </w:tcBorders>
                  <w:shd w:val="clear" w:color="auto" w:fill="auto"/>
                  <w:tcMar>
                    <w:top w:w="0" w:type="dxa"/>
                    <w:left w:w="0" w:type="dxa"/>
                    <w:bottom w:w="0" w:type="dxa"/>
                    <w:right w:w="0" w:type="dxa"/>
                  </w:tcMar>
                  <w:vAlign w:val="center"/>
                </w:tcPr>
                <w:p w14:paraId="0BB27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284" w:type="pct"/>
                  <w:tcBorders>
                    <w:tl2br w:val="nil"/>
                    <w:tr2bl w:val="nil"/>
                  </w:tcBorders>
                  <w:shd w:val="clear" w:color="auto" w:fill="auto"/>
                  <w:tcMar>
                    <w:top w:w="0" w:type="dxa"/>
                    <w:left w:w="0" w:type="dxa"/>
                    <w:bottom w:w="0" w:type="dxa"/>
                    <w:right w:w="0" w:type="dxa"/>
                  </w:tcMar>
                  <w:vAlign w:val="center"/>
                </w:tcPr>
                <w:p w14:paraId="121630A9">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加工中心</w:t>
                  </w:r>
                </w:p>
              </w:tc>
              <w:tc>
                <w:tcPr>
                  <w:tcW w:w="228" w:type="pct"/>
                  <w:tcBorders>
                    <w:tl2br w:val="nil"/>
                    <w:tr2bl w:val="nil"/>
                  </w:tcBorders>
                  <w:shd w:val="clear" w:color="auto" w:fill="auto"/>
                  <w:tcMar>
                    <w:top w:w="0" w:type="dxa"/>
                    <w:left w:w="0" w:type="dxa"/>
                    <w:bottom w:w="0" w:type="dxa"/>
                    <w:right w:w="0" w:type="dxa"/>
                  </w:tcMar>
                  <w:vAlign w:val="center"/>
                </w:tcPr>
                <w:p w14:paraId="7E5786F2">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eastAsia="仿宋" w:cs="Times New Roman"/>
                      <w:i w:val="0"/>
                      <w:iCs w:val="0"/>
                      <w:color w:val="auto"/>
                      <w:kern w:val="0"/>
                      <w:sz w:val="21"/>
                      <w:szCs w:val="21"/>
                      <w:highlight w:val="none"/>
                      <w:u w:val="none"/>
                      <w:lang w:val="en-US" w:eastAsia="zh-CN" w:bidi="ar"/>
                    </w:rPr>
                    <w:t>10</w:t>
                  </w:r>
                </w:p>
              </w:tc>
              <w:tc>
                <w:tcPr>
                  <w:tcW w:w="318" w:type="pct"/>
                  <w:tcBorders>
                    <w:tl2br w:val="nil"/>
                    <w:tr2bl w:val="nil"/>
                  </w:tcBorders>
                  <w:shd w:val="clear" w:color="auto" w:fill="auto"/>
                  <w:tcMar>
                    <w:top w:w="0" w:type="dxa"/>
                    <w:left w:w="0" w:type="dxa"/>
                    <w:bottom w:w="0" w:type="dxa"/>
                    <w:right w:w="0" w:type="dxa"/>
                  </w:tcMar>
                  <w:vAlign w:val="center"/>
                </w:tcPr>
                <w:p w14:paraId="780C9E63">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w:t>
                  </w:r>
                  <w:r>
                    <w:rPr>
                      <w:rFonts w:hint="eastAsia"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（叠加后</w:t>
                  </w:r>
                  <w:r>
                    <w:rPr>
                      <w:rFonts w:hint="eastAsia" w:eastAsia="仿宋" w:cs="Times New Roman"/>
                      <w:color w:val="auto"/>
                      <w:kern w:val="2"/>
                      <w:sz w:val="21"/>
                      <w:szCs w:val="21"/>
                      <w:highlight w:val="none"/>
                      <w:lang w:val="en-US" w:eastAsia="zh-CN" w:bidi="ar-SA"/>
                    </w:rPr>
                    <w:t>85</w:t>
                  </w:r>
                  <w:r>
                    <w:rPr>
                      <w:rFonts w:hint="default" w:ascii="Times New Roman" w:hAnsi="Times New Roman" w:eastAsia="仿宋" w:cs="Times New Roman"/>
                      <w:color w:val="auto"/>
                      <w:kern w:val="2"/>
                      <w:sz w:val="21"/>
                      <w:szCs w:val="21"/>
                      <w:highlight w:val="none"/>
                      <w:lang w:val="en-US" w:eastAsia="zh-CN" w:bidi="ar-SA"/>
                    </w:rPr>
                    <w:t>）</w:t>
                  </w:r>
                </w:p>
              </w:tc>
              <w:tc>
                <w:tcPr>
                  <w:tcW w:w="240" w:type="pct"/>
                  <w:tcBorders>
                    <w:tl2br w:val="nil"/>
                    <w:tr2bl w:val="nil"/>
                  </w:tcBorders>
                  <w:shd w:val="clear" w:color="auto" w:fill="auto"/>
                  <w:tcMar>
                    <w:top w:w="0" w:type="dxa"/>
                    <w:left w:w="0" w:type="dxa"/>
                    <w:bottom w:w="0" w:type="dxa"/>
                    <w:right w:w="0" w:type="dxa"/>
                  </w:tcMar>
                  <w:vAlign w:val="center"/>
                </w:tcPr>
                <w:p w14:paraId="7D0451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64517C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p>
              </w:tc>
              <w:tc>
                <w:tcPr>
                  <w:tcW w:w="136" w:type="pct"/>
                  <w:tcBorders>
                    <w:tl2br w:val="nil"/>
                    <w:tr2bl w:val="nil"/>
                  </w:tcBorders>
                  <w:shd w:val="clear" w:color="auto" w:fill="auto"/>
                  <w:tcMar>
                    <w:top w:w="0" w:type="dxa"/>
                    <w:left w:w="0" w:type="dxa"/>
                    <w:bottom w:w="0" w:type="dxa"/>
                    <w:right w:w="0" w:type="dxa"/>
                  </w:tcMar>
                  <w:vAlign w:val="center"/>
                </w:tcPr>
                <w:p w14:paraId="3229C4EF">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49</w:t>
                  </w:r>
                </w:p>
              </w:tc>
              <w:tc>
                <w:tcPr>
                  <w:tcW w:w="128" w:type="pct"/>
                  <w:tcBorders>
                    <w:tl2br w:val="nil"/>
                    <w:tr2bl w:val="nil"/>
                  </w:tcBorders>
                  <w:shd w:val="clear" w:color="auto" w:fill="auto"/>
                  <w:tcMar>
                    <w:top w:w="0" w:type="dxa"/>
                    <w:left w:w="0" w:type="dxa"/>
                    <w:bottom w:w="0" w:type="dxa"/>
                    <w:right w:w="0" w:type="dxa"/>
                  </w:tcMar>
                  <w:vAlign w:val="center"/>
                </w:tcPr>
                <w:p w14:paraId="4D29B88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w:t>
                  </w:r>
                </w:p>
              </w:tc>
              <w:tc>
                <w:tcPr>
                  <w:tcW w:w="140" w:type="pct"/>
                  <w:tcBorders>
                    <w:tl2br w:val="nil"/>
                    <w:tr2bl w:val="nil"/>
                  </w:tcBorders>
                  <w:shd w:val="clear" w:color="auto" w:fill="auto"/>
                  <w:tcMar>
                    <w:top w:w="0" w:type="dxa"/>
                    <w:left w:w="0" w:type="dxa"/>
                    <w:bottom w:w="0" w:type="dxa"/>
                    <w:right w:w="0" w:type="dxa"/>
                  </w:tcMar>
                  <w:vAlign w:val="center"/>
                </w:tcPr>
                <w:p w14:paraId="5928423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6A7CE34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30</w:t>
                  </w:r>
                </w:p>
              </w:tc>
              <w:tc>
                <w:tcPr>
                  <w:tcW w:w="149" w:type="pct"/>
                  <w:tcBorders>
                    <w:tl2br w:val="nil"/>
                    <w:tr2bl w:val="nil"/>
                  </w:tcBorders>
                  <w:shd w:val="clear" w:color="auto" w:fill="auto"/>
                  <w:tcMar>
                    <w:top w:w="0" w:type="dxa"/>
                    <w:left w:w="0" w:type="dxa"/>
                    <w:bottom w:w="0" w:type="dxa"/>
                    <w:right w:w="0" w:type="dxa"/>
                  </w:tcMar>
                  <w:vAlign w:val="center"/>
                </w:tcPr>
                <w:p w14:paraId="42C1EBC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32</w:t>
                  </w:r>
                </w:p>
              </w:tc>
              <w:tc>
                <w:tcPr>
                  <w:tcW w:w="153" w:type="pct"/>
                  <w:tcBorders>
                    <w:tl2br w:val="nil"/>
                    <w:tr2bl w:val="nil"/>
                  </w:tcBorders>
                  <w:shd w:val="clear" w:color="auto" w:fill="auto"/>
                  <w:tcMar>
                    <w:top w:w="0" w:type="dxa"/>
                    <w:left w:w="0" w:type="dxa"/>
                    <w:bottom w:w="0" w:type="dxa"/>
                    <w:right w:w="0" w:type="dxa"/>
                  </w:tcMar>
                  <w:vAlign w:val="center"/>
                </w:tcPr>
                <w:p w14:paraId="3EDC269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49</w:t>
                  </w:r>
                </w:p>
              </w:tc>
              <w:tc>
                <w:tcPr>
                  <w:tcW w:w="149" w:type="pct"/>
                  <w:tcBorders>
                    <w:tl2br w:val="nil"/>
                    <w:tr2bl w:val="nil"/>
                  </w:tcBorders>
                  <w:shd w:val="clear" w:color="auto" w:fill="auto"/>
                  <w:tcMar>
                    <w:top w:w="0" w:type="dxa"/>
                    <w:left w:w="0" w:type="dxa"/>
                    <w:bottom w:w="0" w:type="dxa"/>
                    <w:right w:w="0" w:type="dxa"/>
                  </w:tcMar>
                  <w:vAlign w:val="center"/>
                </w:tcPr>
                <w:p w14:paraId="0A4B61D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19</w:t>
                  </w:r>
                </w:p>
              </w:tc>
              <w:tc>
                <w:tcPr>
                  <w:tcW w:w="194" w:type="pct"/>
                  <w:tcBorders>
                    <w:tl2br w:val="nil"/>
                    <w:tr2bl w:val="nil"/>
                  </w:tcBorders>
                  <w:shd w:val="clear" w:color="auto" w:fill="auto"/>
                  <w:tcMar>
                    <w:top w:w="0" w:type="dxa"/>
                    <w:left w:w="0" w:type="dxa"/>
                    <w:bottom w:w="0" w:type="dxa"/>
                    <w:right w:w="0" w:type="dxa"/>
                  </w:tcMar>
                  <w:vAlign w:val="center"/>
                </w:tcPr>
                <w:p w14:paraId="34D98ABE">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55.6</w:t>
                  </w:r>
                </w:p>
              </w:tc>
              <w:tc>
                <w:tcPr>
                  <w:tcW w:w="198" w:type="pct"/>
                  <w:tcBorders>
                    <w:tl2br w:val="nil"/>
                    <w:tr2bl w:val="nil"/>
                  </w:tcBorders>
                  <w:shd w:val="clear" w:color="auto" w:fill="auto"/>
                  <w:tcMar>
                    <w:top w:w="0" w:type="dxa"/>
                    <w:left w:w="0" w:type="dxa"/>
                    <w:bottom w:w="0" w:type="dxa"/>
                    <w:right w:w="0" w:type="dxa"/>
                  </w:tcMar>
                  <w:vAlign w:val="center"/>
                </w:tcPr>
                <w:p w14:paraId="1F9A3B15">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55.0</w:t>
                  </w:r>
                </w:p>
              </w:tc>
              <w:tc>
                <w:tcPr>
                  <w:tcW w:w="219" w:type="pct"/>
                  <w:tcBorders>
                    <w:tl2br w:val="nil"/>
                    <w:tr2bl w:val="nil"/>
                  </w:tcBorders>
                  <w:shd w:val="clear" w:color="auto" w:fill="auto"/>
                  <w:tcMar>
                    <w:top w:w="0" w:type="dxa"/>
                    <w:left w:w="0" w:type="dxa"/>
                    <w:bottom w:w="0" w:type="dxa"/>
                    <w:right w:w="0" w:type="dxa"/>
                  </w:tcMar>
                  <w:vAlign w:val="center"/>
                </w:tcPr>
                <w:p w14:paraId="666944C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51.2</w:t>
                  </w:r>
                </w:p>
              </w:tc>
              <w:tc>
                <w:tcPr>
                  <w:tcW w:w="206" w:type="pct"/>
                  <w:tcBorders>
                    <w:tl2br w:val="nil"/>
                    <w:tr2bl w:val="nil"/>
                  </w:tcBorders>
                  <w:shd w:val="clear" w:color="auto" w:fill="auto"/>
                  <w:tcMar>
                    <w:top w:w="0" w:type="dxa"/>
                    <w:left w:w="0" w:type="dxa"/>
                    <w:bottom w:w="0" w:type="dxa"/>
                    <w:right w:w="0" w:type="dxa"/>
                  </w:tcMar>
                  <w:vAlign w:val="center"/>
                </w:tcPr>
                <w:p w14:paraId="0DF13D1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59.3</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7C8FA1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308" w:type="pct"/>
                  <w:tcBorders>
                    <w:tl2br w:val="nil"/>
                    <w:tr2bl w:val="nil"/>
                  </w:tcBorders>
                  <w:shd w:val="clear" w:color="auto" w:fill="auto"/>
                  <w:tcMar>
                    <w:top w:w="0" w:type="dxa"/>
                    <w:left w:w="0" w:type="dxa"/>
                    <w:bottom w:w="0" w:type="dxa"/>
                    <w:right w:w="0" w:type="dxa"/>
                  </w:tcMar>
                  <w:vAlign w:val="center"/>
                </w:tcPr>
                <w:p w14:paraId="4D0E47D1">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1F98ACA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35.6</w:t>
                  </w:r>
                </w:p>
              </w:tc>
              <w:tc>
                <w:tcPr>
                  <w:tcW w:w="201" w:type="pct"/>
                  <w:tcBorders>
                    <w:tl2br w:val="nil"/>
                    <w:tr2bl w:val="nil"/>
                  </w:tcBorders>
                  <w:shd w:val="clear" w:color="auto" w:fill="auto"/>
                  <w:tcMar>
                    <w:top w:w="0" w:type="dxa"/>
                    <w:left w:w="0" w:type="dxa"/>
                    <w:bottom w:w="0" w:type="dxa"/>
                    <w:right w:w="0" w:type="dxa"/>
                  </w:tcMar>
                  <w:vAlign w:val="center"/>
                </w:tcPr>
                <w:p w14:paraId="0C66B0E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35.0</w:t>
                  </w:r>
                </w:p>
              </w:tc>
              <w:tc>
                <w:tcPr>
                  <w:tcW w:w="201" w:type="pct"/>
                  <w:tcBorders>
                    <w:tl2br w:val="nil"/>
                    <w:tr2bl w:val="nil"/>
                  </w:tcBorders>
                  <w:shd w:val="clear" w:color="auto" w:fill="auto"/>
                  <w:tcMar>
                    <w:top w:w="0" w:type="dxa"/>
                    <w:left w:w="0" w:type="dxa"/>
                    <w:bottom w:w="0" w:type="dxa"/>
                    <w:right w:w="0" w:type="dxa"/>
                  </w:tcMar>
                  <w:vAlign w:val="center"/>
                </w:tcPr>
                <w:p w14:paraId="7861D70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31.2</w:t>
                  </w:r>
                </w:p>
              </w:tc>
              <w:tc>
                <w:tcPr>
                  <w:tcW w:w="215" w:type="pct"/>
                  <w:tcBorders>
                    <w:tl2br w:val="nil"/>
                    <w:tr2bl w:val="nil"/>
                  </w:tcBorders>
                  <w:shd w:val="clear" w:color="auto" w:fill="auto"/>
                  <w:tcMar>
                    <w:top w:w="0" w:type="dxa"/>
                    <w:left w:w="0" w:type="dxa"/>
                    <w:bottom w:w="0" w:type="dxa"/>
                    <w:right w:w="0" w:type="dxa"/>
                  </w:tcMar>
                  <w:vAlign w:val="center"/>
                </w:tcPr>
                <w:p w14:paraId="37D86C9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39.3</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27D34B23">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p>
              </w:tc>
            </w:tr>
            <w:tr w14:paraId="58CA00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77811E99">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5</w:t>
                  </w:r>
                </w:p>
              </w:tc>
              <w:tc>
                <w:tcPr>
                  <w:tcW w:w="152" w:type="pct"/>
                  <w:vMerge w:val="continue"/>
                  <w:tcBorders>
                    <w:tl2br w:val="nil"/>
                    <w:tr2bl w:val="nil"/>
                  </w:tcBorders>
                  <w:shd w:val="clear" w:color="auto" w:fill="auto"/>
                  <w:tcMar>
                    <w:top w:w="0" w:type="dxa"/>
                    <w:left w:w="0" w:type="dxa"/>
                    <w:bottom w:w="0" w:type="dxa"/>
                    <w:right w:w="0" w:type="dxa"/>
                  </w:tcMar>
                  <w:vAlign w:val="center"/>
                </w:tcPr>
                <w:p w14:paraId="7485C5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284" w:type="pct"/>
                  <w:tcBorders>
                    <w:tl2br w:val="nil"/>
                    <w:tr2bl w:val="nil"/>
                  </w:tcBorders>
                  <w:shd w:val="clear" w:color="auto" w:fill="auto"/>
                  <w:tcMar>
                    <w:top w:w="0" w:type="dxa"/>
                    <w:left w:w="0" w:type="dxa"/>
                    <w:bottom w:w="0" w:type="dxa"/>
                    <w:right w:w="0" w:type="dxa"/>
                  </w:tcMar>
                  <w:vAlign w:val="center"/>
                </w:tcPr>
                <w:p w14:paraId="0311066E">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加工中心</w:t>
                  </w:r>
                </w:p>
              </w:tc>
              <w:tc>
                <w:tcPr>
                  <w:tcW w:w="228" w:type="pct"/>
                  <w:tcBorders>
                    <w:tl2br w:val="nil"/>
                    <w:tr2bl w:val="nil"/>
                  </w:tcBorders>
                  <w:shd w:val="clear" w:color="auto" w:fill="auto"/>
                  <w:tcMar>
                    <w:top w:w="0" w:type="dxa"/>
                    <w:left w:w="0" w:type="dxa"/>
                    <w:bottom w:w="0" w:type="dxa"/>
                    <w:right w:w="0" w:type="dxa"/>
                  </w:tcMar>
                  <w:vAlign w:val="center"/>
                </w:tcPr>
                <w:p w14:paraId="02B98337">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eastAsia="仿宋" w:cs="Times New Roman"/>
                      <w:i w:val="0"/>
                      <w:iCs w:val="0"/>
                      <w:color w:val="auto"/>
                      <w:kern w:val="0"/>
                      <w:sz w:val="21"/>
                      <w:szCs w:val="21"/>
                      <w:highlight w:val="none"/>
                      <w:u w:val="none"/>
                      <w:lang w:val="en-US" w:eastAsia="zh-CN" w:bidi="ar"/>
                    </w:rPr>
                    <w:t>10</w:t>
                  </w:r>
                </w:p>
              </w:tc>
              <w:tc>
                <w:tcPr>
                  <w:tcW w:w="318" w:type="pct"/>
                  <w:tcBorders>
                    <w:tl2br w:val="nil"/>
                    <w:tr2bl w:val="nil"/>
                  </w:tcBorders>
                  <w:shd w:val="clear" w:color="auto" w:fill="auto"/>
                  <w:tcMar>
                    <w:top w:w="0" w:type="dxa"/>
                    <w:left w:w="0" w:type="dxa"/>
                    <w:bottom w:w="0" w:type="dxa"/>
                    <w:right w:w="0" w:type="dxa"/>
                  </w:tcMar>
                  <w:vAlign w:val="center"/>
                </w:tcPr>
                <w:p w14:paraId="7271F771">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w:t>
                  </w:r>
                  <w:r>
                    <w:rPr>
                      <w:rFonts w:hint="eastAsia"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（叠加后</w:t>
                  </w:r>
                  <w:r>
                    <w:rPr>
                      <w:rFonts w:hint="eastAsia" w:eastAsia="仿宋" w:cs="Times New Roman"/>
                      <w:color w:val="auto"/>
                      <w:kern w:val="2"/>
                      <w:sz w:val="21"/>
                      <w:szCs w:val="21"/>
                      <w:highlight w:val="none"/>
                      <w:lang w:val="en-US" w:eastAsia="zh-CN" w:bidi="ar-SA"/>
                    </w:rPr>
                    <w:t>85</w:t>
                  </w:r>
                  <w:r>
                    <w:rPr>
                      <w:rFonts w:hint="default" w:ascii="Times New Roman" w:hAnsi="Times New Roman" w:eastAsia="仿宋" w:cs="Times New Roman"/>
                      <w:color w:val="auto"/>
                      <w:kern w:val="2"/>
                      <w:sz w:val="21"/>
                      <w:szCs w:val="21"/>
                      <w:highlight w:val="none"/>
                      <w:lang w:val="en-US" w:eastAsia="zh-CN" w:bidi="ar-SA"/>
                    </w:rPr>
                    <w:t>）</w:t>
                  </w:r>
                </w:p>
              </w:tc>
              <w:tc>
                <w:tcPr>
                  <w:tcW w:w="240" w:type="pct"/>
                  <w:tcBorders>
                    <w:tl2br w:val="nil"/>
                    <w:tr2bl w:val="nil"/>
                  </w:tcBorders>
                  <w:shd w:val="clear" w:color="auto" w:fill="auto"/>
                  <w:tcMar>
                    <w:top w:w="0" w:type="dxa"/>
                    <w:left w:w="0" w:type="dxa"/>
                    <w:bottom w:w="0" w:type="dxa"/>
                    <w:right w:w="0" w:type="dxa"/>
                  </w:tcMar>
                  <w:vAlign w:val="center"/>
                </w:tcPr>
                <w:p w14:paraId="3D0296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3E279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p>
              </w:tc>
              <w:tc>
                <w:tcPr>
                  <w:tcW w:w="136" w:type="pct"/>
                  <w:tcBorders>
                    <w:tl2br w:val="nil"/>
                    <w:tr2bl w:val="nil"/>
                  </w:tcBorders>
                  <w:shd w:val="clear" w:color="auto" w:fill="auto"/>
                  <w:tcMar>
                    <w:top w:w="0" w:type="dxa"/>
                    <w:left w:w="0" w:type="dxa"/>
                    <w:bottom w:w="0" w:type="dxa"/>
                    <w:right w:w="0" w:type="dxa"/>
                  </w:tcMar>
                  <w:vAlign w:val="center"/>
                </w:tcPr>
                <w:p w14:paraId="590CF30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47</w:t>
                  </w:r>
                </w:p>
              </w:tc>
              <w:tc>
                <w:tcPr>
                  <w:tcW w:w="128" w:type="pct"/>
                  <w:tcBorders>
                    <w:tl2br w:val="nil"/>
                    <w:tr2bl w:val="nil"/>
                  </w:tcBorders>
                  <w:shd w:val="clear" w:color="auto" w:fill="auto"/>
                  <w:tcMar>
                    <w:top w:w="0" w:type="dxa"/>
                    <w:left w:w="0" w:type="dxa"/>
                    <w:bottom w:w="0" w:type="dxa"/>
                    <w:right w:w="0" w:type="dxa"/>
                  </w:tcMar>
                  <w:vAlign w:val="center"/>
                </w:tcPr>
                <w:p w14:paraId="0FA4284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w:t>
                  </w:r>
                </w:p>
              </w:tc>
              <w:tc>
                <w:tcPr>
                  <w:tcW w:w="140" w:type="pct"/>
                  <w:tcBorders>
                    <w:tl2br w:val="nil"/>
                    <w:tr2bl w:val="nil"/>
                  </w:tcBorders>
                  <w:shd w:val="clear" w:color="auto" w:fill="auto"/>
                  <w:tcMar>
                    <w:top w:w="0" w:type="dxa"/>
                    <w:left w:w="0" w:type="dxa"/>
                    <w:bottom w:w="0" w:type="dxa"/>
                    <w:right w:w="0" w:type="dxa"/>
                  </w:tcMar>
                  <w:vAlign w:val="center"/>
                </w:tcPr>
                <w:p w14:paraId="1BFDD46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799C073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37</w:t>
                  </w:r>
                </w:p>
              </w:tc>
              <w:tc>
                <w:tcPr>
                  <w:tcW w:w="149" w:type="pct"/>
                  <w:tcBorders>
                    <w:tl2br w:val="nil"/>
                    <w:tr2bl w:val="nil"/>
                  </w:tcBorders>
                  <w:shd w:val="clear" w:color="auto" w:fill="auto"/>
                  <w:tcMar>
                    <w:top w:w="0" w:type="dxa"/>
                    <w:left w:w="0" w:type="dxa"/>
                    <w:bottom w:w="0" w:type="dxa"/>
                    <w:right w:w="0" w:type="dxa"/>
                  </w:tcMar>
                  <w:vAlign w:val="center"/>
                </w:tcPr>
                <w:p w14:paraId="15970CD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27</w:t>
                  </w:r>
                </w:p>
              </w:tc>
              <w:tc>
                <w:tcPr>
                  <w:tcW w:w="153" w:type="pct"/>
                  <w:tcBorders>
                    <w:tl2br w:val="nil"/>
                    <w:tr2bl w:val="nil"/>
                  </w:tcBorders>
                  <w:shd w:val="clear" w:color="auto" w:fill="auto"/>
                  <w:tcMar>
                    <w:top w:w="0" w:type="dxa"/>
                    <w:left w:w="0" w:type="dxa"/>
                    <w:bottom w:w="0" w:type="dxa"/>
                    <w:right w:w="0" w:type="dxa"/>
                  </w:tcMar>
                  <w:vAlign w:val="center"/>
                </w:tcPr>
                <w:p w14:paraId="683AE96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42</w:t>
                  </w:r>
                </w:p>
              </w:tc>
              <w:tc>
                <w:tcPr>
                  <w:tcW w:w="149" w:type="pct"/>
                  <w:tcBorders>
                    <w:tl2br w:val="nil"/>
                    <w:tr2bl w:val="nil"/>
                  </w:tcBorders>
                  <w:shd w:val="clear" w:color="auto" w:fill="auto"/>
                  <w:tcMar>
                    <w:top w:w="0" w:type="dxa"/>
                    <w:left w:w="0" w:type="dxa"/>
                    <w:bottom w:w="0" w:type="dxa"/>
                    <w:right w:w="0" w:type="dxa"/>
                  </w:tcMar>
                  <w:vAlign w:val="center"/>
                </w:tcPr>
                <w:p w14:paraId="1F45C27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24</w:t>
                  </w:r>
                </w:p>
              </w:tc>
              <w:tc>
                <w:tcPr>
                  <w:tcW w:w="194" w:type="pct"/>
                  <w:tcBorders>
                    <w:tl2br w:val="nil"/>
                    <w:tr2bl w:val="nil"/>
                  </w:tcBorders>
                  <w:shd w:val="clear" w:color="auto" w:fill="auto"/>
                  <w:tcMar>
                    <w:top w:w="0" w:type="dxa"/>
                    <w:left w:w="0" w:type="dxa"/>
                    <w:bottom w:w="0" w:type="dxa"/>
                    <w:right w:w="0" w:type="dxa"/>
                  </w:tcMar>
                  <w:vAlign w:val="center"/>
                </w:tcPr>
                <w:p w14:paraId="10BD658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53.7</w:t>
                  </w:r>
                </w:p>
              </w:tc>
              <w:tc>
                <w:tcPr>
                  <w:tcW w:w="198" w:type="pct"/>
                  <w:tcBorders>
                    <w:tl2br w:val="nil"/>
                    <w:tr2bl w:val="nil"/>
                  </w:tcBorders>
                  <w:shd w:val="clear" w:color="auto" w:fill="auto"/>
                  <w:tcMar>
                    <w:top w:w="0" w:type="dxa"/>
                    <w:left w:w="0" w:type="dxa"/>
                    <w:bottom w:w="0" w:type="dxa"/>
                    <w:right w:w="0" w:type="dxa"/>
                  </w:tcMar>
                  <w:vAlign w:val="center"/>
                </w:tcPr>
                <w:p w14:paraId="4C60FF28">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56.3</w:t>
                  </w:r>
                </w:p>
              </w:tc>
              <w:tc>
                <w:tcPr>
                  <w:tcW w:w="219" w:type="pct"/>
                  <w:tcBorders>
                    <w:tl2br w:val="nil"/>
                    <w:tr2bl w:val="nil"/>
                  </w:tcBorders>
                  <w:shd w:val="clear" w:color="auto" w:fill="auto"/>
                  <w:tcMar>
                    <w:top w:w="0" w:type="dxa"/>
                    <w:left w:w="0" w:type="dxa"/>
                    <w:bottom w:w="0" w:type="dxa"/>
                    <w:right w:w="0" w:type="dxa"/>
                  </w:tcMar>
                  <w:vAlign w:val="center"/>
                </w:tcPr>
                <w:p w14:paraId="255C6E8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52.5</w:t>
                  </w:r>
                </w:p>
              </w:tc>
              <w:tc>
                <w:tcPr>
                  <w:tcW w:w="206" w:type="pct"/>
                  <w:tcBorders>
                    <w:tl2br w:val="nil"/>
                    <w:tr2bl w:val="nil"/>
                  </w:tcBorders>
                  <w:shd w:val="clear" w:color="auto" w:fill="auto"/>
                  <w:tcMar>
                    <w:top w:w="0" w:type="dxa"/>
                    <w:left w:w="0" w:type="dxa"/>
                    <w:bottom w:w="0" w:type="dxa"/>
                    <w:right w:w="0" w:type="dxa"/>
                  </w:tcMar>
                  <w:vAlign w:val="center"/>
                </w:tcPr>
                <w:p w14:paraId="2B85EA9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57.5</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6DAC89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308" w:type="pct"/>
                  <w:tcBorders>
                    <w:tl2br w:val="nil"/>
                    <w:tr2bl w:val="nil"/>
                  </w:tcBorders>
                  <w:shd w:val="clear" w:color="auto" w:fill="auto"/>
                  <w:tcMar>
                    <w:top w:w="0" w:type="dxa"/>
                    <w:left w:w="0" w:type="dxa"/>
                    <w:bottom w:w="0" w:type="dxa"/>
                    <w:right w:w="0" w:type="dxa"/>
                  </w:tcMar>
                  <w:vAlign w:val="center"/>
                </w:tcPr>
                <w:p w14:paraId="08EA8A9C">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053DC7B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33.7</w:t>
                  </w:r>
                </w:p>
              </w:tc>
              <w:tc>
                <w:tcPr>
                  <w:tcW w:w="201" w:type="pct"/>
                  <w:tcBorders>
                    <w:tl2br w:val="nil"/>
                    <w:tr2bl w:val="nil"/>
                  </w:tcBorders>
                  <w:shd w:val="clear" w:color="auto" w:fill="auto"/>
                  <w:tcMar>
                    <w:top w:w="0" w:type="dxa"/>
                    <w:left w:w="0" w:type="dxa"/>
                    <w:bottom w:w="0" w:type="dxa"/>
                    <w:right w:w="0" w:type="dxa"/>
                  </w:tcMar>
                  <w:vAlign w:val="center"/>
                </w:tcPr>
                <w:p w14:paraId="5AB35E9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36.3</w:t>
                  </w:r>
                </w:p>
              </w:tc>
              <w:tc>
                <w:tcPr>
                  <w:tcW w:w="201" w:type="pct"/>
                  <w:tcBorders>
                    <w:tl2br w:val="nil"/>
                    <w:tr2bl w:val="nil"/>
                  </w:tcBorders>
                  <w:shd w:val="clear" w:color="auto" w:fill="auto"/>
                  <w:tcMar>
                    <w:top w:w="0" w:type="dxa"/>
                    <w:left w:w="0" w:type="dxa"/>
                    <w:bottom w:w="0" w:type="dxa"/>
                    <w:right w:w="0" w:type="dxa"/>
                  </w:tcMar>
                  <w:vAlign w:val="center"/>
                </w:tcPr>
                <w:p w14:paraId="2E83B0F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32.5</w:t>
                  </w:r>
                </w:p>
              </w:tc>
              <w:tc>
                <w:tcPr>
                  <w:tcW w:w="215" w:type="pct"/>
                  <w:tcBorders>
                    <w:tl2br w:val="nil"/>
                    <w:tr2bl w:val="nil"/>
                  </w:tcBorders>
                  <w:shd w:val="clear" w:color="auto" w:fill="auto"/>
                  <w:tcMar>
                    <w:top w:w="0" w:type="dxa"/>
                    <w:left w:w="0" w:type="dxa"/>
                    <w:bottom w:w="0" w:type="dxa"/>
                    <w:right w:w="0" w:type="dxa"/>
                  </w:tcMar>
                  <w:vAlign w:val="center"/>
                </w:tcPr>
                <w:p w14:paraId="67812415">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37.5</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3B41E98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p>
              </w:tc>
            </w:tr>
            <w:tr w14:paraId="056722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43C380A0">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6</w:t>
                  </w:r>
                </w:p>
              </w:tc>
              <w:tc>
                <w:tcPr>
                  <w:tcW w:w="152" w:type="pct"/>
                  <w:vMerge w:val="continue"/>
                  <w:tcBorders>
                    <w:tl2br w:val="nil"/>
                    <w:tr2bl w:val="nil"/>
                  </w:tcBorders>
                  <w:shd w:val="clear" w:color="auto" w:fill="auto"/>
                  <w:tcMar>
                    <w:top w:w="0" w:type="dxa"/>
                    <w:left w:w="0" w:type="dxa"/>
                    <w:bottom w:w="0" w:type="dxa"/>
                    <w:right w:w="0" w:type="dxa"/>
                  </w:tcMar>
                  <w:vAlign w:val="center"/>
                </w:tcPr>
                <w:p w14:paraId="54C9FA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284" w:type="pct"/>
                  <w:tcBorders>
                    <w:tl2br w:val="nil"/>
                    <w:tr2bl w:val="nil"/>
                  </w:tcBorders>
                  <w:shd w:val="clear" w:color="auto" w:fill="auto"/>
                  <w:tcMar>
                    <w:top w:w="0" w:type="dxa"/>
                    <w:left w:w="0" w:type="dxa"/>
                    <w:bottom w:w="0" w:type="dxa"/>
                    <w:right w:w="0" w:type="dxa"/>
                  </w:tcMar>
                  <w:vAlign w:val="center"/>
                </w:tcPr>
                <w:p w14:paraId="62127D2F">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加工中心</w:t>
                  </w:r>
                </w:p>
              </w:tc>
              <w:tc>
                <w:tcPr>
                  <w:tcW w:w="228" w:type="pct"/>
                  <w:tcBorders>
                    <w:tl2br w:val="nil"/>
                    <w:tr2bl w:val="nil"/>
                  </w:tcBorders>
                  <w:shd w:val="clear" w:color="auto" w:fill="auto"/>
                  <w:tcMar>
                    <w:top w:w="0" w:type="dxa"/>
                    <w:left w:w="0" w:type="dxa"/>
                    <w:bottom w:w="0" w:type="dxa"/>
                    <w:right w:w="0" w:type="dxa"/>
                  </w:tcMar>
                  <w:vAlign w:val="center"/>
                </w:tcPr>
                <w:p w14:paraId="2DB35CE2">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eastAsia="仿宋" w:cs="Times New Roman"/>
                      <w:i w:val="0"/>
                      <w:iCs w:val="0"/>
                      <w:color w:val="auto"/>
                      <w:kern w:val="0"/>
                      <w:sz w:val="21"/>
                      <w:szCs w:val="21"/>
                      <w:highlight w:val="none"/>
                      <w:u w:val="none"/>
                      <w:lang w:val="en-US" w:eastAsia="zh-CN" w:bidi="ar"/>
                    </w:rPr>
                    <w:t>10</w:t>
                  </w:r>
                </w:p>
              </w:tc>
              <w:tc>
                <w:tcPr>
                  <w:tcW w:w="318" w:type="pct"/>
                  <w:tcBorders>
                    <w:tl2br w:val="nil"/>
                    <w:tr2bl w:val="nil"/>
                  </w:tcBorders>
                  <w:shd w:val="clear" w:color="auto" w:fill="auto"/>
                  <w:tcMar>
                    <w:top w:w="0" w:type="dxa"/>
                    <w:left w:w="0" w:type="dxa"/>
                    <w:bottom w:w="0" w:type="dxa"/>
                    <w:right w:w="0" w:type="dxa"/>
                  </w:tcMar>
                  <w:vAlign w:val="center"/>
                </w:tcPr>
                <w:p w14:paraId="27597B18">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w:t>
                  </w:r>
                  <w:r>
                    <w:rPr>
                      <w:rFonts w:hint="eastAsia"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（叠加后</w:t>
                  </w:r>
                  <w:r>
                    <w:rPr>
                      <w:rFonts w:hint="eastAsia" w:eastAsia="仿宋" w:cs="Times New Roman"/>
                      <w:color w:val="auto"/>
                      <w:kern w:val="2"/>
                      <w:sz w:val="21"/>
                      <w:szCs w:val="21"/>
                      <w:highlight w:val="none"/>
                      <w:lang w:val="en-US" w:eastAsia="zh-CN" w:bidi="ar-SA"/>
                    </w:rPr>
                    <w:t>85</w:t>
                  </w:r>
                  <w:r>
                    <w:rPr>
                      <w:rFonts w:hint="default" w:ascii="Times New Roman" w:hAnsi="Times New Roman" w:eastAsia="仿宋" w:cs="Times New Roman"/>
                      <w:color w:val="auto"/>
                      <w:kern w:val="2"/>
                      <w:sz w:val="21"/>
                      <w:szCs w:val="21"/>
                      <w:highlight w:val="none"/>
                      <w:lang w:val="en-US" w:eastAsia="zh-CN" w:bidi="ar-SA"/>
                    </w:rPr>
                    <w:t>）</w:t>
                  </w:r>
                </w:p>
              </w:tc>
              <w:tc>
                <w:tcPr>
                  <w:tcW w:w="240" w:type="pct"/>
                  <w:tcBorders>
                    <w:tl2br w:val="nil"/>
                    <w:tr2bl w:val="nil"/>
                  </w:tcBorders>
                  <w:shd w:val="clear" w:color="auto" w:fill="auto"/>
                  <w:tcMar>
                    <w:top w:w="0" w:type="dxa"/>
                    <w:left w:w="0" w:type="dxa"/>
                    <w:bottom w:w="0" w:type="dxa"/>
                    <w:right w:w="0" w:type="dxa"/>
                  </w:tcMar>
                  <w:vAlign w:val="center"/>
                </w:tcPr>
                <w:p w14:paraId="050AD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53D81B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p>
              </w:tc>
              <w:tc>
                <w:tcPr>
                  <w:tcW w:w="136" w:type="pct"/>
                  <w:tcBorders>
                    <w:tl2br w:val="nil"/>
                    <w:tr2bl w:val="nil"/>
                  </w:tcBorders>
                  <w:shd w:val="clear" w:color="auto" w:fill="auto"/>
                  <w:tcMar>
                    <w:top w:w="0" w:type="dxa"/>
                    <w:left w:w="0" w:type="dxa"/>
                    <w:bottom w:w="0" w:type="dxa"/>
                    <w:right w:w="0" w:type="dxa"/>
                  </w:tcMar>
                  <w:vAlign w:val="center"/>
                </w:tcPr>
                <w:p w14:paraId="6826681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45</w:t>
                  </w:r>
                </w:p>
              </w:tc>
              <w:tc>
                <w:tcPr>
                  <w:tcW w:w="128" w:type="pct"/>
                  <w:tcBorders>
                    <w:tl2br w:val="nil"/>
                    <w:tr2bl w:val="nil"/>
                  </w:tcBorders>
                  <w:shd w:val="clear" w:color="auto" w:fill="auto"/>
                  <w:tcMar>
                    <w:top w:w="0" w:type="dxa"/>
                    <w:left w:w="0" w:type="dxa"/>
                    <w:bottom w:w="0" w:type="dxa"/>
                    <w:right w:w="0" w:type="dxa"/>
                  </w:tcMar>
                  <w:vAlign w:val="center"/>
                </w:tcPr>
                <w:p w14:paraId="1E99430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-7</w:t>
                  </w:r>
                </w:p>
              </w:tc>
              <w:tc>
                <w:tcPr>
                  <w:tcW w:w="140" w:type="pct"/>
                  <w:tcBorders>
                    <w:tl2br w:val="nil"/>
                    <w:tr2bl w:val="nil"/>
                  </w:tcBorders>
                  <w:shd w:val="clear" w:color="auto" w:fill="auto"/>
                  <w:tcMar>
                    <w:top w:w="0" w:type="dxa"/>
                    <w:left w:w="0" w:type="dxa"/>
                    <w:bottom w:w="0" w:type="dxa"/>
                    <w:right w:w="0" w:type="dxa"/>
                  </w:tcMar>
                  <w:vAlign w:val="center"/>
                </w:tcPr>
                <w:p w14:paraId="1503696E">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61624F5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44</w:t>
                  </w:r>
                </w:p>
              </w:tc>
              <w:tc>
                <w:tcPr>
                  <w:tcW w:w="149" w:type="pct"/>
                  <w:tcBorders>
                    <w:tl2br w:val="nil"/>
                    <w:tr2bl w:val="nil"/>
                  </w:tcBorders>
                  <w:shd w:val="clear" w:color="auto" w:fill="auto"/>
                  <w:tcMar>
                    <w:top w:w="0" w:type="dxa"/>
                    <w:left w:w="0" w:type="dxa"/>
                    <w:bottom w:w="0" w:type="dxa"/>
                    <w:right w:w="0" w:type="dxa"/>
                  </w:tcMar>
                  <w:vAlign w:val="center"/>
                </w:tcPr>
                <w:p w14:paraId="4E4717F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22</w:t>
                  </w:r>
                </w:p>
              </w:tc>
              <w:tc>
                <w:tcPr>
                  <w:tcW w:w="153" w:type="pct"/>
                  <w:tcBorders>
                    <w:tl2br w:val="nil"/>
                    <w:tr2bl w:val="nil"/>
                  </w:tcBorders>
                  <w:shd w:val="clear" w:color="auto" w:fill="auto"/>
                  <w:tcMar>
                    <w:top w:w="0" w:type="dxa"/>
                    <w:left w:w="0" w:type="dxa"/>
                    <w:bottom w:w="0" w:type="dxa"/>
                    <w:right w:w="0" w:type="dxa"/>
                  </w:tcMar>
                  <w:vAlign w:val="center"/>
                </w:tcPr>
                <w:p w14:paraId="649CE58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35</w:t>
                  </w:r>
                </w:p>
              </w:tc>
              <w:tc>
                <w:tcPr>
                  <w:tcW w:w="149" w:type="pct"/>
                  <w:tcBorders>
                    <w:tl2br w:val="nil"/>
                    <w:tr2bl w:val="nil"/>
                  </w:tcBorders>
                  <w:shd w:val="clear" w:color="auto" w:fill="auto"/>
                  <w:tcMar>
                    <w:top w:w="0" w:type="dxa"/>
                    <w:left w:w="0" w:type="dxa"/>
                    <w:bottom w:w="0" w:type="dxa"/>
                    <w:right w:w="0" w:type="dxa"/>
                  </w:tcMar>
                  <w:vAlign w:val="center"/>
                </w:tcPr>
                <w:p w14:paraId="7D747FD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29</w:t>
                  </w:r>
                </w:p>
              </w:tc>
              <w:tc>
                <w:tcPr>
                  <w:tcW w:w="194" w:type="pct"/>
                  <w:tcBorders>
                    <w:tl2br w:val="nil"/>
                    <w:tr2bl w:val="nil"/>
                  </w:tcBorders>
                  <w:shd w:val="clear" w:color="auto" w:fill="auto"/>
                  <w:tcMar>
                    <w:top w:w="0" w:type="dxa"/>
                    <w:left w:w="0" w:type="dxa"/>
                    <w:bottom w:w="0" w:type="dxa"/>
                    <w:right w:w="0" w:type="dxa"/>
                  </w:tcMar>
                  <w:vAlign w:val="center"/>
                </w:tcPr>
                <w:p w14:paraId="2CCBD55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52.1</w:t>
                  </w:r>
                </w:p>
              </w:tc>
              <w:tc>
                <w:tcPr>
                  <w:tcW w:w="198" w:type="pct"/>
                  <w:tcBorders>
                    <w:tl2br w:val="nil"/>
                    <w:tr2bl w:val="nil"/>
                  </w:tcBorders>
                  <w:shd w:val="clear" w:color="auto" w:fill="auto"/>
                  <w:tcMar>
                    <w:top w:w="0" w:type="dxa"/>
                    <w:left w:w="0" w:type="dxa"/>
                    <w:bottom w:w="0" w:type="dxa"/>
                    <w:right w:w="0" w:type="dxa"/>
                  </w:tcMar>
                  <w:vAlign w:val="center"/>
                </w:tcPr>
                <w:p w14:paraId="119A067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58.0</w:t>
                  </w:r>
                </w:p>
              </w:tc>
              <w:tc>
                <w:tcPr>
                  <w:tcW w:w="219" w:type="pct"/>
                  <w:tcBorders>
                    <w:tl2br w:val="nil"/>
                    <w:tr2bl w:val="nil"/>
                  </w:tcBorders>
                  <w:shd w:val="clear" w:color="auto" w:fill="auto"/>
                  <w:tcMar>
                    <w:top w:w="0" w:type="dxa"/>
                    <w:left w:w="0" w:type="dxa"/>
                    <w:bottom w:w="0" w:type="dxa"/>
                    <w:right w:w="0" w:type="dxa"/>
                  </w:tcMar>
                  <w:vAlign w:val="center"/>
                </w:tcPr>
                <w:p w14:paraId="6B7F1599">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54.2</w:t>
                  </w:r>
                </w:p>
              </w:tc>
              <w:tc>
                <w:tcPr>
                  <w:tcW w:w="206" w:type="pct"/>
                  <w:tcBorders>
                    <w:tl2br w:val="nil"/>
                    <w:tr2bl w:val="nil"/>
                  </w:tcBorders>
                  <w:shd w:val="clear" w:color="auto" w:fill="auto"/>
                  <w:tcMar>
                    <w:top w:w="0" w:type="dxa"/>
                    <w:left w:w="0" w:type="dxa"/>
                    <w:bottom w:w="0" w:type="dxa"/>
                    <w:right w:w="0" w:type="dxa"/>
                  </w:tcMar>
                  <w:vAlign w:val="center"/>
                </w:tcPr>
                <w:p w14:paraId="12A0D8CE">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55.8</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046362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308" w:type="pct"/>
                  <w:tcBorders>
                    <w:tl2br w:val="nil"/>
                    <w:tr2bl w:val="nil"/>
                  </w:tcBorders>
                  <w:shd w:val="clear" w:color="auto" w:fill="auto"/>
                  <w:tcMar>
                    <w:top w:w="0" w:type="dxa"/>
                    <w:left w:w="0" w:type="dxa"/>
                    <w:bottom w:w="0" w:type="dxa"/>
                    <w:right w:w="0" w:type="dxa"/>
                  </w:tcMar>
                  <w:vAlign w:val="center"/>
                </w:tcPr>
                <w:p w14:paraId="6A5515B5">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18F0367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32.1</w:t>
                  </w:r>
                </w:p>
              </w:tc>
              <w:tc>
                <w:tcPr>
                  <w:tcW w:w="201" w:type="pct"/>
                  <w:tcBorders>
                    <w:tl2br w:val="nil"/>
                    <w:tr2bl w:val="nil"/>
                  </w:tcBorders>
                  <w:shd w:val="clear" w:color="auto" w:fill="auto"/>
                  <w:tcMar>
                    <w:top w:w="0" w:type="dxa"/>
                    <w:left w:w="0" w:type="dxa"/>
                    <w:bottom w:w="0" w:type="dxa"/>
                    <w:right w:w="0" w:type="dxa"/>
                  </w:tcMar>
                  <w:vAlign w:val="center"/>
                </w:tcPr>
                <w:p w14:paraId="1913AC15">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38.0</w:t>
                  </w:r>
                </w:p>
              </w:tc>
              <w:tc>
                <w:tcPr>
                  <w:tcW w:w="201" w:type="pct"/>
                  <w:tcBorders>
                    <w:tl2br w:val="nil"/>
                    <w:tr2bl w:val="nil"/>
                  </w:tcBorders>
                  <w:shd w:val="clear" w:color="auto" w:fill="auto"/>
                  <w:tcMar>
                    <w:top w:w="0" w:type="dxa"/>
                    <w:left w:w="0" w:type="dxa"/>
                    <w:bottom w:w="0" w:type="dxa"/>
                    <w:right w:w="0" w:type="dxa"/>
                  </w:tcMar>
                  <w:vAlign w:val="center"/>
                </w:tcPr>
                <w:p w14:paraId="19F8A84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34.2</w:t>
                  </w:r>
                </w:p>
              </w:tc>
              <w:tc>
                <w:tcPr>
                  <w:tcW w:w="215" w:type="pct"/>
                  <w:tcBorders>
                    <w:tl2br w:val="nil"/>
                    <w:tr2bl w:val="nil"/>
                  </w:tcBorders>
                  <w:shd w:val="clear" w:color="auto" w:fill="auto"/>
                  <w:tcMar>
                    <w:top w:w="0" w:type="dxa"/>
                    <w:left w:w="0" w:type="dxa"/>
                    <w:bottom w:w="0" w:type="dxa"/>
                    <w:right w:w="0" w:type="dxa"/>
                  </w:tcMar>
                  <w:vAlign w:val="center"/>
                </w:tcPr>
                <w:p w14:paraId="55090AFD">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35.8</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36AFAB4A">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p>
              </w:tc>
            </w:tr>
            <w:tr w14:paraId="66F664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6DA82AA4">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7</w:t>
                  </w:r>
                </w:p>
              </w:tc>
              <w:tc>
                <w:tcPr>
                  <w:tcW w:w="152" w:type="pct"/>
                  <w:vMerge w:val="continue"/>
                  <w:tcBorders>
                    <w:tl2br w:val="nil"/>
                    <w:tr2bl w:val="nil"/>
                  </w:tcBorders>
                  <w:shd w:val="clear" w:color="auto" w:fill="auto"/>
                  <w:tcMar>
                    <w:top w:w="0" w:type="dxa"/>
                    <w:left w:w="0" w:type="dxa"/>
                    <w:bottom w:w="0" w:type="dxa"/>
                    <w:right w:w="0" w:type="dxa"/>
                  </w:tcMar>
                  <w:vAlign w:val="center"/>
                </w:tcPr>
                <w:p w14:paraId="6A00D7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284" w:type="pct"/>
                  <w:tcBorders>
                    <w:tl2br w:val="nil"/>
                    <w:tr2bl w:val="nil"/>
                  </w:tcBorders>
                  <w:shd w:val="clear" w:color="auto" w:fill="auto"/>
                  <w:tcMar>
                    <w:top w:w="0" w:type="dxa"/>
                    <w:left w:w="0" w:type="dxa"/>
                    <w:bottom w:w="0" w:type="dxa"/>
                    <w:right w:w="0" w:type="dxa"/>
                  </w:tcMar>
                  <w:vAlign w:val="center"/>
                </w:tcPr>
                <w:p w14:paraId="1E8D2D79">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加工中心</w:t>
                  </w:r>
                </w:p>
              </w:tc>
              <w:tc>
                <w:tcPr>
                  <w:tcW w:w="228" w:type="pct"/>
                  <w:tcBorders>
                    <w:tl2br w:val="nil"/>
                    <w:tr2bl w:val="nil"/>
                  </w:tcBorders>
                  <w:shd w:val="clear" w:color="auto" w:fill="auto"/>
                  <w:tcMar>
                    <w:top w:w="0" w:type="dxa"/>
                    <w:left w:w="0" w:type="dxa"/>
                    <w:bottom w:w="0" w:type="dxa"/>
                    <w:right w:w="0" w:type="dxa"/>
                  </w:tcMar>
                  <w:vAlign w:val="center"/>
                </w:tcPr>
                <w:p w14:paraId="570B04F0">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eastAsia="仿宋" w:cs="Times New Roman"/>
                      <w:i w:val="0"/>
                      <w:iCs w:val="0"/>
                      <w:color w:val="auto"/>
                      <w:kern w:val="0"/>
                      <w:sz w:val="21"/>
                      <w:szCs w:val="21"/>
                      <w:highlight w:val="none"/>
                      <w:u w:val="none"/>
                      <w:lang w:val="en-US" w:eastAsia="zh-CN" w:bidi="ar"/>
                    </w:rPr>
                    <w:t>10</w:t>
                  </w:r>
                </w:p>
              </w:tc>
              <w:tc>
                <w:tcPr>
                  <w:tcW w:w="318" w:type="pct"/>
                  <w:tcBorders>
                    <w:tl2br w:val="nil"/>
                    <w:tr2bl w:val="nil"/>
                  </w:tcBorders>
                  <w:shd w:val="clear" w:color="auto" w:fill="auto"/>
                  <w:tcMar>
                    <w:top w:w="0" w:type="dxa"/>
                    <w:left w:w="0" w:type="dxa"/>
                    <w:bottom w:w="0" w:type="dxa"/>
                    <w:right w:w="0" w:type="dxa"/>
                  </w:tcMar>
                  <w:vAlign w:val="center"/>
                </w:tcPr>
                <w:p w14:paraId="0FAE1B49">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w:t>
                  </w:r>
                  <w:r>
                    <w:rPr>
                      <w:rFonts w:hint="eastAsia"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（叠加后</w:t>
                  </w:r>
                  <w:r>
                    <w:rPr>
                      <w:rFonts w:hint="eastAsia" w:eastAsia="仿宋" w:cs="Times New Roman"/>
                      <w:color w:val="auto"/>
                      <w:kern w:val="2"/>
                      <w:sz w:val="21"/>
                      <w:szCs w:val="21"/>
                      <w:highlight w:val="none"/>
                      <w:lang w:val="en-US" w:eastAsia="zh-CN" w:bidi="ar-SA"/>
                    </w:rPr>
                    <w:t>85</w:t>
                  </w:r>
                  <w:r>
                    <w:rPr>
                      <w:rFonts w:hint="default" w:ascii="Times New Roman" w:hAnsi="Times New Roman" w:eastAsia="仿宋" w:cs="Times New Roman"/>
                      <w:color w:val="auto"/>
                      <w:kern w:val="2"/>
                      <w:sz w:val="21"/>
                      <w:szCs w:val="21"/>
                      <w:highlight w:val="none"/>
                      <w:lang w:val="en-US" w:eastAsia="zh-CN" w:bidi="ar-SA"/>
                    </w:rPr>
                    <w:t>）</w:t>
                  </w:r>
                </w:p>
              </w:tc>
              <w:tc>
                <w:tcPr>
                  <w:tcW w:w="240" w:type="pct"/>
                  <w:tcBorders>
                    <w:tl2br w:val="nil"/>
                    <w:tr2bl w:val="nil"/>
                  </w:tcBorders>
                  <w:shd w:val="clear" w:color="auto" w:fill="auto"/>
                  <w:tcMar>
                    <w:top w:w="0" w:type="dxa"/>
                    <w:left w:w="0" w:type="dxa"/>
                    <w:bottom w:w="0" w:type="dxa"/>
                    <w:right w:w="0" w:type="dxa"/>
                  </w:tcMar>
                  <w:vAlign w:val="center"/>
                </w:tcPr>
                <w:p w14:paraId="37275D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27C15A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p>
              </w:tc>
              <w:tc>
                <w:tcPr>
                  <w:tcW w:w="136" w:type="pct"/>
                  <w:tcBorders>
                    <w:tl2br w:val="nil"/>
                    <w:tr2bl w:val="nil"/>
                  </w:tcBorders>
                  <w:shd w:val="clear" w:color="auto" w:fill="auto"/>
                  <w:tcMar>
                    <w:top w:w="0" w:type="dxa"/>
                    <w:left w:w="0" w:type="dxa"/>
                    <w:bottom w:w="0" w:type="dxa"/>
                    <w:right w:w="0" w:type="dxa"/>
                  </w:tcMar>
                  <w:vAlign w:val="center"/>
                </w:tcPr>
                <w:p w14:paraId="3968A42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42</w:t>
                  </w:r>
                </w:p>
              </w:tc>
              <w:tc>
                <w:tcPr>
                  <w:tcW w:w="128" w:type="pct"/>
                  <w:tcBorders>
                    <w:tl2br w:val="nil"/>
                    <w:tr2bl w:val="nil"/>
                  </w:tcBorders>
                  <w:shd w:val="clear" w:color="auto" w:fill="auto"/>
                  <w:tcMar>
                    <w:top w:w="0" w:type="dxa"/>
                    <w:left w:w="0" w:type="dxa"/>
                    <w:bottom w:w="0" w:type="dxa"/>
                    <w:right w:w="0" w:type="dxa"/>
                  </w:tcMar>
                  <w:vAlign w:val="center"/>
                </w:tcPr>
                <w:p w14:paraId="1D75DB2E">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-10</w:t>
                  </w:r>
                </w:p>
              </w:tc>
              <w:tc>
                <w:tcPr>
                  <w:tcW w:w="140" w:type="pct"/>
                  <w:tcBorders>
                    <w:tl2br w:val="nil"/>
                    <w:tr2bl w:val="nil"/>
                  </w:tcBorders>
                  <w:shd w:val="clear" w:color="auto" w:fill="auto"/>
                  <w:tcMar>
                    <w:top w:w="0" w:type="dxa"/>
                    <w:left w:w="0" w:type="dxa"/>
                    <w:bottom w:w="0" w:type="dxa"/>
                    <w:right w:w="0" w:type="dxa"/>
                  </w:tcMar>
                  <w:vAlign w:val="center"/>
                </w:tcPr>
                <w:p w14:paraId="2EF2151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6A88C44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47</w:t>
                  </w:r>
                </w:p>
              </w:tc>
              <w:tc>
                <w:tcPr>
                  <w:tcW w:w="149" w:type="pct"/>
                  <w:tcBorders>
                    <w:tl2br w:val="nil"/>
                    <w:tr2bl w:val="nil"/>
                  </w:tcBorders>
                  <w:shd w:val="clear" w:color="auto" w:fill="auto"/>
                  <w:tcMar>
                    <w:top w:w="0" w:type="dxa"/>
                    <w:left w:w="0" w:type="dxa"/>
                    <w:bottom w:w="0" w:type="dxa"/>
                    <w:right w:w="0" w:type="dxa"/>
                  </w:tcMar>
                  <w:vAlign w:val="center"/>
                </w:tcPr>
                <w:p w14:paraId="3CFE5BD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18</w:t>
                  </w:r>
                </w:p>
              </w:tc>
              <w:tc>
                <w:tcPr>
                  <w:tcW w:w="153" w:type="pct"/>
                  <w:tcBorders>
                    <w:tl2br w:val="nil"/>
                    <w:tr2bl w:val="nil"/>
                  </w:tcBorders>
                  <w:shd w:val="clear" w:color="auto" w:fill="auto"/>
                  <w:tcMar>
                    <w:top w:w="0" w:type="dxa"/>
                    <w:left w:w="0" w:type="dxa"/>
                    <w:bottom w:w="0" w:type="dxa"/>
                    <w:right w:w="0" w:type="dxa"/>
                  </w:tcMar>
                  <w:vAlign w:val="center"/>
                </w:tcPr>
                <w:p w14:paraId="7C79602D">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27</w:t>
                  </w:r>
                </w:p>
              </w:tc>
              <w:tc>
                <w:tcPr>
                  <w:tcW w:w="149" w:type="pct"/>
                  <w:tcBorders>
                    <w:tl2br w:val="nil"/>
                    <w:tr2bl w:val="nil"/>
                  </w:tcBorders>
                  <w:shd w:val="clear" w:color="auto" w:fill="auto"/>
                  <w:tcMar>
                    <w:top w:w="0" w:type="dxa"/>
                    <w:left w:w="0" w:type="dxa"/>
                    <w:bottom w:w="0" w:type="dxa"/>
                    <w:right w:w="0" w:type="dxa"/>
                  </w:tcMar>
                  <w:vAlign w:val="center"/>
                </w:tcPr>
                <w:p w14:paraId="680A47B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34</w:t>
                  </w:r>
                </w:p>
              </w:tc>
              <w:tc>
                <w:tcPr>
                  <w:tcW w:w="194" w:type="pct"/>
                  <w:tcBorders>
                    <w:tl2br w:val="nil"/>
                    <w:tr2bl w:val="nil"/>
                  </w:tcBorders>
                  <w:shd w:val="clear" w:color="auto" w:fill="auto"/>
                  <w:tcMar>
                    <w:top w:w="0" w:type="dxa"/>
                    <w:left w:w="0" w:type="dxa"/>
                    <w:bottom w:w="0" w:type="dxa"/>
                    <w:right w:w="0" w:type="dxa"/>
                  </w:tcMar>
                  <w:vAlign w:val="center"/>
                </w:tcPr>
                <w:p w14:paraId="571DA64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51.5</w:t>
                  </w:r>
                </w:p>
              </w:tc>
              <w:tc>
                <w:tcPr>
                  <w:tcW w:w="198" w:type="pct"/>
                  <w:tcBorders>
                    <w:tl2br w:val="nil"/>
                    <w:tr2bl w:val="nil"/>
                  </w:tcBorders>
                  <w:shd w:val="clear" w:color="auto" w:fill="auto"/>
                  <w:tcMar>
                    <w:top w:w="0" w:type="dxa"/>
                    <w:left w:w="0" w:type="dxa"/>
                    <w:bottom w:w="0" w:type="dxa"/>
                    <w:right w:w="0" w:type="dxa"/>
                  </w:tcMar>
                  <w:vAlign w:val="center"/>
                </w:tcPr>
                <w:p w14:paraId="2B1F859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60.1</w:t>
                  </w:r>
                </w:p>
              </w:tc>
              <w:tc>
                <w:tcPr>
                  <w:tcW w:w="219" w:type="pct"/>
                  <w:tcBorders>
                    <w:tl2br w:val="nil"/>
                    <w:tr2bl w:val="nil"/>
                  </w:tcBorders>
                  <w:shd w:val="clear" w:color="auto" w:fill="auto"/>
                  <w:tcMar>
                    <w:top w:w="0" w:type="dxa"/>
                    <w:left w:w="0" w:type="dxa"/>
                    <w:bottom w:w="0" w:type="dxa"/>
                    <w:right w:w="0" w:type="dxa"/>
                  </w:tcMar>
                  <w:vAlign w:val="center"/>
                </w:tcPr>
                <w:p w14:paraId="60C3986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56.3</w:t>
                  </w:r>
                </w:p>
              </w:tc>
              <w:tc>
                <w:tcPr>
                  <w:tcW w:w="206" w:type="pct"/>
                  <w:tcBorders>
                    <w:tl2br w:val="nil"/>
                    <w:tr2bl w:val="nil"/>
                  </w:tcBorders>
                  <w:shd w:val="clear" w:color="auto" w:fill="auto"/>
                  <w:tcMar>
                    <w:top w:w="0" w:type="dxa"/>
                    <w:left w:w="0" w:type="dxa"/>
                    <w:bottom w:w="0" w:type="dxa"/>
                    <w:right w:w="0" w:type="dxa"/>
                  </w:tcMar>
                  <w:vAlign w:val="center"/>
                </w:tcPr>
                <w:p w14:paraId="7437F6D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54.5</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6CD71C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308" w:type="pct"/>
                  <w:tcBorders>
                    <w:tl2br w:val="nil"/>
                    <w:tr2bl w:val="nil"/>
                  </w:tcBorders>
                  <w:shd w:val="clear" w:color="auto" w:fill="auto"/>
                  <w:tcMar>
                    <w:top w:w="0" w:type="dxa"/>
                    <w:left w:w="0" w:type="dxa"/>
                    <w:bottom w:w="0" w:type="dxa"/>
                    <w:right w:w="0" w:type="dxa"/>
                  </w:tcMar>
                  <w:vAlign w:val="center"/>
                </w:tcPr>
                <w:p w14:paraId="189916F2">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7910359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31.5</w:t>
                  </w:r>
                </w:p>
              </w:tc>
              <w:tc>
                <w:tcPr>
                  <w:tcW w:w="201" w:type="pct"/>
                  <w:tcBorders>
                    <w:tl2br w:val="nil"/>
                    <w:tr2bl w:val="nil"/>
                  </w:tcBorders>
                  <w:shd w:val="clear" w:color="auto" w:fill="auto"/>
                  <w:tcMar>
                    <w:top w:w="0" w:type="dxa"/>
                    <w:left w:w="0" w:type="dxa"/>
                    <w:bottom w:w="0" w:type="dxa"/>
                    <w:right w:w="0" w:type="dxa"/>
                  </w:tcMar>
                  <w:vAlign w:val="center"/>
                </w:tcPr>
                <w:p w14:paraId="3C57D49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40.1</w:t>
                  </w:r>
                </w:p>
              </w:tc>
              <w:tc>
                <w:tcPr>
                  <w:tcW w:w="201" w:type="pct"/>
                  <w:tcBorders>
                    <w:tl2br w:val="nil"/>
                    <w:tr2bl w:val="nil"/>
                  </w:tcBorders>
                  <w:shd w:val="clear" w:color="auto" w:fill="auto"/>
                  <w:tcMar>
                    <w:top w:w="0" w:type="dxa"/>
                    <w:left w:w="0" w:type="dxa"/>
                    <w:bottom w:w="0" w:type="dxa"/>
                    <w:right w:w="0" w:type="dxa"/>
                  </w:tcMar>
                  <w:vAlign w:val="center"/>
                </w:tcPr>
                <w:p w14:paraId="48BB87F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36.3</w:t>
                  </w:r>
                </w:p>
              </w:tc>
              <w:tc>
                <w:tcPr>
                  <w:tcW w:w="215" w:type="pct"/>
                  <w:tcBorders>
                    <w:tl2br w:val="nil"/>
                    <w:tr2bl w:val="nil"/>
                  </w:tcBorders>
                  <w:shd w:val="clear" w:color="auto" w:fill="auto"/>
                  <w:tcMar>
                    <w:top w:w="0" w:type="dxa"/>
                    <w:left w:w="0" w:type="dxa"/>
                    <w:bottom w:w="0" w:type="dxa"/>
                    <w:right w:w="0" w:type="dxa"/>
                  </w:tcMar>
                  <w:vAlign w:val="center"/>
                </w:tcPr>
                <w:p w14:paraId="7DC333B9">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34.5</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70A8A5B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p>
              </w:tc>
            </w:tr>
            <w:tr w14:paraId="525EA5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215B52AA">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8</w:t>
                  </w:r>
                </w:p>
              </w:tc>
              <w:tc>
                <w:tcPr>
                  <w:tcW w:w="152" w:type="pct"/>
                  <w:vMerge w:val="continue"/>
                  <w:tcBorders>
                    <w:tl2br w:val="nil"/>
                    <w:tr2bl w:val="nil"/>
                  </w:tcBorders>
                  <w:shd w:val="clear" w:color="auto" w:fill="auto"/>
                  <w:tcMar>
                    <w:top w:w="0" w:type="dxa"/>
                    <w:left w:w="0" w:type="dxa"/>
                    <w:bottom w:w="0" w:type="dxa"/>
                    <w:right w:w="0" w:type="dxa"/>
                  </w:tcMar>
                  <w:vAlign w:val="center"/>
                </w:tcPr>
                <w:p w14:paraId="5F6931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284" w:type="pct"/>
                  <w:tcBorders>
                    <w:tl2br w:val="nil"/>
                    <w:tr2bl w:val="nil"/>
                  </w:tcBorders>
                  <w:shd w:val="clear" w:color="auto" w:fill="auto"/>
                  <w:tcMar>
                    <w:top w:w="0" w:type="dxa"/>
                    <w:left w:w="0" w:type="dxa"/>
                    <w:bottom w:w="0" w:type="dxa"/>
                    <w:right w:w="0" w:type="dxa"/>
                  </w:tcMar>
                  <w:vAlign w:val="center"/>
                </w:tcPr>
                <w:p w14:paraId="6C9FBD60">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加工中心</w:t>
                  </w:r>
                </w:p>
              </w:tc>
              <w:tc>
                <w:tcPr>
                  <w:tcW w:w="228" w:type="pct"/>
                  <w:tcBorders>
                    <w:tl2br w:val="nil"/>
                    <w:tr2bl w:val="nil"/>
                  </w:tcBorders>
                  <w:shd w:val="clear" w:color="auto" w:fill="auto"/>
                  <w:tcMar>
                    <w:top w:w="0" w:type="dxa"/>
                    <w:left w:w="0" w:type="dxa"/>
                    <w:bottom w:w="0" w:type="dxa"/>
                    <w:right w:w="0" w:type="dxa"/>
                  </w:tcMar>
                  <w:vAlign w:val="center"/>
                </w:tcPr>
                <w:p w14:paraId="7EDD9E8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eastAsia="仿宋" w:cs="Times New Roman"/>
                      <w:i w:val="0"/>
                      <w:iCs w:val="0"/>
                      <w:color w:val="auto"/>
                      <w:kern w:val="0"/>
                      <w:sz w:val="21"/>
                      <w:szCs w:val="21"/>
                      <w:highlight w:val="none"/>
                      <w:u w:val="none"/>
                      <w:lang w:val="en-US" w:eastAsia="zh-CN" w:bidi="ar"/>
                    </w:rPr>
                    <w:t>9</w:t>
                  </w:r>
                </w:p>
              </w:tc>
              <w:tc>
                <w:tcPr>
                  <w:tcW w:w="318" w:type="pct"/>
                  <w:tcBorders>
                    <w:tl2br w:val="nil"/>
                    <w:tr2bl w:val="nil"/>
                  </w:tcBorders>
                  <w:shd w:val="clear" w:color="auto" w:fill="auto"/>
                  <w:tcMar>
                    <w:top w:w="0" w:type="dxa"/>
                    <w:left w:w="0" w:type="dxa"/>
                    <w:bottom w:w="0" w:type="dxa"/>
                    <w:right w:w="0" w:type="dxa"/>
                  </w:tcMar>
                  <w:vAlign w:val="center"/>
                </w:tcPr>
                <w:p w14:paraId="7A3D63E9">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w:t>
                  </w:r>
                  <w:r>
                    <w:rPr>
                      <w:rFonts w:hint="eastAsia"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（叠加后</w:t>
                  </w:r>
                  <w:r>
                    <w:rPr>
                      <w:rFonts w:hint="eastAsia" w:eastAsia="仿宋" w:cs="Times New Roman"/>
                      <w:color w:val="auto"/>
                      <w:kern w:val="2"/>
                      <w:sz w:val="21"/>
                      <w:szCs w:val="21"/>
                      <w:highlight w:val="none"/>
                      <w:lang w:val="en-US" w:eastAsia="zh-CN" w:bidi="ar-SA"/>
                    </w:rPr>
                    <w:t>84.6</w:t>
                  </w:r>
                  <w:r>
                    <w:rPr>
                      <w:rFonts w:hint="default" w:ascii="Times New Roman" w:hAnsi="Times New Roman" w:eastAsia="仿宋" w:cs="Times New Roman"/>
                      <w:color w:val="auto"/>
                      <w:kern w:val="2"/>
                      <w:sz w:val="21"/>
                      <w:szCs w:val="21"/>
                      <w:highlight w:val="none"/>
                      <w:lang w:val="en-US" w:eastAsia="zh-CN" w:bidi="ar-SA"/>
                    </w:rPr>
                    <w:t>）</w:t>
                  </w:r>
                </w:p>
              </w:tc>
              <w:tc>
                <w:tcPr>
                  <w:tcW w:w="240" w:type="pct"/>
                  <w:tcBorders>
                    <w:tl2br w:val="nil"/>
                    <w:tr2bl w:val="nil"/>
                  </w:tcBorders>
                  <w:shd w:val="clear" w:color="auto" w:fill="auto"/>
                  <w:tcMar>
                    <w:top w:w="0" w:type="dxa"/>
                    <w:left w:w="0" w:type="dxa"/>
                    <w:bottom w:w="0" w:type="dxa"/>
                    <w:right w:w="0" w:type="dxa"/>
                  </w:tcMar>
                  <w:vAlign w:val="center"/>
                </w:tcPr>
                <w:p w14:paraId="3F1AB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4FD84A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 w:val="0"/>
                      <w:bCs w:val="0"/>
                      <w:color w:val="auto"/>
                      <w:kern w:val="2"/>
                      <w:sz w:val="21"/>
                      <w:szCs w:val="21"/>
                      <w:highlight w:val="none"/>
                      <w:vertAlign w:val="baseline"/>
                      <w:lang w:val="en-US" w:eastAsia="zh-CN" w:bidi="ar-SA"/>
                    </w:rPr>
                  </w:pPr>
                </w:p>
              </w:tc>
              <w:tc>
                <w:tcPr>
                  <w:tcW w:w="136" w:type="pct"/>
                  <w:tcBorders>
                    <w:tl2br w:val="nil"/>
                    <w:tr2bl w:val="nil"/>
                  </w:tcBorders>
                  <w:shd w:val="clear" w:color="auto" w:fill="auto"/>
                  <w:tcMar>
                    <w:top w:w="0" w:type="dxa"/>
                    <w:left w:w="0" w:type="dxa"/>
                    <w:bottom w:w="0" w:type="dxa"/>
                    <w:right w:w="0" w:type="dxa"/>
                  </w:tcMar>
                  <w:vAlign w:val="center"/>
                </w:tcPr>
                <w:p w14:paraId="5AF9B3F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40</w:t>
                  </w:r>
                </w:p>
              </w:tc>
              <w:tc>
                <w:tcPr>
                  <w:tcW w:w="128" w:type="pct"/>
                  <w:tcBorders>
                    <w:tl2br w:val="nil"/>
                    <w:tr2bl w:val="nil"/>
                  </w:tcBorders>
                  <w:shd w:val="clear" w:color="auto" w:fill="auto"/>
                  <w:tcMar>
                    <w:top w:w="0" w:type="dxa"/>
                    <w:left w:w="0" w:type="dxa"/>
                    <w:bottom w:w="0" w:type="dxa"/>
                    <w:right w:w="0" w:type="dxa"/>
                  </w:tcMar>
                  <w:vAlign w:val="center"/>
                </w:tcPr>
                <w:p w14:paraId="2B17D9BF">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-14</w:t>
                  </w:r>
                </w:p>
              </w:tc>
              <w:tc>
                <w:tcPr>
                  <w:tcW w:w="140" w:type="pct"/>
                  <w:tcBorders>
                    <w:tl2br w:val="nil"/>
                    <w:tr2bl w:val="nil"/>
                  </w:tcBorders>
                  <w:shd w:val="clear" w:color="auto" w:fill="auto"/>
                  <w:tcMar>
                    <w:top w:w="0" w:type="dxa"/>
                    <w:left w:w="0" w:type="dxa"/>
                    <w:bottom w:w="0" w:type="dxa"/>
                    <w:right w:w="0" w:type="dxa"/>
                  </w:tcMar>
                  <w:vAlign w:val="center"/>
                </w:tcPr>
                <w:p w14:paraId="1487CE5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07C936BF">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47</w:t>
                  </w:r>
                </w:p>
              </w:tc>
              <w:tc>
                <w:tcPr>
                  <w:tcW w:w="149" w:type="pct"/>
                  <w:tcBorders>
                    <w:tl2br w:val="nil"/>
                    <w:tr2bl w:val="nil"/>
                  </w:tcBorders>
                  <w:shd w:val="clear" w:color="auto" w:fill="auto"/>
                  <w:tcMar>
                    <w:top w:w="0" w:type="dxa"/>
                    <w:left w:w="0" w:type="dxa"/>
                    <w:bottom w:w="0" w:type="dxa"/>
                    <w:right w:w="0" w:type="dxa"/>
                  </w:tcMar>
                  <w:vAlign w:val="center"/>
                </w:tcPr>
                <w:p w14:paraId="36098D6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12</w:t>
                  </w:r>
                </w:p>
              </w:tc>
              <w:tc>
                <w:tcPr>
                  <w:tcW w:w="153" w:type="pct"/>
                  <w:tcBorders>
                    <w:tl2br w:val="nil"/>
                    <w:tr2bl w:val="nil"/>
                  </w:tcBorders>
                  <w:shd w:val="clear" w:color="auto" w:fill="auto"/>
                  <w:tcMar>
                    <w:top w:w="0" w:type="dxa"/>
                    <w:left w:w="0" w:type="dxa"/>
                    <w:bottom w:w="0" w:type="dxa"/>
                    <w:right w:w="0" w:type="dxa"/>
                  </w:tcMar>
                  <w:vAlign w:val="center"/>
                </w:tcPr>
                <w:p w14:paraId="5091FA28">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19</w:t>
                  </w:r>
                </w:p>
              </w:tc>
              <w:tc>
                <w:tcPr>
                  <w:tcW w:w="149" w:type="pct"/>
                  <w:tcBorders>
                    <w:tl2br w:val="nil"/>
                    <w:tr2bl w:val="nil"/>
                  </w:tcBorders>
                  <w:shd w:val="clear" w:color="auto" w:fill="auto"/>
                  <w:tcMar>
                    <w:top w:w="0" w:type="dxa"/>
                    <w:left w:w="0" w:type="dxa"/>
                    <w:bottom w:w="0" w:type="dxa"/>
                    <w:right w:w="0" w:type="dxa"/>
                  </w:tcMar>
                  <w:vAlign w:val="center"/>
                </w:tcPr>
                <w:p w14:paraId="6A8A21A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39</w:t>
                  </w:r>
                </w:p>
              </w:tc>
              <w:tc>
                <w:tcPr>
                  <w:tcW w:w="194" w:type="pct"/>
                  <w:tcBorders>
                    <w:tl2br w:val="nil"/>
                    <w:tr2bl w:val="nil"/>
                  </w:tcBorders>
                  <w:shd w:val="clear" w:color="auto" w:fill="auto"/>
                  <w:tcMar>
                    <w:top w:w="0" w:type="dxa"/>
                    <w:left w:w="0" w:type="dxa"/>
                    <w:bottom w:w="0" w:type="dxa"/>
                    <w:right w:w="0" w:type="dxa"/>
                  </w:tcMar>
                  <w:vAlign w:val="center"/>
                </w:tcPr>
                <w:p w14:paraId="4DE0AEB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51.1</w:t>
                  </w:r>
                </w:p>
              </w:tc>
              <w:tc>
                <w:tcPr>
                  <w:tcW w:w="198" w:type="pct"/>
                  <w:tcBorders>
                    <w:tl2br w:val="nil"/>
                    <w:tr2bl w:val="nil"/>
                  </w:tcBorders>
                  <w:shd w:val="clear" w:color="auto" w:fill="auto"/>
                  <w:tcMar>
                    <w:top w:w="0" w:type="dxa"/>
                    <w:left w:w="0" w:type="dxa"/>
                    <w:bottom w:w="0" w:type="dxa"/>
                    <w:right w:w="0" w:type="dxa"/>
                  </w:tcMar>
                  <w:vAlign w:val="center"/>
                </w:tcPr>
                <w:p w14:paraId="3E0D7EDF">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62.9</w:t>
                  </w:r>
                </w:p>
              </w:tc>
              <w:tc>
                <w:tcPr>
                  <w:tcW w:w="219" w:type="pct"/>
                  <w:tcBorders>
                    <w:tl2br w:val="nil"/>
                    <w:tr2bl w:val="nil"/>
                  </w:tcBorders>
                  <w:shd w:val="clear" w:color="auto" w:fill="auto"/>
                  <w:tcMar>
                    <w:top w:w="0" w:type="dxa"/>
                    <w:left w:w="0" w:type="dxa"/>
                    <w:bottom w:w="0" w:type="dxa"/>
                    <w:right w:w="0" w:type="dxa"/>
                  </w:tcMar>
                  <w:vAlign w:val="center"/>
                </w:tcPr>
                <w:p w14:paraId="132C20EB">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59.1</w:t>
                  </w:r>
                </w:p>
              </w:tc>
              <w:tc>
                <w:tcPr>
                  <w:tcW w:w="206" w:type="pct"/>
                  <w:tcBorders>
                    <w:tl2br w:val="nil"/>
                    <w:tr2bl w:val="nil"/>
                  </w:tcBorders>
                  <w:shd w:val="clear" w:color="auto" w:fill="auto"/>
                  <w:tcMar>
                    <w:top w:w="0" w:type="dxa"/>
                    <w:left w:w="0" w:type="dxa"/>
                    <w:bottom w:w="0" w:type="dxa"/>
                    <w:right w:w="0" w:type="dxa"/>
                  </w:tcMar>
                  <w:vAlign w:val="center"/>
                </w:tcPr>
                <w:p w14:paraId="754E40CF">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52.7</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741479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lang w:val="en-US" w:eastAsia="zh-CN"/>
                    </w:rPr>
                  </w:pPr>
                </w:p>
              </w:tc>
              <w:tc>
                <w:tcPr>
                  <w:tcW w:w="308" w:type="pct"/>
                  <w:tcBorders>
                    <w:tl2br w:val="nil"/>
                    <w:tr2bl w:val="nil"/>
                  </w:tcBorders>
                  <w:shd w:val="clear" w:color="auto" w:fill="auto"/>
                  <w:tcMar>
                    <w:top w:w="0" w:type="dxa"/>
                    <w:left w:w="0" w:type="dxa"/>
                    <w:bottom w:w="0" w:type="dxa"/>
                    <w:right w:w="0" w:type="dxa"/>
                  </w:tcMar>
                  <w:vAlign w:val="center"/>
                </w:tcPr>
                <w:p w14:paraId="6BA467CC">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4AA303A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31.1</w:t>
                  </w:r>
                </w:p>
              </w:tc>
              <w:tc>
                <w:tcPr>
                  <w:tcW w:w="201" w:type="pct"/>
                  <w:tcBorders>
                    <w:tl2br w:val="nil"/>
                    <w:tr2bl w:val="nil"/>
                  </w:tcBorders>
                  <w:shd w:val="clear" w:color="auto" w:fill="auto"/>
                  <w:tcMar>
                    <w:top w:w="0" w:type="dxa"/>
                    <w:left w:w="0" w:type="dxa"/>
                    <w:bottom w:w="0" w:type="dxa"/>
                    <w:right w:w="0" w:type="dxa"/>
                  </w:tcMar>
                  <w:vAlign w:val="center"/>
                </w:tcPr>
                <w:p w14:paraId="12A01385">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42.9</w:t>
                  </w:r>
                </w:p>
              </w:tc>
              <w:tc>
                <w:tcPr>
                  <w:tcW w:w="201" w:type="pct"/>
                  <w:tcBorders>
                    <w:tl2br w:val="nil"/>
                    <w:tr2bl w:val="nil"/>
                  </w:tcBorders>
                  <w:shd w:val="clear" w:color="auto" w:fill="auto"/>
                  <w:tcMar>
                    <w:top w:w="0" w:type="dxa"/>
                    <w:left w:w="0" w:type="dxa"/>
                    <w:bottom w:w="0" w:type="dxa"/>
                    <w:right w:w="0" w:type="dxa"/>
                  </w:tcMar>
                  <w:vAlign w:val="center"/>
                </w:tcPr>
                <w:p w14:paraId="35AEE0BE">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39.1</w:t>
                  </w:r>
                </w:p>
              </w:tc>
              <w:tc>
                <w:tcPr>
                  <w:tcW w:w="215" w:type="pct"/>
                  <w:tcBorders>
                    <w:tl2br w:val="nil"/>
                    <w:tr2bl w:val="nil"/>
                  </w:tcBorders>
                  <w:shd w:val="clear" w:color="auto" w:fill="auto"/>
                  <w:tcMar>
                    <w:top w:w="0" w:type="dxa"/>
                    <w:left w:w="0" w:type="dxa"/>
                    <w:bottom w:w="0" w:type="dxa"/>
                    <w:right w:w="0" w:type="dxa"/>
                  </w:tcMar>
                  <w:vAlign w:val="center"/>
                </w:tcPr>
                <w:p w14:paraId="6DC8199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32.7</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737C7FC3">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p>
              </w:tc>
            </w:tr>
            <w:tr w14:paraId="73ECF8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12149329">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w:t>
                  </w:r>
                </w:p>
              </w:tc>
              <w:tc>
                <w:tcPr>
                  <w:tcW w:w="152" w:type="pct"/>
                  <w:vMerge w:val="continue"/>
                  <w:tcBorders>
                    <w:tl2br w:val="nil"/>
                    <w:tr2bl w:val="nil"/>
                  </w:tcBorders>
                  <w:shd w:val="clear" w:color="auto" w:fill="auto"/>
                  <w:tcMar>
                    <w:top w:w="0" w:type="dxa"/>
                    <w:left w:w="0" w:type="dxa"/>
                    <w:bottom w:w="0" w:type="dxa"/>
                    <w:right w:w="0" w:type="dxa"/>
                  </w:tcMar>
                  <w:vAlign w:val="center"/>
                </w:tcPr>
                <w:p w14:paraId="6137F4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284" w:type="pct"/>
                  <w:tcBorders>
                    <w:tl2br w:val="nil"/>
                    <w:tr2bl w:val="nil"/>
                  </w:tcBorders>
                  <w:shd w:val="clear" w:color="auto" w:fill="auto"/>
                  <w:tcMar>
                    <w:top w:w="0" w:type="dxa"/>
                    <w:left w:w="0" w:type="dxa"/>
                    <w:bottom w:w="0" w:type="dxa"/>
                    <w:right w:w="0" w:type="dxa"/>
                  </w:tcMar>
                  <w:vAlign w:val="center"/>
                </w:tcPr>
                <w:p w14:paraId="1AE0AEC6">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加工中心</w:t>
                  </w:r>
                </w:p>
              </w:tc>
              <w:tc>
                <w:tcPr>
                  <w:tcW w:w="228" w:type="pct"/>
                  <w:tcBorders>
                    <w:tl2br w:val="nil"/>
                    <w:tr2bl w:val="nil"/>
                  </w:tcBorders>
                  <w:shd w:val="clear" w:color="auto" w:fill="auto"/>
                  <w:tcMar>
                    <w:top w:w="0" w:type="dxa"/>
                    <w:left w:w="0" w:type="dxa"/>
                    <w:bottom w:w="0" w:type="dxa"/>
                    <w:right w:w="0" w:type="dxa"/>
                  </w:tcMar>
                  <w:vAlign w:val="center"/>
                </w:tcPr>
                <w:p w14:paraId="1E7E5D07">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eastAsia="仿宋" w:cs="Times New Roman"/>
                      <w:i w:val="0"/>
                      <w:iCs w:val="0"/>
                      <w:color w:val="auto"/>
                      <w:kern w:val="0"/>
                      <w:sz w:val="21"/>
                      <w:szCs w:val="21"/>
                      <w:highlight w:val="none"/>
                      <w:u w:val="none"/>
                      <w:lang w:val="en-US" w:eastAsia="zh-CN" w:bidi="ar"/>
                    </w:rPr>
                    <w:t>8</w:t>
                  </w:r>
                </w:p>
              </w:tc>
              <w:tc>
                <w:tcPr>
                  <w:tcW w:w="318" w:type="pct"/>
                  <w:tcBorders>
                    <w:tl2br w:val="nil"/>
                    <w:tr2bl w:val="nil"/>
                  </w:tcBorders>
                  <w:shd w:val="clear" w:color="auto" w:fill="auto"/>
                  <w:tcMar>
                    <w:top w:w="0" w:type="dxa"/>
                    <w:left w:w="0" w:type="dxa"/>
                    <w:bottom w:w="0" w:type="dxa"/>
                    <w:right w:w="0" w:type="dxa"/>
                  </w:tcMar>
                  <w:vAlign w:val="center"/>
                </w:tcPr>
                <w:p w14:paraId="0BD03BBA">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w:t>
                  </w:r>
                  <w:r>
                    <w:rPr>
                      <w:rFonts w:hint="eastAsia"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（叠加后</w:t>
                  </w:r>
                  <w:r>
                    <w:rPr>
                      <w:rFonts w:hint="eastAsia" w:eastAsia="仿宋" w:cs="Times New Roman"/>
                      <w:color w:val="auto"/>
                      <w:kern w:val="2"/>
                      <w:sz w:val="21"/>
                      <w:szCs w:val="21"/>
                      <w:highlight w:val="none"/>
                      <w:lang w:val="en-US" w:eastAsia="zh-CN" w:bidi="ar-SA"/>
                    </w:rPr>
                    <w:t>84.1</w:t>
                  </w:r>
                  <w:r>
                    <w:rPr>
                      <w:rFonts w:hint="default" w:ascii="Times New Roman" w:hAnsi="Times New Roman" w:eastAsia="仿宋" w:cs="Times New Roman"/>
                      <w:color w:val="auto"/>
                      <w:kern w:val="2"/>
                      <w:sz w:val="21"/>
                      <w:szCs w:val="21"/>
                      <w:highlight w:val="none"/>
                      <w:lang w:val="en-US" w:eastAsia="zh-CN" w:bidi="ar-SA"/>
                    </w:rPr>
                    <w:t>）</w:t>
                  </w:r>
                </w:p>
              </w:tc>
              <w:tc>
                <w:tcPr>
                  <w:tcW w:w="240" w:type="pct"/>
                  <w:tcBorders>
                    <w:tl2br w:val="nil"/>
                    <w:tr2bl w:val="nil"/>
                  </w:tcBorders>
                  <w:shd w:val="clear" w:color="auto" w:fill="auto"/>
                  <w:tcMar>
                    <w:top w:w="0" w:type="dxa"/>
                    <w:left w:w="0" w:type="dxa"/>
                    <w:bottom w:w="0" w:type="dxa"/>
                    <w:right w:w="0" w:type="dxa"/>
                  </w:tcMar>
                  <w:vAlign w:val="center"/>
                </w:tcPr>
                <w:p w14:paraId="1D530E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263FF4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36" w:type="pct"/>
                  <w:tcBorders>
                    <w:tl2br w:val="nil"/>
                    <w:tr2bl w:val="nil"/>
                  </w:tcBorders>
                  <w:shd w:val="clear" w:color="auto" w:fill="auto"/>
                  <w:tcMar>
                    <w:top w:w="0" w:type="dxa"/>
                    <w:left w:w="0" w:type="dxa"/>
                    <w:bottom w:w="0" w:type="dxa"/>
                    <w:right w:w="0" w:type="dxa"/>
                  </w:tcMar>
                  <w:vAlign w:val="center"/>
                </w:tcPr>
                <w:p w14:paraId="5EBE869E">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38</w:t>
                  </w:r>
                </w:p>
              </w:tc>
              <w:tc>
                <w:tcPr>
                  <w:tcW w:w="128" w:type="pct"/>
                  <w:tcBorders>
                    <w:tl2br w:val="nil"/>
                    <w:tr2bl w:val="nil"/>
                  </w:tcBorders>
                  <w:shd w:val="clear" w:color="auto" w:fill="auto"/>
                  <w:tcMar>
                    <w:top w:w="0" w:type="dxa"/>
                    <w:left w:w="0" w:type="dxa"/>
                    <w:bottom w:w="0" w:type="dxa"/>
                    <w:right w:w="0" w:type="dxa"/>
                  </w:tcMar>
                  <w:vAlign w:val="center"/>
                </w:tcPr>
                <w:p w14:paraId="43CC18BE">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-18</w:t>
                  </w:r>
                </w:p>
              </w:tc>
              <w:tc>
                <w:tcPr>
                  <w:tcW w:w="140" w:type="pct"/>
                  <w:tcBorders>
                    <w:tl2br w:val="nil"/>
                    <w:tr2bl w:val="nil"/>
                  </w:tcBorders>
                  <w:shd w:val="clear" w:color="auto" w:fill="auto"/>
                  <w:tcMar>
                    <w:top w:w="0" w:type="dxa"/>
                    <w:left w:w="0" w:type="dxa"/>
                    <w:bottom w:w="0" w:type="dxa"/>
                    <w:right w:w="0" w:type="dxa"/>
                  </w:tcMar>
                  <w:vAlign w:val="center"/>
                </w:tcPr>
                <w:p w14:paraId="7ABE4D2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4742406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47</w:t>
                  </w:r>
                </w:p>
              </w:tc>
              <w:tc>
                <w:tcPr>
                  <w:tcW w:w="149" w:type="pct"/>
                  <w:tcBorders>
                    <w:tl2br w:val="nil"/>
                    <w:tr2bl w:val="nil"/>
                  </w:tcBorders>
                  <w:shd w:val="clear" w:color="auto" w:fill="auto"/>
                  <w:tcMar>
                    <w:top w:w="0" w:type="dxa"/>
                    <w:left w:w="0" w:type="dxa"/>
                    <w:bottom w:w="0" w:type="dxa"/>
                    <w:right w:w="0" w:type="dxa"/>
                  </w:tcMar>
                  <w:vAlign w:val="center"/>
                </w:tcPr>
                <w:p w14:paraId="5F7ACA5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7</w:t>
                  </w:r>
                </w:p>
              </w:tc>
              <w:tc>
                <w:tcPr>
                  <w:tcW w:w="153" w:type="pct"/>
                  <w:tcBorders>
                    <w:tl2br w:val="nil"/>
                    <w:tr2bl w:val="nil"/>
                  </w:tcBorders>
                  <w:shd w:val="clear" w:color="auto" w:fill="auto"/>
                  <w:tcMar>
                    <w:top w:w="0" w:type="dxa"/>
                    <w:left w:w="0" w:type="dxa"/>
                    <w:bottom w:w="0" w:type="dxa"/>
                    <w:right w:w="0" w:type="dxa"/>
                  </w:tcMar>
                  <w:vAlign w:val="center"/>
                </w:tcPr>
                <w:p w14:paraId="6C6EEC7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w:t>
                  </w:r>
                </w:p>
              </w:tc>
              <w:tc>
                <w:tcPr>
                  <w:tcW w:w="149" w:type="pct"/>
                  <w:tcBorders>
                    <w:tl2br w:val="nil"/>
                    <w:tr2bl w:val="nil"/>
                  </w:tcBorders>
                  <w:shd w:val="clear" w:color="auto" w:fill="auto"/>
                  <w:tcMar>
                    <w:top w:w="0" w:type="dxa"/>
                    <w:left w:w="0" w:type="dxa"/>
                    <w:bottom w:w="0" w:type="dxa"/>
                    <w:right w:w="0" w:type="dxa"/>
                  </w:tcMar>
                  <w:vAlign w:val="center"/>
                </w:tcPr>
                <w:p w14:paraId="6A4A73EE">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44</w:t>
                  </w:r>
                </w:p>
              </w:tc>
              <w:tc>
                <w:tcPr>
                  <w:tcW w:w="194" w:type="pct"/>
                  <w:tcBorders>
                    <w:tl2br w:val="nil"/>
                    <w:tr2bl w:val="nil"/>
                  </w:tcBorders>
                  <w:shd w:val="clear" w:color="auto" w:fill="auto"/>
                  <w:tcMar>
                    <w:top w:w="0" w:type="dxa"/>
                    <w:left w:w="0" w:type="dxa"/>
                    <w:bottom w:w="0" w:type="dxa"/>
                    <w:right w:w="0" w:type="dxa"/>
                  </w:tcMar>
                  <w:vAlign w:val="center"/>
                </w:tcPr>
                <w:p w14:paraId="54590BC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50.6</w:t>
                  </w:r>
                </w:p>
              </w:tc>
              <w:tc>
                <w:tcPr>
                  <w:tcW w:w="198" w:type="pct"/>
                  <w:tcBorders>
                    <w:tl2br w:val="nil"/>
                    <w:tr2bl w:val="nil"/>
                  </w:tcBorders>
                  <w:shd w:val="clear" w:color="auto" w:fill="auto"/>
                  <w:tcMar>
                    <w:top w:w="0" w:type="dxa"/>
                    <w:left w:w="0" w:type="dxa"/>
                    <w:bottom w:w="0" w:type="dxa"/>
                    <w:right w:w="0" w:type="dxa"/>
                  </w:tcMar>
                  <w:vAlign w:val="center"/>
                </w:tcPr>
                <w:p w14:paraId="7D8E28DF">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67.2</w:t>
                  </w:r>
                </w:p>
              </w:tc>
              <w:tc>
                <w:tcPr>
                  <w:tcW w:w="219" w:type="pct"/>
                  <w:tcBorders>
                    <w:tl2br w:val="nil"/>
                    <w:tr2bl w:val="nil"/>
                  </w:tcBorders>
                  <w:shd w:val="clear" w:color="auto" w:fill="auto"/>
                  <w:tcMar>
                    <w:top w:w="0" w:type="dxa"/>
                    <w:left w:w="0" w:type="dxa"/>
                    <w:bottom w:w="0" w:type="dxa"/>
                    <w:right w:w="0" w:type="dxa"/>
                  </w:tcMar>
                  <w:vAlign w:val="center"/>
                </w:tcPr>
                <w:p w14:paraId="1A3A366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63.4</w:t>
                  </w:r>
                </w:p>
              </w:tc>
              <w:tc>
                <w:tcPr>
                  <w:tcW w:w="206" w:type="pct"/>
                  <w:tcBorders>
                    <w:tl2br w:val="nil"/>
                    <w:tr2bl w:val="nil"/>
                  </w:tcBorders>
                  <w:shd w:val="clear" w:color="auto" w:fill="auto"/>
                  <w:tcMar>
                    <w:top w:w="0" w:type="dxa"/>
                    <w:left w:w="0" w:type="dxa"/>
                    <w:bottom w:w="0" w:type="dxa"/>
                    <w:right w:w="0" w:type="dxa"/>
                  </w:tcMar>
                  <w:vAlign w:val="center"/>
                </w:tcPr>
                <w:p w14:paraId="3364D9A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51.1</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1CE3E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308" w:type="pct"/>
                  <w:tcBorders>
                    <w:tl2br w:val="nil"/>
                    <w:tr2bl w:val="nil"/>
                  </w:tcBorders>
                  <w:shd w:val="clear" w:color="auto" w:fill="auto"/>
                  <w:tcMar>
                    <w:top w:w="0" w:type="dxa"/>
                    <w:left w:w="0" w:type="dxa"/>
                    <w:bottom w:w="0" w:type="dxa"/>
                    <w:right w:w="0" w:type="dxa"/>
                  </w:tcMar>
                  <w:vAlign w:val="center"/>
                </w:tcPr>
                <w:p w14:paraId="04B08B1A">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1155789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30.6</w:t>
                  </w:r>
                </w:p>
              </w:tc>
              <w:tc>
                <w:tcPr>
                  <w:tcW w:w="201" w:type="pct"/>
                  <w:tcBorders>
                    <w:tl2br w:val="nil"/>
                    <w:tr2bl w:val="nil"/>
                  </w:tcBorders>
                  <w:shd w:val="clear" w:color="auto" w:fill="auto"/>
                  <w:tcMar>
                    <w:top w:w="0" w:type="dxa"/>
                    <w:left w:w="0" w:type="dxa"/>
                    <w:bottom w:w="0" w:type="dxa"/>
                    <w:right w:w="0" w:type="dxa"/>
                  </w:tcMar>
                  <w:vAlign w:val="center"/>
                </w:tcPr>
                <w:p w14:paraId="2B8B30E0">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47.2</w:t>
                  </w:r>
                </w:p>
              </w:tc>
              <w:tc>
                <w:tcPr>
                  <w:tcW w:w="201" w:type="pct"/>
                  <w:tcBorders>
                    <w:tl2br w:val="nil"/>
                    <w:tr2bl w:val="nil"/>
                  </w:tcBorders>
                  <w:shd w:val="clear" w:color="auto" w:fill="auto"/>
                  <w:tcMar>
                    <w:top w:w="0" w:type="dxa"/>
                    <w:left w:w="0" w:type="dxa"/>
                    <w:bottom w:w="0" w:type="dxa"/>
                    <w:right w:w="0" w:type="dxa"/>
                  </w:tcMar>
                  <w:vAlign w:val="center"/>
                </w:tcPr>
                <w:p w14:paraId="324A126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43.4</w:t>
                  </w:r>
                </w:p>
              </w:tc>
              <w:tc>
                <w:tcPr>
                  <w:tcW w:w="215" w:type="pct"/>
                  <w:tcBorders>
                    <w:tl2br w:val="nil"/>
                    <w:tr2bl w:val="nil"/>
                  </w:tcBorders>
                  <w:shd w:val="clear" w:color="auto" w:fill="auto"/>
                  <w:tcMar>
                    <w:top w:w="0" w:type="dxa"/>
                    <w:left w:w="0" w:type="dxa"/>
                    <w:bottom w:w="0" w:type="dxa"/>
                    <w:right w:w="0" w:type="dxa"/>
                  </w:tcMar>
                  <w:vAlign w:val="center"/>
                </w:tcPr>
                <w:p w14:paraId="62FC3AF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31.1</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58F529FA">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rPr>
                  </w:pPr>
                </w:p>
              </w:tc>
            </w:tr>
            <w:tr w14:paraId="24D30C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33EEA11E">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10</w:t>
                  </w:r>
                </w:p>
              </w:tc>
              <w:tc>
                <w:tcPr>
                  <w:tcW w:w="152" w:type="pct"/>
                  <w:vMerge w:val="continue"/>
                  <w:tcBorders>
                    <w:tl2br w:val="nil"/>
                    <w:tr2bl w:val="nil"/>
                  </w:tcBorders>
                  <w:shd w:val="clear" w:color="auto" w:fill="auto"/>
                  <w:tcMar>
                    <w:top w:w="0" w:type="dxa"/>
                    <w:left w:w="0" w:type="dxa"/>
                    <w:bottom w:w="0" w:type="dxa"/>
                    <w:right w:w="0" w:type="dxa"/>
                  </w:tcMar>
                  <w:vAlign w:val="center"/>
                </w:tcPr>
                <w:p w14:paraId="6732B3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284" w:type="pct"/>
                  <w:tcBorders>
                    <w:tl2br w:val="nil"/>
                    <w:tr2bl w:val="nil"/>
                  </w:tcBorders>
                  <w:shd w:val="clear" w:color="auto" w:fill="auto"/>
                  <w:tcMar>
                    <w:top w:w="0" w:type="dxa"/>
                    <w:left w:w="0" w:type="dxa"/>
                    <w:bottom w:w="0" w:type="dxa"/>
                    <w:right w:w="0" w:type="dxa"/>
                  </w:tcMar>
                  <w:vAlign w:val="center"/>
                </w:tcPr>
                <w:p w14:paraId="1CCE7FA5">
                  <w:pPr>
                    <w:keepNext w:val="0"/>
                    <w:keepLines w:val="0"/>
                    <w:widowControl/>
                    <w:suppressLineNumbers w:val="0"/>
                    <w:jc w:val="center"/>
                    <w:textAlignment w:val="center"/>
                    <w:rPr>
                      <w:rFonts w:hint="eastAsia" w:ascii="Times New Roman" w:hAnsi="Times New Roman" w:eastAsia="仿宋"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2"/>
                      <w:sz w:val="21"/>
                      <w:szCs w:val="21"/>
                      <w:highlight w:val="none"/>
                      <w:u w:val="none"/>
                      <w:lang w:val="en-US" w:eastAsia="zh-CN" w:bidi="ar-SA"/>
                    </w:rPr>
                    <w:t>湿式工作台</w:t>
                  </w:r>
                </w:p>
              </w:tc>
              <w:tc>
                <w:tcPr>
                  <w:tcW w:w="228" w:type="pct"/>
                  <w:tcBorders>
                    <w:tl2br w:val="nil"/>
                    <w:tr2bl w:val="nil"/>
                  </w:tcBorders>
                  <w:shd w:val="clear" w:color="auto" w:fill="auto"/>
                  <w:tcMar>
                    <w:top w:w="0" w:type="dxa"/>
                    <w:left w:w="0" w:type="dxa"/>
                    <w:bottom w:w="0" w:type="dxa"/>
                    <w:right w:w="0" w:type="dxa"/>
                  </w:tcMar>
                  <w:vAlign w:val="center"/>
                </w:tcPr>
                <w:p w14:paraId="7B893274">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eastAsia" w:eastAsia="仿宋" w:cs="Times New Roman"/>
                      <w:i w:val="0"/>
                      <w:iCs w:val="0"/>
                      <w:color w:val="auto"/>
                      <w:kern w:val="0"/>
                      <w:sz w:val="21"/>
                      <w:szCs w:val="21"/>
                      <w:highlight w:val="none"/>
                      <w:u w:val="none"/>
                      <w:lang w:val="en-US" w:eastAsia="zh-CN" w:bidi="ar"/>
                    </w:rPr>
                    <w:t>1</w:t>
                  </w:r>
                </w:p>
              </w:tc>
              <w:tc>
                <w:tcPr>
                  <w:tcW w:w="318" w:type="pct"/>
                  <w:tcBorders>
                    <w:tl2br w:val="nil"/>
                    <w:tr2bl w:val="nil"/>
                  </w:tcBorders>
                  <w:shd w:val="clear" w:color="auto" w:fill="auto"/>
                  <w:tcMar>
                    <w:top w:w="0" w:type="dxa"/>
                    <w:left w:w="0" w:type="dxa"/>
                    <w:bottom w:w="0" w:type="dxa"/>
                    <w:right w:w="0" w:type="dxa"/>
                  </w:tcMar>
                  <w:vAlign w:val="center"/>
                </w:tcPr>
                <w:p w14:paraId="0C6DACEF">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75</w:t>
                  </w:r>
                  <w:r>
                    <w:rPr>
                      <w:rFonts w:hint="default" w:ascii="Times New Roman" w:hAnsi="Times New Roman" w:eastAsia="仿宋" w:cs="Times New Roman"/>
                      <w:color w:val="auto"/>
                      <w:kern w:val="2"/>
                      <w:sz w:val="21"/>
                      <w:szCs w:val="21"/>
                      <w:highlight w:val="none"/>
                      <w:lang w:val="en-US" w:eastAsia="zh-CN" w:bidi="ar-SA"/>
                    </w:rPr>
                    <w:t>（叠加后</w:t>
                  </w:r>
                  <w:r>
                    <w:rPr>
                      <w:rFonts w:hint="eastAsia" w:ascii="Times New Roman" w:hAnsi="Times New Roman" w:eastAsia="仿宋" w:cs="Times New Roman"/>
                      <w:color w:val="auto"/>
                      <w:kern w:val="2"/>
                      <w:sz w:val="21"/>
                      <w:szCs w:val="21"/>
                      <w:highlight w:val="none"/>
                      <w:lang w:val="en-US" w:eastAsia="zh-CN" w:bidi="ar-SA"/>
                    </w:rPr>
                    <w:t>64.8</w:t>
                  </w:r>
                  <w:r>
                    <w:rPr>
                      <w:rFonts w:hint="default" w:ascii="Times New Roman" w:hAnsi="Times New Roman" w:eastAsia="仿宋" w:cs="Times New Roman"/>
                      <w:color w:val="auto"/>
                      <w:kern w:val="2"/>
                      <w:sz w:val="21"/>
                      <w:szCs w:val="21"/>
                      <w:highlight w:val="none"/>
                      <w:lang w:val="en-US" w:eastAsia="zh-CN" w:bidi="ar-SA"/>
                    </w:rPr>
                    <w:t>）</w:t>
                  </w:r>
                </w:p>
              </w:tc>
              <w:tc>
                <w:tcPr>
                  <w:tcW w:w="240" w:type="pct"/>
                  <w:tcBorders>
                    <w:tl2br w:val="nil"/>
                    <w:tr2bl w:val="nil"/>
                  </w:tcBorders>
                  <w:shd w:val="clear" w:color="auto" w:fill="auto"/>
                  <w:tcMar>
                    <w:top w:w="0" w:type="dxa"/>
                    <w:left w:w="0" w:type="dxa"/>
                    <w:bottom w:w="0" w:type="dxa"/>
                    <w:right w:w="0" w:type="dxa"/>
                  </w:tcMar>
                  <w:vAlign w:val="center"/>
                </w:tcPr>
                <w:p w14:paraId="6ABB9A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00A098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36" w:type="pct"/>
                  <w:tcBorders>
                    <w:tl2br w:val="nil"/>
                    <w:tr2bl w:val="nil"/>
                  </w:tcBorders>
                  <w:shd w:val="clear" w:color="auto" w:fill="auto"/>
                  <w:tcMar>
                    <w:top w:w="0" w:type="dxa"/>
                    <w:left w:w="0" w:type="dxa"/>
                    <w:bottom w:w="0" w:type="dxa"/>
                    <w:right w:w="0" w:type="dxa"/>
                  </w:tcMar>
                  <w:vAlign w:val="center"/>
                </w:tcPr>
                <w:p w14:paraId="186EC009">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65</w:t>
                  </w:r>
                </w:p>
              </w:tc>
              <w:tc>
                <w:tcPr>
                  <w:tcW w:w="128" w:type="pct"/>
                  <w:tcBorders>
                    <w:tl2br w:val="nil"/>
                    <w:tr2bl w:val="nil"/>
                  </w:tcBorders>
                  <w:shd w:val="clear" w:color="auto" w:fill="auto"/>
                  <w:tcMar>
                    <w:top w:w="0" w:type="dxa"/>
                    <w:left w:w="0" w:type="dxa"/>
                    <w:bottom w:w="0" w:type="dxa"/>
                    <w:right w:w="0" w:type="dxa"/>
                  </w:tcMar>
                  <w:vAlign w:val="center"/>
                </w:tcPr>
                <w:p w14:paraId="73C9B43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-36</w:t>
                  </w:r>
                </w:p>
              </w:tc>
              <w:tc>
                <w:tcPr>
                  <w:tcW w:w="140" w:type="pct"/>
                  <w:tcBorders>
                    <w:tl2br w:val="nil"/>
                    <w:tr2bl w:val="nil"/>
                  </w:tcBorders>
                  <w:shd w:val="clear" w:color="auto" w:fill="auto"/>
                  <w:tcMar>
                    <w:top w:w="0" w:type="dxa"/>
                    <w:left w:w="0" w:type="dxa"/>
                    <w:bottom w:w="0" w:type="dxa"/>
                    <w:right w:w="0" w:type="dxa"/>
                  </w:tcMar>
                  <w:vAlign w:val="center"/>
                </w:tcPr>
                <w:p w14:paraId="5467F8DD">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2666427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7</w:t>
                  </w:r>
                </w:p>
              </w:tc>
              <w:tc>
                <w:tcPr>
                  <w:tcW w:w="149" w:type="pct"/>
                  <w:tcBorders>
                    <w:tl2br w:val="nil"/>
                    <w:tr2bl w:val="nil"/>
                  </w:tcBorders>
                  <w:shd w:val="clear" w:color="auto" w:fill="auto"/>
                  <w:tcMar>
                    <w:top w:w="0" w:type="dxa"/>
                    <w:left w:w="0" w:type="dxa"/>
                    <w:bottom w:w="0" w:type="dxa"/>
                    <w:right w:w="0" w:type="dxa"/>
                  </w:tcMar>
                  <w:vAlign w:val="center"/>
                </w:tcPr>
                <w:p w14:paraId="5872803A">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7</w:t>
                  </w:r>
                </w:p>
              </w:tc>
              <w:tc>
                <w:tcPr>
                  <w:tcW w:w="153" w:type="pct"/>
                  <w:tcBorders>
                    <w:tl2br w:val="nil"/>
                    <w:tr2bl w:val="nil"/>
                  </w:tcBorders>
                  <w:shd w:val="clear" w:color="auto" w:fill="auto"/>
                  <w:tcMar>
                    <w:top w:w="0" w:type="dxa"/>
                    <w:left w:w="0" w:type="dxa"/>
                    <w:bottom w:w="0" w:type="dxa"/>
                    <w:right w:w="0" w:type="dxa"/>
                  </w:tcMar>
                  <w:vAlign w:val="center"/>
                </w:tcPr>
                <w:p w14:paraId="598EDA3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w:t>
                  </w:r>
                </w:p>
              </w:tc>
              <w:tc>
                <w:tcPr>
                  <w:tcW w:w="149" w:type="pct"/>
                  <w:tcBorders>
                    <w:tl2br w:val="nil"/>
                    <w:tr2bl w:val="nil"/>
                  </w:tcBorders>
                  <w:shd w:val="clear" w:color="auto" w:fill="auto"/>
                  <w:tcMar>
                    <w:top w:w="0" w:type="dxa"/>
                    <w:left w:w="0" w:type="dxa"/>
                    <w:bottom w:w="0" w:type="dxa"/>
                    <w:right w:w="0" w:type="dxa"/>
                  </w:tcMar>
                  <w:vAlign w:val="center"/>
                </w:tcPr>
                <w:p w14:paraId="0530895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44</w:t>
                  </w:r>
                </w:p>
              </w:tc>
              <w:tc>
                <w:tcPr>
                  <w:tcW w:w="194" w:type="pct"/>
                  <w:tcBorders>
                    <w:tl2br w:val="nil"/>
                    <w:tr2bl w:val="nil"/>
                  </w:tcBorders>
                  <w:shd w:val="clear" w:color="auto" w:fill="auto"/>
                  <w:tcMar>
                    <w:top w:w="0" w:type="dxa"/>
                    <w:left w:w="0" w:type="dxa"/>
                    <w:bottom w:w="0" w:type="dxa"/>
                    <w:right w:w="0" w:type="dxa"/>
                  </w:tcMar>
                  <w:vAlign w:val="center"/>
                </w:tcPr>
                <w:p w14:paraId="55BD1ABF">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57.5</w:t>
                  </w:r>
                </w:p>
              </w:tc>
              <w:tc>
                <w:tcPr>
                  <w:tcW w:w="198" w:type="pct"/>
                  <w:tcBorders>
                    <w:tl2br w:val="nil"/>
                    <w:tr2bl w:val="nil"/>
                  </w:tcBorders>
                  <w:shd w:val="clear" w:color="auto" w:fill="auto"/>
                  <w:tcMar>
                    <w:top w:w="0" w:type="dxa"/>
                    <w:left w:w="0" w:type="dxa"/>
                    <w:bottom w:w="0" w:type="dxa"/>
                    <w:right w:w="0" w:type="dxa"/>
                  </w:tcMar>
                  <w:vAlign w:val="center"/>
                </w:tcPr>
                <w:p w14:paraId="05221438">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58.2</w:t>
                  </w:r>
                </w:p>
              </w:tc>
              <w:tc>
                <w:tcPr>
                  <w:tcW w:w="219" w:type="pct"/>
                  <w:tcBorders>
                    <w:tl2br w:val="nil"/>
                    <w:tr2bl w:val="nil"/>
                  </w:tcBorders>
                  <w:shd w:val="clear" w:color="auto" w:fill="auto"/>
                  <w:tcMar>
                    <w:top w:w="0" w:type="dxa"/>
                    <w:left w:w="0" w:type="dxa"/>
                    <w:bottom w:w="0" w:type="dxa"/>
                    <w:right w:w="0" w:type="dxa"/>
                  </w:tcMar>
                  <w:vAlign w:val="center"/>
                </w:tcPr>
                <w:p w14:paraId="20F1A16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54.4</w:t>
                  </w:r>
                </w:p>
              </w:tc>
              <w:tc>
                <w:tcPr>
                  <w:tcW w:w="206" w:type="pct"/>
                  <w:tcBorders>
                    <w:tl2br w:val="nil"/>
                    <w:tr2bl w:val="nil"/>
                  </w:tcBorders>
                  <w:shd w:val="clear" w:color="auto" w:fill="auto"/>
                  <w:tcMar>
                    <w:top w:w="0" w:type="dxa"/>
                    <w:left w:w="0" w:type="dxa"/>
                    <w:bottom w:w="0" w:type="dxa"/>
                    <w:right w:w="0" w:type="dxa"/>
                  </w:tcMar>
                  <w:vAlign w:val="center"/>
                </w:tcPr>
                <w:p w14:paraId="0540BCF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42.1</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117A86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308" w:type="pct"/>
                  <w:tcBorders>
                    <w:tl2br w:val="nil"/>
                    <w:tr2bl w:val="nil"/>
                  </w:tcBorders>
                  <w:shd w:val="clear" w:color="auto" w:fill="auto"/>
                  <w:tcMar>
                    <w:top w:w="0" w:type="dxa"/>
                    <w:left w:w="0" w:type="dxa"/>
                    <w:bottom w:w="0" w:type="dxa"/>
                    <w:right w:w="0" w:type="dxa"/>
                  </w:tcMar>
                  <w:vAlign w:val="center"/>
                </w:tcPr>
                <w:p w14:paraId="3FED8E90">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19F991E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37.5</w:t>
                  </w:r>
                </w:p>
              </w:tc>
              <w:tc>
                <w:tcPr>
                  <w:tcW w:w="201" w:type="pct"/>
                  <w:tcBorders>
                    <w:tl2br w:val="nil"/>
                    <w:tr2bl w:val="nil"/>
                  </w:tcBorders>
                  <w:shd w:val="clear" w:color="auto" w:fill="auto"/>
                  <w:tcMar>
                    <w:top w:w="0" w:type="dxa"/>
                    <w:left w:w="0" w:type="dxa"/>
                    <w:bottom w:w="0" w:type="dxa"/>
                    <w:right w:w="0" w:type="dxa"/>
                  </w:tcMar>
                  <w:vAlign w:val="center"/>
                </w:tcPr>
                <w:p w14:paraId="15083CE5">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38.2</w:t>
                  </w:r>
                </w:p>
              </w:tc>
              <w:tc>
                <w:tcPr>
                  <w:tcW w:w="201" w:type="pct"/>
                  <w:tcBorders>
                    <w:tl2br w:val="nil"/>
                    <w:tr2bl w:val="nil"/>
                  </w:tcBorders>
                  <w:shd w:val="clear" w:color="auto" w:fill="auto"/>
                  <w:tcMar>
                    <w:top w:w="0" w:type="dxa"/>
                    <w:left w:w="0" w:type="dxa"/>
                    <w:bottom w:w="0" w:type="dxa"/>
                    <w:right w:w="0" w:type="dxa"/>
                  </w:tcMar>
                  <w:vAlign w:val="center"/>
                </w:tcPr>
                <w:p w14:paraId="7B15ACB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34.4</w:t>
                  </w:r>
                </w:p>
              </w:tc>
              <w:tc>
                <w:tcPr>
                  <w:tcW w:w="215" w:type="pct"/>
                  <w:tcBorders>
                    <w:tl2br w:val="nil"/>
                    <w:tr2bl w:val="nil"/>
                  </w:tcBorders>
                  <w:shd w:val="clear" w:color="auto" w:fill="auto"/>
                  <w:tcMar>
                    <w:top w:w="0" w:type="dxa"/>
                    <w:left w:w="0" w:type="dxa"/>
                    <w:bottom w:w="0" w:type="dxa"/>
                    <w:right w:w="0" w:type="dxa"/>
                  </w:tcMar>
                  <w:vAlign w:val="center"/>
                </w:tcPr>
                <w:p w14:paraId="2FA19AD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22.1</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1CA5D7F9">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rPr>
                  </w:pPr>
                </w:p>
              </w:tc>
            </w:tr>
            <w:tr w14:paraId="06535F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52" w:type="pct"/>
                  <w:tcBorders>
                    <w:tl2br w:val="nil"/>
                    <w:tr2bl w:val="nil"/>
                  </w:tcBorders>
                  <w:shd w:val="clear" w:color="auto" w:fill="auto"/>
                  <w:tcMar>
                    <w:top w:w="0" w:type="dxa"/>
                    <w:left w:w="0" w:type="dxa"/>
                    <w:bottom w:w="0" w:type="dxa"/>
                    <w:right w:w="0" w:type="dxa"/>
                  </w:tcMar>
                  <w:vAlign w:val="center"/>
                </w:tcPr>
                <w:p w14:paraId="781D7805">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w:t>
                  </w:r>
                </w:p>
              </w:tc>
              <w:tc>
                <w:tcPr>
                  <w:tcW w:w="152" w:type="pct"/>
                  <w:vMerge w:val="continue"/>
                  <w:tcBorders>
                    <w:tl2br w:val="nil"/>
                    <w:tr2bl w:val="nil"/>
                  </w:tcBorders>
                  <w:shd w:val="clear" w:color="auto" w:fill="auto"/>
                  <w:tcMar>
                    <w:top w:w="0" w:type="dxa"/>
                    <w:left w:w="0" w:type="dxa"/>
                    <w:bottom w:w="0" w:type="dxa"/>
                    <w:right w:w="0" w:type="dxa"/>
                  </w:tcMar>
                  <w:vAlign w:val="center"/>
                </w:tcPr>
                <w:p w14:paraId="6FCDFD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284" w:type="pct"/>
                  <w:tcBorders>
                    <w:tl2br w:val="nil"/>
                    <w:tr2bl w:val="nil"/>
                  </w:tcBorders>
                  <w:shd w:val="clear" w:color="auto" w:fill="auto"/>
                  <w:tcMar>
                    <w:top w:w="0" w:type="dxa"/>
                    <w:left w:w="0" w:type="dxa"/>
                    <w:bottom w:w="0" w:type="dxa"/>
                    <w:right w:w="0" w:type="dxa"/>
                  </w:tcMar>
                  <w:vAlign w:val="center"/>
                </w:tcPr>
                <w:p w14:paraId="42E24C77">
                  <w:pPr>
                    <w:keepNext w:val="0"/>
                    <w:keepLines w:val="0"/>
                    <w:widowControl/>
                    <w:suppressLineNumbers w:val="0"/>
                    <w:jc w:val="center"/>
                    <w:textAlignment w:val="center"/>
                    <w:rPr>
                      <w:rFonts w:hint="eastAsia" w:ascii="Times New Roman" w:hAnsi="Times New Roman" w:eastAsia="仿宋" w:cs="Times New Roman"/>
                      <w:i w:val="0"/>
                      <w:iCs w:val="0"/>
                      <w:color w:val="auto"/>
                      <w:kern w:val="2"/>
                      <w:sz w:val="21"/>
                      <w:szCs w:val="21"/>
                      <w:highlight w:val="none"/>
                      <w:u w:val="none"/>
                      <w:lang w:val="en-US" w:eastAsia="zh-CN" w:bidi="ar-SA"/>
                    </w:rPr>
                  </w:pPr>
                  <w:r>
                    <w:rPr>
                      <w:rFonts w:hint="eastAsia" w:ascii="Times New Roman" w:hAnsi="Times New Roman" w:eastAsia="仿宋" w:cs="Times New Roman"/>
                      <w:i w:val="0"/>
                      <w:iCs w:val="0"/>
                      <w:color w:val="auto"/>
                      <w:kern w:val="2"/>
                      <w:sz w:val="21"/>
                      <w:szCs w:val="21"/>
                      <w:highlight w:val="none"/>
                      <w:u w:val="none"/>
                      <w:lang w:val="en-US" w:eastAsia="zh-CN" w:bidi="ar-SA"/>
                    </w:rPr>
                    <w:t>压块机</w:t>
                  </w:r>
                </w:p>
              </w:tc>
              <w:tc>
                <w:tcPr>
                  <w:tcW w:w="228" w:type="pct"/>
                  <w:tcBorders>
                    <w:tl2br w:val="nil"/>
                    <w:tr2bl w:val="nil"/>
                  </w:tcBorders>
                  <w:shd w:val="clear" w:color="auto" w:fill="auto"/>
                  <w:tcMar>
                    <w:top w:w="0" w:type="dxa"/>
                    <w:left w:w="0" w:type="dxa"/>
                    <w:bottom w:w="0" w:type="dxa"/>
                    <w:right w:w="0" w:type="dxa"/>
                  </w:tcMar>
                  <w:vAlign w:val="center"/>
                </w:tcPr>
                <w:p w14:paraId="4B74EF09">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1</w:t>
                  </w:r>
                </w:p>
              </w:tc>
              <w:tc>
                <w:tcPr>
                  <w:tcW w:w="318" w:type="pct"/>
                  <w:tcBorders>
                    <w:tl2br w:val="nil"/>
                    <w:tr2bl w:val="nil"/>
                  </w:tcBorders>
                  <w:shd w:val="clear" w:color="auto" w:fill="auto"/>
                  <w:tcMar>
                    <w:top w:w="0" w:type="dxa"/>
                    <w:left w:w="0" w:type="dxa"/>
                    <w:bottom w:w="0" w:type="dxa"/>
                    <w:right w:w="0" w:type="dxa"/>
                  </w:tcMar>
                  <w:vAlign w:val="center"/>
                </w:tcPr>
                <w:p w14:paraId="60E1D55C">
                  <w:pPr>
                    <w:keepNext w:val="0"/>
                    <w:keepLines w:val="0"/>
                    <w:widowControl/>
                    <w:suppressLineNumbers w:val="0"/>
                    <w:jc w:val="center"/>
                    <w:textAlignment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70</w:t>
                  </w:r>
                </w:p>
              </w:tc>
              <w:tc>
                <w:tcPr>
                  <w:tcW w:w="240" w:type="pct"/>
                  <w:tcBorders>
                    <w:tl2br w:val="nil"/>
                    <w:tr2bl w:val="nil"/>
                  </w:tcBorders>
                  <w:shd w:val="clear" w:color="auto" w:fill="auto"/>
                  <w:tcMar>
                    <w:top w:w="0" w:type="dxa"/>
                    <w:left w:w="0" w:type="dxa"/>
                    <w:bottom w:w="0" w:type="dxa"/>
                    <w:right w:w="0" w:type="dxa"/>
                  </w:tcMar>
                  <w:vAlign w:val="center"/>
                </w:tcPr>
                <w:p w14:paraId="073BCB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r>
                    <w:rPr>
                      <w:rFonts w:hint="eastAsia" w:eastAsia="仿宋" w:cs="Times New Roman"/>
                      <w:b w:val="0"/>
                      <w:bCs w:val="0"/>
                      <w:color w:val="auto"/>
                      <w:kern w:val="2"/>
                      <w:sz w:val="21"/>
                      <w:szCs w:val="21"/>
                      <w:highlight w:val="none"/>
                      <w:vertAlign w:val="baseline"/>
                      <w:lang w:val="en-US" w:eastAsia="zh-CN" w:bidi="ar-SA"/>
                    </w:rPr>
                    <w:t>1</w:t>
                  </w:r>
                </w:p>
              </w:tc>
              <w:tc>
                <w:tcPr>
                  <w:tcW w:w="261" w:type="pct"/>
                  <w:vMerge w:val="continue"/>
                  <w:tcBorders>
                    <w:tl2br w:val="nil"/>
                    <w:tr2bl w:val="nil"/>
                  </w:tcBorders>
                  <w:shd w:val="clear" w:color="auto" w:fill="auto"/>
                  <w:tcMar>
                    <w:top w:w="0" w:type="dxa"/>
                    <w:left w:w="0" w:type="dxa"/>
                    <w:bottom w:w="0" w:type="dxa"/>
                    <w:right w:w="0" w:type="dxa"/>
                  </w:tcMar>
                  <w:vAlign w:val="center"/>
                </w:tcPr>
                <w:p w14:paraId="4335D4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136" w:type="pct"/>
                  <w:tcBorders>
                    <w:tl2br w:val="nil"/>
                    <w:tr2bl w:val="nil"/>
                  </w:tcBorders>
                  <w:shd w:val="clear" w:color="auto" w:fill="auto"/>
                  <w:tcMar>
                    <w:top w:w="0" w:type="dxa"/>
                    <w:left w:w="0" w:type="dxa"/>
                    <w:bottom w:w="0" w:type="dxa"/>
                    <w:right w:w="0" w:type="dxa"/>
                  </w:tcMar>
                  <w:vAlign w:val="center"/>
                </w:tcPr>
                <w:p w14:paraId="2AF9D0A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28</w:t>
                  </w:r>
                </w:p>
              </w:tc>
              <w:tc>
                <w:tcPr>
                  <w:tcW w:w="128" w:type="pct"/>
                  <w:tcBorders>
                    <w:tl2br w:val="nil"/>
                    <w:tr2bl w:val="nil"/>
                  </w:tcBorders>
                  <w:shd w:val="clear" w:color="auto" w:fill="auto"/>
                  <w:tcMar>
                    <w:top w:w="0" w:type="dxa"/>
                    <w:left w:w="0" w:type="dxa"/>
                    <w:bottom w:w="0" w:type="dxa"/>
                    <w:right w:w="0" w:type="dxa"/>
                  </w:tcMar>
                  <w:vAlign w:val="center"/>
                </w:tcPr>
                <w:p w14:paraId="4B7B90E5">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28</w:t>
                  </w:r>
                </w:p>
              </w:tc>
              <w:tc>
                <w:tcPr>
                  <w:tcW w:w="140" w:type="pct"/>
                  <w:tcBorders>
                    <w:tl2br w:val="nil"/>
                    <w:tr2bl w:val="nil"/>
                  </w:tcBorders>
                  <w:shd w:val="clear" w:color="auto" w:fill="auto"/>
                  <w:tcMar>
                    <w:top w:w="0" w:type="dxa"/>
                    <w:left w:w="0" w:type="dxa"/>
                    <w:bottom w:w="0" w:type="dxa"/>
                    <w:right w:w="0" w:type="dxa"/>
                  </w:tcMar>
                  <w:vAlign w:val="center"/>
                </w:tcPr>
                <w:p w14:paraId="154AD228">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21</w:t>
                  </w:r>
                </w:p>
              </w:tc>
              <w:tc>
                <w:tcPr>
                  <w:tcW w:w="107" w:type="pct"/>
                  <w:tcBorders>
                    <w:tl2br w:val="nil"/>
                    <w:tr2bl w:val="nil"/>
                  </w:tcBorders>
                  <w:shd w:val="clear" w:color="auto" w:fill="auto"/>
                  <w:tcMar>
                    <w:top w:w="0" w:type="dxa"/>
                    <w:left w:w="0" w:type="dxa"/>
                    <w:bottom w:w="0" w:type="dxa"/>
                    <w:right w:w="0" w:type="dxa"/>
                  </w:tcMar>
                  <w:vAlign w:val="center"/>
                </w:tcPr>
                <w:p w14:paraId="7FAF92AB">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7</w:t>
                  </w:r>
                </w:p>
              </w:tc>
              <w:tc>
                <w:tcPr>
                  <w:tcW w:w="149" w:type="pct"/>
                  <w:tcBorders>
                    <w:tl2br w:val="nil"/>
                    <w:tr2bl w:val="nil"/>
                  </w:tcBorders>
                  <w:shd w:val="clear" w:color="auto" w:fill="auto"/>
                  <w:tcMar>
                    <w:top w:w="0" w:type="dxa"/>
                    <w:left w:w="0" w:type="dxa"/>
                    <w:bottom w:w="0" w:type="dxa"/>
                    <w:right w:w="0" w:type="dxa"/>
                  </w:tcMar>
                  <w:vAlign w:val="center"/>
                </w:tcPr>
                <w:p w14:paraId="63FADDE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47</w:t>
                  </w:r>
                </w:p>
              </w:tc>
              <w:tc>
                <w:tcPr>
                  <w:tcW w:w="153" w:type="pct"/>
                  <w:tcBorders>
                    <w:tl2br w:val="nil"/>
                    <w:tr2bl w:val="nil"/>
                  </w:tcBorders>
                  <w:shd w:val="clear" w:color="auto" w:fill="auto"/>
                  <w:tcMar>
                    <w:top w:w="0" w:type="dxa"/>
                    <w:left w:w="0" w:type="dxa"/>
                    <w:bottom w:w="0" w:type="dxa"/>
                    <w:right w:w="0" w:type="dxa"/>
                  </w:tcMar>
                  <w:vAlign w:val="center"/>
                </w:tcPr>
                <w:p w14:paraId="7560E10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11</w:t>
                  </w:r>
                </w:p>
              </w:tc>
              <w:tc>
                <w:tcPr>
                  <w:tcW w:w="149" w:type="pct"/>
                  <w:tcBorders>
                    <w:tl2br w:val="nil"/>
                    <w:tr2bl w:val="nil"/>
                  </w:tcBorders>
                  <w:shd w:val="clear" w:color="auto" w:fill="auto"/>
                  <w:tcMar>
                    <w:top w:w="0" w:type="dxa"/>
                    <w:left w:w="0" w:type="dxa"/>
                    <w:bottom w:w="0" w:type="dxa"/>
                    <w:right w:w="0" w:type="dxa"/>
                  </w:tcMar>
                  <w:vAlign w:val="center"/>
                </w:tcPr>
                <w:p w14:paraId="0A62E07B">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w:t>
                  </w:r>
                </w:p>
              </w:tc>
              <w:tc>
                <w:tcPr>
                  <w:tcW w:w="194" w:type="pct"/>
                  <w:tcBorders>
                    <w:tl2br w:val="nil"/>
                    <w:tr2bl w:val="nil"/>
                  </w:tcBorders>
                  <w:shd w:val="clear" w:color="auto" w:fill="auto"/>
                  <w:tcMar>
                    <w:top w:w="0" w:type="dxa"/>
                    <w:left w:w="0" w:type="dxa"/>
                    <w:bottom w:w="0" w:type="dxa"/>
                    <w:right w:w="0" w:type="dxa"/>
                  </w:tcMar>
                  <w:vAlign w:val="center"/>
                </w:tcPr>
                <w:p w14:paraId="1A36C8F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53.2</w:t>
                  </w:r>
                </w:p>
              </w:tc>
              <w:tc>
                <w:tcPr>
                  <w:tcW w:w="198" w:type="pct"/>
                  <w:tcBorders>
                    <w:tl2br w:val="nil"/>
                    <w:tr2bl w:val="nil"/>
                  </w:tcBorders>
                  <w:shd w:val="clear" w:color="auto" w:fill="auto"/>
                  <w:tcMar>
                    <w:top w:w="0" w:type="dxa"/>
                    <w:left w:w="0" w:type="dxa"/>
                    <w:bottom w:w="0" w:type="dxa"/>
                    <w:right w:w="0" w:type="dxa"/>
                  </w:tcMar>
                  <w:vAlign w:val="center"/>
                </w:tcPr>
                <w:p w14:paraId="3713135E">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36.6</w:t>
                  </w:r>
                </w:p>
              </w:tc>
              <w:tc>
                <w:tcPr>
                  <w:tcW w:w="219" w:type="pct"/>
                  <w:tcBorders>
                    <w:tl2br w:val="nil"/>
                    <w:tr2bl w:val="nil"/>
                  </w:tcBorders>
                  <w:shd w:val="clear" w:color="auto" w:fill="auto"/>
                  <w:tcMar>
                    <w:top w:w="0" w:type="dxa"/>
                    <w:left w:w="0" w:type="dxa"/>
                    <w:bottom w:w="0" w:type="dxa"/>
                    <w:right w:w="0" w:type="dxa"/>
                  </w:tcMar>
                  <w:vAlign w:val="center"/>
                </w:tcPr>
                <w:p w14:paraId="4241783B">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49.6</w:t>
                  </w:r>
                </w:p>
              </w:tc>
              <w:tc>
                <w:tcPr>
                  <w:tcW w:w="206" w:type="pct"/>
                  <w:tcBorders>
                    <w:tl2br w:val="nil"/>
                    <w:tr2bl w:val="nil"/>
                  </w:tcBorders>
                  <w:shd w:val="clear" w:color="auto" w:fill="auto"/>
                  <w:tcMar>
                    <w:top w:w="0" w:type="dxa"/>
                    <w:left w:w="0" w:type="dxa"/>
                    <w:bottom w:w="0" w:type="dxa"/>
                    <w:right w:w="0" w:type="dxa"/>
                  </w:tcMar>
                  <w:vAlign w:val="center"/>
                </w:tcPr>
                <w:p w14:paraId="2CF902A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57.0</w:t>
                  </w:r>
                </w:p>
              </w:tc>
              <w:tc>
                <w:tcPr>
                  <w:tcW w:w="130" w:type="pct"/>
                  <w:vMerge w:val="continue"/>
                  <w:tcBorders>
                    <w:tl2br w:val="nil"/>
                    <w:tr2bl w:val="nil"/>
                  </w:tcBorders>
                  <w:shd w:val="clear" w:color="auto" w:fill="auto"/>
                  <w:tcMar>
                    <w:top w:w="0" w:type="dxa"/>
                    <w:left w:w="0" w:type="dxa"/>
                    <w:bottom w:w="0" w:type="dxa"/>
                    <w:right w:w="0" w:type="dxa"/>
                  </w:tcMar>
                  <w:vAlign w:val="center"/>
                </w:tcPr>
                <w:p w14:paraId="3C1A08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color w:val="auto"/>
                      <w:sz w:val="21"/>
                      <w:szCs w:val="21"/>
                      <w:highlight w:val="none"/>
                    </w:rPr>
                  </w:pPr>
                </w:p>
              </w:tc>
              <w:tc>
                <w:tcPr>
                  <w:tcW w:w="308" w:type="pct"/>
                  <w:tcBorders>
                    <w:tl2br w:val="nil"/>
                    <w:tr2bl w:val="nil"/>
                  </w:tcBorders>
                  <w:shd w:val="clear" w:color="auto" w:fill="auto"/>
                  <w:tcMar>
                    <w:top w:w="0" w:type="dxa"/>
                    <w:left w:w="0" w:type="dxa"/>
                    <w:bottom w:w="0" w:type="dxa"/>
                    <w:right w:w="0" w:type="dxa"/>
                  </w:tcMar>
                  <w:vAlign w:val="center"/>
                </w:tcPr>
                <w:p w14:paraId="47403EA8">
                  <w:pPr>
                    <w:keepNext w:val="0"/>
                    <w:keepLines w:val="0"/>
                    <w:widowControl/>
                    <w:suppressLineNumbers w:val="0"/>
                    <w:jc w:val="center"/>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20</w:t>
                  </w:r>
                </w:p>
              </w:tc>
              <w:tc>
                <w:tcPr>
                  <w:tcW w:w="229" w:type="pct"/>
                  <w:tcBorders>
                    <w:tl2br w:val="nil"/>
                    <w:tr2bl w:val="nil"/>
                  </w:tcBorders>
                  <w:shd w:val="clear" w:color="auto" w:fill="auto"/>
                  <w:tcMar>
                    <w:top w:w="0" w:type="dxa"/>
                    <w:left w:w="0" w:type="dxa"/>
                    <w:bottom w:w="0" w:type="dxa"/>
                    <w:right w:w="0" w:type="dxa"/>
                  </w:tcMar>
                  <w:vAlign w:val="center"/>
                </w:tcPr>
                <w:p w14:paraId="283B14A8">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33.2</w:t>
                  </w:r>
                </w:p>
              </w:tc>
              <w:tc>
                <w:tcPr>
                  <w:tcW w:w="201" w:type="pct"/>
                  <w:tcBorders>
                    <w:tl2br w:val="nil"/>
                    <w:tr2bl w:val="nil"/>
                  </w:tcBorders>
                  <w:shd w:val="clear" w:color="auto" w:fill="auto"/>
                  <w:tcMar>
                    <w:top w:w="0" w:type="dxa"/>
                    <w:left w:w="0" w:type="dxa"/>
                    <w:bottom w:w="0" w:type="dxa"/>
                    <w:right w:w="0" w:type="dxa"/>
                  </w:tcMar>
                  <w:vAlign w:val="center"/>
                </w:tcPr>
                <w:p w14:paraId="06549D7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16.6</w:t>
                  </w:r>
                </w:p>
              </w:tc>
              <w:tc>
                <w:tcPr>
                  <w:tcW w:w="201" w:type="pct"/>
                  <w:tcBorders>
                    <w:tl2br w:val="nil"/>
                    <w:tr2bl w:val="nil"/>
                  </w:tcBorders>
                  <w:shd w:val="clear" w:color="auto" w:fill="auto"/>
                  <w:tcMar>
                    <w:top w:w="0" w:type="dxa"/>
                    <w:left w:w="0" w:type="dxa"/>
                    <w:bottom w:w="0" w:type="dxa"/>
                    <w:right w:w="0" w:type="dxa"/>
                  </w:tcMar>
                  <w:vAlign w:val="center"/>
                </w:tcPr>
                <w:p w14:paraId="49154933">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29.6</w:t>
                  </w:r>
                </w:p>
              </w:tc>
              <w:tc>
                <w:tcPr>
                  <w:tcW w:w="215" w:type="pct"/>
                  <w:tcBorders>
                    <w:tl2br w:val="nil"/>
                    <w:tr2bl w:val="nil"/>
                  </w:tcBorders>
                  <w:shd w:val="clear" w:color="auto" w:fill="auto"/>
                  <w:tcMar>
                    <w:top w:w="0" w:type="dxa"/>
                    <w:left w:w="0" w:type="dxa"/>
                    <w:bottom w:w="0" w:type="dxa"/>
                    <w:right w:w="0" w:type="dxa"/>
                  </w:tcMar>
                  <w:vAlign w:val="center"/>
                </w:tcPr>
                <w:p w14:paraId="3736AE7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37.0</w:t>
                  </w:r>
                </w:p>
              </w:tc>
              <w:tc>
                <w:tcPr>
                  <w:tcW w:w="291" w:type="pct"/>
                  <w:vMerge w:val="continue"/>
                  <w:tcBorders>
                    <w:tl2br w:val="nil"/>
                    <w:tr2bl w:val="nil"/>
                  </w:tcBorders>
                  <w:shd w:val="clear" w:color="auto" w:fill="auto"/>
                  <w:tcMar>
                    <w:top w:w="0" w:type="dxa"/>
                    <w:left w:w="0" w:type="dxa"/>
                    <w:bottom w:w="0" w:type="dxa"/>
                    <w:right w:w="0" w:type="dxa"/>
                  </w:tcMar>
                  <w:vAlign w:val="center"/>
                </w:tcPr>
                <w:p w14:paraId="4FF5FC2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p>
              </w:tc>
            </w:tr>
            <w:tr w14:paraId="7BB232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25"/>
                  <w:shd w:val="clear" w:color="auto" w:fill="auto"/>
                  <w:vAlign w:val="center"/>
                </w:tcPr>
                <w:p w14:paraId="0505B5FB">
                  <w:pPr>
                    <w:keepNext w:val="0"/>
                    <w:keepLines w:val="0"/>
                    <w:widowControl/>
                    <w:suppressLineNumbers w:val="0"/>
                    <w:jc w:val="both"/>
                    <w:textAlignment w:val="center"/>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b/>
                      <w:color w:val="auto"/>
                      <w:sz w:val="21"/>
                      <w:szCs w:val="21"/>
                      <w:highlight w:val="none"/>
                    </w:rPr>
                    <w:t>注：</w:t>
                  </w:r>
                  <w:r>
                    <w:rPr>
                      <w:rFonts w:hint="default" w:ascii="Times New Roman" w:hAnsi="Times New Roman" w:eastAsia="仿宋" w:cs="Times New Roman"/>
                      <w:color w:val="auto"/>
                      <w:sz w:val="21"/>
                      <w:szCs w:val="21"/>
                      <w:highlight w:val="none"/>
                    </w:rPr>
                    <w:t>[1]本项目车间内设备按点源预测；[2]坐标原点为</w:t>
                  </w:r>
                  <w:r>
                    <w:rPr>
                      <w:rFonts w:hint="default" w:ascii="Times New Roman" w:hAnsi="Times New Roman" w:eastAsia="仿宋" w:cs="Times New Roman"/>
                      <w:color w:val="auto"/>
                      <w:sz w:val="21"/>
                      <w:szCs w:val="21"/>
                      <w:highlight w:val="none"/>
                      <w:lang w:val="en-US" w:eastAsia="zh-CN"/>
                    </w:rPr>
                    <w:t>厂房西南角</w:t>
                  </w:r>
                  <w:r>
                    <w:rPr>
                      <w:rFonts w:hint="default" w:ascii="Times New Roman" w:hAnsi="Times New Roman" w:eastAsia="仿宋" w:cs="Times New Roman"/>
                      <w:color w:val="auto"/>
                      <w:sz w:val="21"/>
                      <w:szCs w:val="21"/>
                      <w:highlight w:val="none"/>
                    </w:rPr>
                    <w:t>（0，0，0）</w:t>
                  </w:r>
                </w:p>
              </w:tc>
            </w:tr>
          </w:tbl>
          <w:p w14:paraId="3D96223A">
            <w:pPr>
              <w:jc w:val="center"/>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表4-</w:t>
            </w:r>
            <w:r>
              <w:rPr>
                <w:rFonts w:hint="eastAsia" w:cs="Times New Roman"/>
                <w:b/>
                <w:bCs/>
                <w:color w:val="auto"/>
                <w:sz w:val="24"/>
                <w:szCs w:val="24"/>
                <w:highlight w:val="none"/>
                <w:lang w:val="en-US" w:eastAsia="zh-CN"/>
              </w:rPr>
              <w:t xml:space="preserve">17  </w:t>
            </w:r>
            <w:r>
              <w:rPr>
                <w:rFonts w:hint="default" w:ascii="Times New Roman" w:hAnsi="Times New Roman" w:cs="Times New Roman"/>
                <w:b/>
                <w:snapToGrid w:val="0"/>
                <w:color w:val="auto"/>
                <w:sz w:val="24"/>
                <w:szCs w:val="24"/>
                <w:highlight w:val="none"/>
              </w:rPr>
              <w:t>工业企业噪声源强调查清单（室外声源）</w:t>
            </w:r>
          </w:p>
          <w:tbl>
            <w:tblPr>
              <w:tblStyle w:val="22"/>
              <w:tblW w:w="4998" w:type="pct"/>
              <w:tblInd w:w="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80"/>
              <w:gridCol w:w="1869"/>
              <w:gridCol w:w="1682"/>
              <w:gridCol w:w="1223"/>
              <w:gridCol w:w="1069"/>
              <w:gridCol w:w="1270"/>
              <w:gridCol w:w="1874"/>
              <w:gridCol w:w="2556"/>
              <w:gridCol w:w="1601"/>
            </w:tblGrid>
            <w:tr w14:paraId="09026E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280" w:type="pct"/>
                  <w:vMerge w:val="restart"/>
                  <w:tcBorders>
                    <w:tl2br w:val="nil"/>
                    <w:tr2bl w:val="nil"/>
                  </w:tcBorders>
                  <w:noWrap w:val="0"/>
                  <w:vAlign w:val="center"/>
                </w:tcPr>
                <w:p w14:paraId="5286BCF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序号</w:t>
                  </w:r>
                </w:p>
              </w:tc>
              <w:tc>
                <w:tcPr>
                  <w:tcW w:w="671" w:type="pct"/>
                  <w:vMerge w:val="restart"/>
                  <w:tcBorders>
                    <w:tl2br w:val="nil"/>
                    <w:tr2bl w:val="nil"/>
                  </w:tcBorders>
                  <w:noWrap w:val="0"/>
                  <w:vAlign w:val="center"/>
                </w:tcPr>
                <w:p w14:paraId="305A4FF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声源名称</w:t>
                  </w:r>
                </w:p>
              </w:tc>
              <w:tc>
                <w:tcPr>
                  <w:tcW w:w="604" w:type="pct"/>
                  <w:vMerge w:val="restart"/>
                  <w:tcBorders>
                    <w:tl2br w:val="nil"/>
                    <w:tr2bl w:val="nil"/>
                  </w:tcBorders>
                  <w:noWrap w:val="0"/>
                  <w:vAlign w:val="center"/>
                </w:tcPr>
                <w:p w14:paraId="60ACB57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型号</w:t>
                  </w:r>
                </w:p>
              </w:tc>
              <w:tc>
                <w:tcPr>
                  <w:tcW w:w="1279" w:type="pct"/>
                  <w:gridSpan w:val="3"/>
                  <w:tcBorders>
                    <w:tl2br w:val="nil"/>
                    <w:tr2bl w:val="nil"/>
                  </w:tcBorders>
                  <w:noWrap w:val="0"/>
                  <w:vAlign w:val="center"/>
                </w:tcPr>
                <w:p w14:paraId="404EFF18">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空间相对位置/m</w:t>
                  </w:r>
                </w:p>
              </w:tc>
              <w:tc>
                <w:tcPr>
                  <w:tcW w:w="673" w:type="pct"/>
                  <w:vMerge w:val="restart"/>
                  <w:tcBorders>
                    <w:tl2br w:val="nil"/>
                    <w:tr2bl w:val="nil"/>
                  </w:tcBorders>
                  <w:noWrap w:val="0"/>
                  <w:vAlign w:val="center"/>
                </w:tcPr>
                <w:p w14:paraId="0E5BE3B6">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b/>
                      <w:color w:val="auto"/>
                      <w:sz w:val="21"/>
                      <w:szCs w:val="21"/>
                      <w:highlight w:val="none"/>
                      <w:lang w:val="en-US" w:eastAsia="zh-CN"/>
                    </w:rPr>
                  </w:pPr>
                  <w:r>
                    <w:rPr>
                      <w:rFonts w:hint="default" w:ascii="Times New Roman" w:hAnsi="Times New Roman" w:eastAsia="仿宋" w:cs="Times New Roman"/>
                      <w:b/>
                      <w:color w:val="auto"/>
                      <w:sz w:val="21"/>
                      <w:szCs w:val="21"/>
                      <w:highlight w:val="none"/>
                    </w:rPr>
                    <w:t>声源源强dB</w:t>
                  </w:r>
                  <w:r>
                    <w:rPr>
                      <w:rFonts w:hint="default" w:ascii="Times New Roman" w:hAnsi="Times New Roman" w:eastAsia="仿宋" w:cs="Times New Roman"/>
                      <w:b/>
                      <w:color w:val="auto"/>
                      <w:sz w:val="21"/>
                      <w:szCs w:val="21"/>
                      <w:highlight w:val="none"/>
                      <w:lang w:val="en-US" w:eastAsia="zh-CN"/>
                    </w:rPr>
                    <w:t>(A)</w:t>
                  </w:r>
                </w:p>
              </w:tc>
              <w:tc>
                <w:tcPr>
                  <w:tcW w:w="918" w:type="pct"/>
                  <w:vMerge w:val="restart"/>
                  <w:tcBorders>
                    <w:tl2br w:val="nil"/>
                    <w:tr2bl w:val="nil"/>
                  </w:tcBorders>
                  <w:noWrap w:val="0"/>
                  <w:vAlign w:val="center"/>
                </w:tcPr>
                <w:p w14:paraId="3EE7CE88">
                  <w:pPr>
                    <w:keepNext w:val="0"/>
                    <w:keepLines w:val="0"/>
                    <w:pageBreakBefore w:val="0"/>
                    <w:kinsoku/>
                    <w:wordWrap/>
                    <w:overflowPunct/>
                    <w:topLinePunct w:val="0"/>
                    <w:autoSpaceDE/>
                    <w:autoSpaceDN/>
                    <w:bidi w:val="0"/>
                    <w:snapToGrid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声源控制措施</w:t>
                  </w:r>
                </w:p>
              </w:tc>
              <w:tc>
                <w:tcPr>
                  <w:tcW w:w="571" w:type="pct"/>
                  <w:vMerge w:val="restart"/>
                  <w:tcBorders>
                    <w:tl2br w:val="nil"/>
                    <w:tr2bl w:val="nil"/>
                  </w:tcBorders>
                  <w:noWrap w:val="0"/>
                  <w:vAlign w:val="center"/>
                </w:tcPr>
                <w:p w14:paraId="5455D02D">
                  <w:pPr>
                    <w:keepNext w:val="0"/>
                    <w:keepLines w:val="0"/>
                    <w:pageBreakBefore w:val="0"/>
                    <w:kinsoku/>
                    <w:wordWrap/>
                    <w:overflowPunct/>
                    <w:topLinePunct w:val="0"/>
                    <w:autoSpaceDE/>
                    <w:autoSpaceDN/>
                    <w:bidi w:val="0"/>
                    <w:snapToGrid w:val="0"/>
                    <w:jc w:val="center"/>
                    <w:textAlignment w:val="auto"/>
                    <w:rPr>
                      <w:rFonts w:hint="default" w:ascii="Times New Roman" w:hAnsi="Times New Roman" w:eastAsia="仿宋" w:cs="Times New Roman"/>
                      <w:b/>
                      <w:color w:val="auto"/>
                      <w:sz w:val="21"/>
                      <w:szCs w:val="21"/>
                      <w:highlight w:val="none"/>
                      <w:lang w:eastAsia="zh-CN"/>
                    </w:rPr>
                  </w:pPr>
                  <w:r>
                    <w:rPr>
                      <w:rFonts w:hint="default" w:ascii="Times New Roman" w:hAnsi="Times New Roman" w:eastAsia="仿宋" w:cs="Times New Roman"/>
                      <w:b/>
                      <w:color w:val="auto"/>
                      <w:sz w:val="21"/>
                      <w:szCs w:val="21"/>
                      <w:highlight w:val="none"/>
                    </w:rPr>
                    <w:t>运行时段</w:t>
                  </w:r>
                </w:p>
              </w:tc>
            </w:tr>
            <w:tr w14:paraId="0349AB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01" w:hRule="atLeast"/>
              </w:trPr>
              <w:tc>
                <w:tcPr>
                  <w:tcW w:w="280" w:type="pct"/>
                  <w:vMerge w:val="continue"/>
                  <w:tcBorders>
                    <w:tl2br w:val="nil"/>
                    <w:tr2bl w:val="nil"/>
                  </w:tcBorders>
                  <w:noWrap w:val="0"/>
                  <w:vAlign w:val="center"/>
                </w:tcPr>
                <w:p w14:paraId="41309E7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rPr>
                  </w:pPr>
                </w:p>
              </w:tc>
              <w:tc>
                <w:tcPr>
                  <w:tcW w:w="671" w:type="pct"/>
                  <w:vMerge w:val="continue"/>
                  <w:tcBorders>
                    <w:tl2br w:val="nil"/>
                    <w:tr2bl w:val="nil"/>
                  </w:tcBorders>
                  <w:noWrap w:val="0"/>
                  <w:vAlign w:val="center"/>
                </w:tcPr>
                <w:p w14:paraId="394B42F4">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rPr>
                  </w:pPr>
                </w:p>
              </w:tc>
              <w:tc>
                <w:tcPr>
                  <w:tcW w:w="604" w:type="pct"/>
                  <w:vMerge w:val="continue"/>
                  <w:tcBorders>
                    <w:tl2br w:val="nil"/>
                    <w:tr2bl w:val="nil"/>
                  </w:tcBorders>
                  <w:noWrap w:val="0"/>
                  <w:vAlign w:val="center"/>
                </w:tcPr>
                <w:p w14:paraId="4D7EC7E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rPr>
                  </w:pPr>
                </w:p>
              </w:tc>
              <w:tc>
                <w:tcPr>
                  <w:tcW w:w="439" w:type="pct"/>
                  <w:tcBorders>
                    <w:tl2br w:val="nil"/>
                    <w:tr2bl w:val="nil"/>
                  </w:tcBorders>
                  <w:noWrap w:val="0"/>
                  <w:vAlign w:val="center"/>
                </w:tcPr>
                <w:p w14:paraId="5DAD888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X</w:t>
                  </w:r>
                </w:p>
              </w:tc>
              <w:tc>
                <w:tcPr>
                  <w:tcW w:w="384" w:type="pct"/>
                  <w:tcBorders>
                    <w:tl2br w:val="nil"/>
                    <w:tr2bl w:val="nil"/>
                  </w:tcBorders>
                  <w:noWrap w:val="0"/>
                  <w:vAlign w:val="center"/>
                </w:tcPr>
                <w:p w14:paraId="3FB98CC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Y</w:t>
                  </w:r>
                </w:p>
              </w:tc>
              <w:tc>
                <w:tcPr>
                  <w:tcW w:w="456" w:type="pct"/>
                  <w:tcBorders>
                    <w:tl2br w:val="nil"/>
                    <w:tr2bl w:val="nil"/>
                  </w:tcBorders>
                  <w:noWrap w:val="0"/>
                  <w:vAlign w:val="center"/>
                </w:tcPr>
                <w:p w14:paraId="7951257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Z</w:t>
                  </w:r>
                </w:p>
              </w:tc>
              <w:tc>
                <w:tcPr>
                  <w:tcW w:w="673" w:type="pct"/>
                  <w:vMerge w:val="continue"/>
                  <w:tcBorders>
                    <w:tl2br w:val="nil"/>
                    <w:tr2bl w:val="nil"/>
                  </w:tcBorders>
                  <w:noWrap w:val="0"/>
                  <w:vAlign w:val="center"/>
                </w:tcPr>
                <w:p w14:paraId="1239AC02">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仿宋" w:cs="Times New Roman"/>
                      <w:b/>
                      <w:color w:val="auto"/>
                      <w:sz w:val="21"/>
                      <w:szCs w:val="21"/>
                      <w:highlight w:val="none"/>
                    </w:rPr>
                  </w:pPr>
                </w:p>
              </w:tc>
              <w:tc>
                <w:tcPr>
                  <w:tcW w:w="918" w:type="pct"/>
                  <w:vMerge w:val="continue"/>
                  <w:tcBorders>
                    <w:tl2br w:val="nil"/>
                    <w:tr2bl w:val="nil"/>
                  </w:tcBorders>
                  <w:noWrap w:val="0"/>
                  <w:vAlign w:val="center"/>
                </w:tcPr>
                <w:p w14:paraId="1BB8253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rPr>
                  </w:pPr>
                </w:p>
              </w:tc>
              <w:tc>
                <w:tcPr>
                  <w:tcW w:w="571" w:type="pct"/>
                  <w:vMerge w:val="continue"/>
                  <w:tcBorders>
                    <w:tl2br w:val="nil"/>
                    <w:tr2bl w:val="nil"/>
                  </w:tcBorders>
                  <w:noWrap w:val="0"/>
                  <w:vAlign w:val="center"/>
                </w:tcPr>
                <w:p w14:paraId="4E59B662">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rPr>
                  </w:pPr>
                </w:p>
              </w:tc>
            </w:tr>
            <w:tr w14:paraId="039392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47" w:hRule="atLeast"/>
              </w:trPr>
              <w:tc>
                <w:tcPr>
                  <w:tcW w:w="280" w:type="pct"/>
                  <w:tcBorders>
                    <w:tl2br w:val="nil"/>
                    <w:tr2bl w:val="nil"/>
                  </w:tcBorders>
                  <w:noWrap w:val="0"/>
                  <w:vAlign w:val="center"/>
                </w:tcPr>
                <w:p w14:paraId="6979413C">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w:t>
                  </w:r>
                </w:p>
              </w:tc>
              <w:tc>
                <w:tcPr>
                  <w:tcW w:w="671" w:type="pct"/>
                  <w:tcBorders>
                    <w:tl2br w:val="nil"/>
                    <w:tr2bl w:val="nil"/>
                  </w:tcBorders>
                  <w:noWrap w:val="0"/>
                  <w:vAlign w:val="center"/>
                </w:tcPr>
                <w:p w14:paraId="4E4A6831">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rPr>
                  </w:pPr>
                  <w:r>
                    <w:rPr>
                      <w:rFonts w:hint="eastAsia" w:eastAsia="仿宋" w:cs="Times New Roman"/>
                      <w:color w:val="auto"/>
                      <w:sz w:val="21"/>
                      <w:szCs w:val="21"/>
                      <w:highlight w:val="none"/>
                      <w:lang w:val="en-US" w:eastAsia="zh-CN"/>
                    </w:rPr>
                    <w:t>空压机</w:t>
                  </w:r>
                </w:p>
              </w:tc>
              <w:tc>
                <w:tcPr>
                  <w:tcW w:w="604" w:type="pct"/>
                  <w:tcBorders>
                    <w:tl2br w:val="nil"/>
                    <w:tr2bl w:val="nil"/>
                  </w:tcBorders>
                  <w:noWrap w:val="0"/>
                  <w:vAlign w:val="center"/>
                </w:tcPr>
                <w:p w14:paraId="1FE90C87">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w:t>
                  </w:r>
                </w:p>
              </w:tc>
              <w:tc>
                <w:tcPr>
                  <w:tcW w:w="439" w:type="pct"/>
                  <w:tcBorders>
                    <w:tl2br w:val="nil"/>
                    <w:tr2bl w:val="nil"/>
                  </w:tcBorders>
                  <w:noWrap w:val="0"/>
                  <w:vAlign w:val="center"/>
                </w:tcPr>
                <w:p w14:paraId="1E85521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21</w:t>
                  </w:r>
                </w:p>
              </w:tc>
              <w:tc>
                <w:tcPr>
                  <w:tcW w:w="384" w:type="pct"/>
                  <w:tcBorders>
                    <w:tl2br w:val="nil"/>
                    <w:tr2bl w:val="nil"/>
                  </w:tcBorders>
                  <w:noWrap w:val="0"/>
                  <w:vAlign w:val="center"/>
                </w:tcPr>
                <w:p w14:paraId="33A6A0CD">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34</w:t>
                  </w:r>
                </w:p>
              </w:tc>
              <w:tc>
                <w:tcPr>
                  <w:tcW w:w="456" w:type="pct"/>
                  <w:tcBorders>
                    <w:tl2br w:val="nil"/>
                    <w:tr2bl w:val="nil"/>
                  </w:tcBorders>
                  <w:noWrap w:val="0"/>
                  <w:vAlign w:val="center"/>
                </w:tcPr>
                <w:p w14:paraId="581DEB21">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21</w:t>
                  </w:r>
                </w:p>
              </w:tc>
              <w:tc>
                <w:tcPr>
                  <w:tcW w:w="673" w:type="pct"/>
                  <w:tcBorders>
                    <w:tl2br w:val="nil"/>
                    <w:tr2bl w:val="nil"/>
                  </w:tcBorders>
                  <w:noWrap w:val="0"/>
                  <w:vAlign w:val="center"/>
                </w:tcPr>
                <w:p w14:paraId="4EB8A1B2">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80</w:t>
                  </w:r>
                </w:p>
              </w:tc>
              <w:tc>
                <w:tcPr>
                  <w:tcW w:w="918" w:type="pct"/>
                  <w:tcBorders>
                    <w:tl2br w:val="nil"/>
                    <w:tr2bl w:val="nil"/>
                  </w:tcBorders>
                  <w:noWrap w:val="0"/>
                  <w:vAlign w:val="center"/>
                </w:tcPr>
                <w:p w14:paraId="4263F197">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shd w:val="clear" w:color="auto" w:fill="auto"/>
                      <w:lang w:val="en-US" w:eastAsia="zh-CN"/>
                    </w:rPr>
                    <w:t>设减振垫，加强设备维护管理</w:t>
                  </w:r>
                  <w:r>
                    <w:rPr>
                      <w:rFonts w:hint="eastAsia" w:eastAsia="仿宋" w:cs="Times New Roman"/>
                      <w:color w:val="auto"/>
                      <w:sz w:val="21"/>
                      <w:szCs w:val="21"/>
                      <w:highlight w:val="none"/>
                      <w:shd w:val="clear" w:color="auto" w:fill="auto"/>
                      <w:lang w:val="en-US" w:eastAsia="zh-CN"/>
                    </w:rPr>
                    <w:t>30dB(A)</w:t>
                  </w:r>
                </w:p>
              </w:tc>
              <w:tc>
                <w:tcPr>
                  <w:tcW w:w="571" w:type="pct"/>
                  <w:tcBorders>
                    <w:tl2br w:val="nil"/>
                    <w:tr2bl w:val="nil"/>
                  </w:tcBorders>
                  <w:noWrap w:val="0"/>
                  <w:vAlign w:val="center"/>
                </w:tcPr>
                <w:p w14:paraId="30AEF1D8">
                  <w:pPr>
                    <w:keepNext w:val="0"/>
                    <w:keepLines w:val="0"/>
                    <w:pageBreakBefore w:val="0"/>
                    <w:kinsoku/>
                    <w:wordWrap/>
                    <w:overflowPunct/>
                    <w:topLinePunct w:val="0"/>
                    <w:autoSpaceDE/>
                    <w:autoSpaceDN/>
                    <w:bidi w:val="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昼间、夜间</w:t>
                  </w:r>
                </w:p>
              </w:tc>
            </w:tr>
            <w:tr w14:paraId="553B8F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1" w:hRule="atLeast"/>
              </w:trPr>
              <w:tc>
                <w:tcPr>
                  <w:tcW w:w="5000" w:type="pct"/>
                  <w:gridSpan w:val="9"/>
                  <w:tcBorders>
                    <w:tl2br w:val="nil"/>
                    <w:tr2bl w:val="nil"/>
                  </w:tcBorders>
                  <w:noWrap w:val="0"/>
                  <w:vAlign w:val="center"/>
                </w:tcPr>
                <w:p w14:paraId="6BBF2B95">
                  <w:pPr>
                    <w:keepNext w:val="0"/>
                    <w:keepLines w:val="0"/>
                    <w:pageBreakBefore w:val="0"/>
                    <w:kinsoku/>
                    <w:wordWrap/>
                    <w:overflowPunct/>
                    <w:topLinePunct w:val="0"/>
                    <w:autoSpaceDE/>
                    <w:autoSpaceDN/>
                    <w:bidi w:val="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b/>
                      <w:color w:val="auto"/>
                      <w:sz w:val="21"/>
                      <w:szCs w:val="21"/>
                      <w:highlight w:val="none"/>
                    </w:rPr>
                    <w:t>注：</w:t>
                  </w:r>
                  <w:r>
                    <w:rPr>
                      <w:rFonts w:hint="default" w:ascii="Times New Roman" w:hAnsi="Times New Roman" w:eastAsia="仿宋" w:cs="Times New Roman"/>
                      <w:color w:val="auto"/>
                      <w:sz w:val="21"/>
                      <w:szCs w:val="21"/>
                      <w:highlight w:val="none"/>
                    </w:rPr>
                    <w:t>坐标原点为</w:t>
                  </w:r>
                  <w:r>
                    <w:rPr>
                      <w:rFonts w:hint="default" w:ascii="Times New Roman" w:hAnsi="Times New Roman" w:eastAsia="仿宋" w:cs="Times New Roman"/>
                      <w:color w:val="auto"/>
                      <w:sz w:val="21"/>
                      <w:szCs w:val="21"/>
                      <w:highlight w:val="none"/>
                      <w:lang w:val="en-US" w:eastAsia="zh-CN"/>
                    </w:rPr>
                    <w:t>厂房西南角</w:t>
                  </w:r>
                  <w:r>
                    <w:rPr>
                      <w:rFonts w:hint="default" w:ascii="Times New Roman" w:hAnsi="Times New Roman" w:eastAsia="仿宋" w:cs="Times New Roman"/>
                      <w:color w:val="auto"/>
                      <w:sz w:val="21"/>
                      <w:szCs w:val="21"/>
                      <w:highlight w:val="none"/>
                    </w:rPr>
                    <w:t>（0，0）</w:t>
                  </w:r>
                </w:p>
              </w:tc>
            </w:tr>
          </w:tbl>
          <w:p w14:paraId="5C8C4342">
            <w:pPr>
              <w:tabs>
                <w:tab w:val="left" w:pos="2010"/>
              </w:tabs>
              <w:adjustRightInd w:val="0"/>
              <w:snapToGrid w:val="0"/>
              <w:spacing w:line="360" w:lineRule="auto"/>
              <w:rPr>
                <w:b/>
                <w:color w:val="auto"/>
                <w:kern w:val="0"/>
                <w:sz w:val="28"/>
                <w:szCs w:val="28"/>
                <w:highlight w:val="none"/>
                <w:vertAlign w:val="baseline"/>
              </w:rPr>
            </w:pPr>
          </w:p>
          <w:p w14:paraId="24337B26">
            <w:pPr>
              <w:pStyle w:val="3"/>
              <w:rPr>
                <w:highlight w:val="none"/>
              </w:rPr>
            </w:pPr>
          </w:p>
        </w:tc>
      </w:tr>
    </w:tbl>
    <w:p w14:paraId="46A11532">
      <w:pPr>
        <w:tabs>
          <w:tab w:val="left" w:pos="2010"/>
        </w:tabs>
        <w:adjustRightInd w:val="0"/>
        <w:snapToGrid w:val="0"/>
        <w:spacing w:line="360" w:lineRule="auto"/>
        <w:rPr>
          <w:b/>
          <w:color w:val="auto"/>
          <w:kern w:val="0"/>
          <w:sz w:val="28"/>
          <w:szCs w:val="28"/>
          <w:highlight w:val="none"/>
        </w:rPr>
        <w:sectPr>
          <w:pgSz w:w="16840" w:h="11907" w:orient="landscape"/>
          <w:pgMar w:top="1797" w:right="1440" w:bottom="1797" w:left="1440" w:header="851" w:footer="851" w:gutter="0"/>
          <w:pgBorders>
            <w:top w:val="none" w:sz="0" w:space="0"/>
            <w:left w:val="none" w:sz="0" w:space="0"/>
            <w:bottom w:val="none" w:sz="0" w:space="0"/>
            <w:right w:val="none" w:sz="0" w:space="0"/>
          </w:pgBorders>
          <w:cols w:space="720" w:num="1"/>
          <w:docGrid w:linePitch="312" w:charSpace="0"/>
        </w:sectPr>
      </w:pP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60"/>
        <w:gridCol w:w="8189"/>
      </w:tblGrid>
      <w:tr w14:paraId="673FB6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61" w:hRule="atLeast"/>
          <w:jc w:val="center"/>
        </w:trPr>
        <w:tc>
          <w:tcPr>
            <w:tcW w:w="260" w:type="dxa"/>
            <w:tcMar>
              <w:left w:w="28" w:type="dxa"/>
              <w:right w:w="28" w:type="dxa"/>
            </w:tcMar>
            <w:vAlign w:val="center"/>
          </w:tcPr>
          <w:p w14:paraId="7A12A182">
            <w:pPr>
              <w:adjustRightInd w:val="0"/>
              <w:snapToGrid w:val="0"/>
              <w:jc w:val="center"/>
              <w:rPr>
                <w:color w:val="auto"/>
                <w:highlight w:val="none"/>
              </w:rPr>
            </w:pPr>
            <w:r>
              <w:rPr>
                <w:rFonts w:hint="eastAsia"/>
                <w:color w:val="auto"/>
                <w:sz w:val="24"/>
                <w:szCs w:val="24"/>
                <w:highlight w:val="none"/>
              </w:rPr>
              <w:t>运营期环境影响和保护措施</w:t>
            </w:r>
          </w:p>
        </w:tc>
        <w:tc>
          <w:tcPr>
            <w:tcW w:w="8189" w:type="dxa"/>
          </w:tcPr>
          <w:p w14:paraId="69F982BE">
            <w:pPr>
              <w:spacing w:line="360" w:lineRule="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3.2  主要预测模式</w:t>
            </w:r>
          </w:p>
          <w:p w14:paraId="583F74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采用噪声数学模式进行预测，工业噪声预测模式为：</w:t>
            </w:r>
          </w:p>
          <w:p w14:paraId="6F4FF5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kern w:val="2"/>
                <w:sz w:val="24"/>
                <w:szCs w:val="24"/>
                <w:highlight w:val="none"/>
                <w:lang w:val="en-US" w:eastAsia="zh-CN" w:bidi="ar"/>
              </w:rPr>
              <w:t>（1）点声源的几何发散衰减：</w:t>
            </w:r>
          </w:p>
          <w:p w14:paraId="6C141E76">
            <w:pPr>
              <w:pStyle w:val="19"/>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iCs/>
                <w:color w:val="auto"/>
                <w:sz w:val="24"/>
                <w:szCs w:val="24"/>
                <w:highlight w:val="none"/>
                <w:lang w:val="en-US"/>
              </w:rPr>
            </w:pPr>
            <w:r>
              <w:rPr>
                <w:rFonts w:hint="default" w:ascii="Times New Roman" w:hAnsi="Times New Roman" w:eastAsia="宋体" w:cs="Times New Roman"/>
                <w:color w:val="auto"/>
                <w:kern w:val="0"/>
                <w:sz w:val="24"/>
                <w:szCs w:val="24"/>
                <w:highlight w:val="none"/>
                <w:lang w:val="en-US" w:eastAsia="zh-CN" w:bidi="ar"/>
              </w:rPr>
              <w:drawing>
                <wp:inline distT="0" distB="0" distL="114300" distR="114300">
                  <wp:extent cx="1543050" cy="276225"/>
                  <wp:effectExtent l="0" t="0" r="0" b="8890"/>
                  <wp:docPr id="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pic:cNvPicPr>
                            <a:picLocks noChangeAspect="1"/>
                          </pic:cNvPicPr>
                        </pic:nvPicPr>
                        <pic:blipFill>
                          <a:blip r:embed="rId22">
                            <a:clrChange>
                              <a:clrFrom>
                                <a:srgbClr val="FFFFFF"/>
                              </a:clrFrom>
                              <a:clrTo>
                                <a:srgbClr val="FFFFFF">
                                  <a:alpha val="0"/>
                                </a:srgbClr>
                              </a:clrTo>
                            </a:clrChange>
                          </a:blip>
                          <a:stretch>
                            <a:fillRect/>
                          </a:stretch>
                        </pic:blipFill>
                        <pic:spPr>
                          <a:xfrm>
                            <a:off x="0" y="0"/>
                            <a:ext cx="1543050" cy="276225"/>
                          </a:xfrm>
                          <a:prstGeom prst="rect">
                            <a:avLst/>
                          </a:prstGeom>
                          <a:noFill/>
                          <a:ln>
                            <a:noFill/>
                          </a:ln>
                        </pic:spPr>
                      </pic:pic>
                    </a:graphicData>
                  </a:graphic>
                </wp:inline>
              </w:drawing>
            </w:r>
          </w:p>
          <w:p w14:paraId="74401FDD">
            <w:pPr>
              <w:pStyle w:val="1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kern w:val="0"/>
                <w:sz w:val="24"/>
                <w:szCs w:val="24"/>
                <w:highlight w:val="none"/>
                <w:lang w:val="en-US" w:eastAsia="zh-CN" w:bidi="ar"/>
              </w:rPr>
              <w:t>式中：</w:t>
            </w:r>
          </w:p>
          <w:p w14:paraId="5DCE36CD">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kern w:val="2"/>
                <w:sz w:val="24"/>
                <w:szCs w:val="24"/>
                <w:highlight w:val="none"/>
                <w:lang w:val="en-US" w:eastAsia="zh-CN" w:bidi="ar"/>
              </w:rPr>
              <w:t>Lp（r）——预测点处声压级，dB(A)；</w:t>
            </w:r>
          </w:p>
          <w:p w14:paraId="49963A72">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kern w:val="2"/>
                <w:sz w:val="24"/>
                <w:szCs w:val="24"/>
                <w:highlight w:val="none"/>
                <w:lang w:val="en-US" w:eastAsia="zh-CN" w:bidi="ar"/>
              </w:rPr>
              <w:t>Lp（ro）——参考位置ro处的声压级，dB；</w:t>
            </w:r>
          </w:p>
          <w:p w14:paraId="264D0AE5">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kern w:val="2"/>
                <w:sz w:val="24"/>
                <w:szCs w:val="24"/>
                <w:highlight w:val="none"/>
                <w:lang w:val="en-US" w:eastAsia="zh-CN" w:bidi="ar"/>
              </w:rPr>
              <w:t>r——预测点距声源的距离，（m）；</w:t>
            </w:r>
          </w:p>
          <w:p w14:paraId="55D2F6D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）多声源叠加模式</w:t>
            </w:r>
          </w:p>
          <w:p w14:paraId="33C63122">
            <w:pPr>
              <w:keepNext w:val="0"/>
              <w:keepLines w:val="0"/>
              <w:suppressLineNumbers w:val="0"/>
              <w:adjustRightInd w:val="0"/>
              <w:snapToGrid w:val="0"/>
              <w:spacing w:before="0" w:beforeAutospacing="0" w:after="0" w:afterAutospacing="0" w:line="360" w:lineRule="auto"/>
              <w:ind w:left="0" w:right="0" w:firstLine="480" w:firstLineChars="20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vertAlign w:val="subscript"/>
              </w:rPr>
              <w:t>eqg</w:t>
            </w:r>
            <w:r>
              <w:rPr>
                <w:rFonts w:hint="default" w:ascii="Times New Roman" w:hAnsi="Times New Roman" w:eastAsia="宋体" w:cs="Times New Roman"/>
                <w:color w:val="auto"/>
                <w:sz w:val="24"/>
                <w:szCs w:val="24"/>
                <w:highlight w:val="none"/>
              </w:rPr>
              <w:t>=10lg（1/T) ∑t</w:t>
            </w:r>
            <w:r>
              <w:rPr>
                <w:rFonts w:hint="default" w:ascii="Times New Roman" w:hAnsi="Times New Roman" w:eastAsia="宋体" w:cs="Times New Roman"/>
                <w:color w:val="auto"/>
                <w:sz w:val="24"/>
                <w:szCs w:val="24"/>
                <w:highlight w:val="none"/>
                <w:vertAlign w:val="subscript"/>
              </w:rPr>
              <w:t>i</w:t>
            </w:r>
            <w:r>
              <w:rPr>
                <w:rFonts w:hint="default" w:ascii="Times New Roman" w:hAnsi="Times New Roman" w:eastAsia="宋体" w:cs="Times New Roman"/>
                <w:color w:val="auto"/>
                <w:sz w:val="24"/>
                <w:szCs w:val="24"/>
                <w:highlight w:val="none"/>
              </w:rPr>
              <w:t>10</w:t>
            </w:r>
            <w:r>
              <w:rPr>
                <w:rFonts w:hint="default" w:ascii="Times New Roman" w:hAnsi="Times New Roman" w:eastAsia="宋体" w:cs="Times New Roman"/>
                <w:color w:val="auto"/>
                <w:sz w:val="24"/>
                <w:szCs w:val="24"/>
                <w:highlight w:val="none"/>
                <w:vertAlign w:val="superscript"/>
              </w:rPr>
              <w:t>0.1Lai</w:t>
            </w:r>
            <w:r>
              <w:rPr>
                <w:rFonts w:hint="default" w:ascii="Times New Roman" w:hAnsi="Times New Roman" w:eastAsia="宋体" w:cs="Times New Roman"/>
                <w:color w:val="auto"/>
                <w:sz w:val="24"/>
                <w:szCs w:val="24"/>
                <w:highlight w:val="none"/>
              </w:rPr>
              <w:t>）</w:t>
            </w:r>
          </w:p>
          <w:p w14:paraId="54A24C0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vertAlign w:val="subscript"/>
              </w:rPr>
              <w:t>eqg</w:t>
            </w:r>
            <w:r>
              <w:rPr>
                <w:rFonts w:hint="default" w:ascii="Times New Roman" w:hAnsi="Times New Roman" w:eastAsia="宋体" w:cs="Times New Roman"/>
                <w:color w:val="auto"/>
                <w:sz w:val="24"/>
                <w:szCs w:val="24"/>
                <w:highlight w:val="none"/>
              </w:rPr>
              <w:t>——本项目声源在预测点的等效声级的贡献值dB(A)；</w:t>
            </w:r>
          </w:p>
          <w:p w14:paraId="485D948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vertAlign w:val="subscript"/>
              </w:rPr>
              <w:t>Ai</w:t>
            </w:r>
            <w:r>
              <w:rPr>
                <w:rFonts w:hint="default" w:ascii="Times New Roman" w:hAnsi="Times New Roman" w:eastAsia="宋体" w:cs="Times New Roman"/>
                <w:color w:val="auto"/>
                <w:sz w:val="24"/>
                <w:szCs w:val="24"/>
                <w:highlight w:val="none"/>
              </w:rPr>
              <w:t>——i声源在预测点产生的A声级dB(A)；</w:t>
            </w:r>
          </w:p>
          <w:p w14:paraId="4C6ACF7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T——预测计算的时间段（s）；</w:t>
            </w:r>
          </w:p>
          <w:p w14:paraId="6FC5D93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t</w:t>
            </w:r>
            <w:r>
              <w:rPr>
                <w:rFonts w:hint="default" w:ascii="Times New Roman" w:hAnsi="Times New Roman" w:eastAsia="宋体" w:cs="Times New Roman"/>
                <w:color w:val="auto"/>
                <w:sz w:val="24"/>
                <w:szCs w:val="24"/>
                <w:highlight w:val="none"/>
                <w:vertAlign w:val="subscript"/>
              </w:rPr>
              <w:t>i</w:t>
            </w:r>
            <w:r>
              <w:rPr>
                <w:rFonts w:hint="default" w:ascii="Times New Roman" w:hAnsi="Times New Roman" w:eastAsia="宋体" w:cs="Times New Roman"/>
                <w:color w:val="auto"/>
                <w:sz w:val="24"/>
                <w:szCs w:val="24"/>
                <w:highlight w:val="none"/>
              </w:rPr>
              <w:t>——i声源在T时间段内的运行时间（s）；</w:t>
            </w:r>
          </w:p>
          <w:p w14:paraId="7F0BF2E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）预测点的预测等效声级按下式计算：</w:t>
            </w:r>
          </w:p>
          <w:p w14:paraId="07C5126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vertAlign w:val="subscript"/>
              </w:rPr>
              <w:t>eq</w:t>
            </w:r>
            <w:r>
              <w:rPr>
                <w:rFonts w:hint="default" w:ascii="Times New Roman" w:hAnsi="Times New Roman" w:eastAsia="宋体" w:cs="Times New Roman"/>
                <w:color w:val="auto"/>
                <w:sz w:val="24"/>
                <w:szCs w:val="24"/>
                <w:highlight w:val="none"/>
              </w:rPr>
              <w:t>=10lg(10</w:t>
            </w:r>
            <w:r>
              <w:rPr>
                <w:rFonts w:hint="default" w:ascii="Times New Roman" w:hAnsi="Times New Roman" w:eastAsia="宋体" w:cs="Times New Roman"/>
                <w:color w:val="auto"/>
                <w:sz w:val="24"/>
                <w:szCs w:val="24"/>
                <w:highlight w:val="none"/>
                <w:vertAlign w:val="superscript"/>
              </w:rPr>
              <w:t>0.1Leqg</w:t>
            </w:r>
            <w:r>
              <w:rPr>
                <w:rFonts w:hint="default" w:ascii="Times New Roman" w:hAnsi="Times New Roman" w:eastAsia="宋体" w:cs="Times New Roman"/>
                <w:color w:val="auto"/>
                <w:sz w:val="24"/>
                <w:szCs w:val="24"/>
                <w:highlight w:val="none"/>
              </w:rPr>
              <w:t>+10</w:t>
            </w:r>
            <w:r>
              <w:rPr>
                <w:rFonts w:hint="default" w:ascii="Times New Roman" w:hAnsi="Times New Roman" w:eastAsia="宋体" w:cs="Times New Roman"/>
                <w:color w:val="auto"/>
                <w:sz w:val="24"/>
                <w:szCs w:val="24"/>
                <w:highlight w:val="none"/>
                <w:vertAlign w:val="superscript"/>
              </w:rPr>
              <w:t>0.1Leqb</w:t>
            </w:r>
            <w:r>
              <w:rPr>
                <w:rFonts w:hint="default" w:ascii="Times New Roman" w:hAnsi="Times New Roman" w:eastAsia="宋体" w:cs="Times New Roman"/>
                <w:color w:val="auto"/>
                <w:sz w:val="24"/>
                <w:szCs w:val="24"/>
                <w:highlight w:val="none"/>
              </w:rPr>
              <w:t>)</w:t>
            </w:r>
          </w:p>
          <w:p w14:paraId="28B45B2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vertAlign w:val="subscript"/>
              </w:rPr>
              <w:t>eqg</w:t>
            </w:r>
            <w:r>
              <w:rPr>
                <w:rFonts w:hint="default" w:ascii="Times New Roman" w:hAnsi="Times New Roman" w:eastAsia="宋体" w:cs="Times New Roman"/>
                <w:color w:val="auto"/>
                <w:sz w:val="24"/>
                <w:szCs w:val="24"/>
                <w:highlight w:val="none"/>
              </w:rPr>
              <w:t>——本项目声源在预测点的等效声级的贡献值dB(A)；</w:t>
            </w:r>
          </w:p>
          <w:p w14:paraId="45DA6592">
            <w:pPr>
              <w:keepNext w:val="0"/>
              <w:keepLines w:val="0"/>
              <w:suppressLineNumbers w:val="0"/>
              <w:adjustRightInd w:val="0"/>
              <w:snapToGrid w:val="0"/>
              <w:spacing w:before="0" w:beforeAutospacing="0" w:after="0" w:afterAutospacing="0" w:line="360" w:lineRule="auto"/>
              <w:ind w:left="0" w:right="0" w:firstLine="480" w:firstLineChars="200"/>
              <w:rPr>
                <w:rFonts w:hint="eastAsia"/>
                <w:b/>
                <w:bCs/>
                <w:color w:val="auto"/>
                <w:szCs w:val="21"/>
                <w:highlight w:val="none"/>
              </w:rPr>
            </w:pP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vertAlign w:val="subscript"/>
              </w:rPr>
              <w:t>eqb</w:t>
            </w:r>
            <w:r>
              <w:rPr>
                <w:rFonts w:hint="default" w:ascii="Times New Roman" w:hAnsi="Times New Roman" w:eastAsia="宋体" w:cs="Times New Roman"/>
                <w:color w:val="auto"/>
                <w:sz w:val="24"/>
                <w:szCs w:val="24"/>
                <w:highlight w:val="none"/>
              </w:rPr>
              <w:t>——预测点的背景值dB(A)。</w:t>
            </w:r>
          </w:p>
          <w:p w14:paraId="1C437029">
            <w:pPr>
              <w:spacing w:line="360" w:lineRule="auto"/>
              <w:rPr>
                <w:color w:val="auto"/>
                <w:sz w:val="24"/>
                <w:szCs w:val="24"/>
                <w:highlight w:val="none"/>
              </w:rPr>
            </w:pPr>
            <w:r>
              <w:rPr>
                <w:rFonts w:hint="eastAsia"/>
                <w:b/>
                <w:bCs/>
                <w:color w:val="auto"/>
                <w:sz w:val="24"/>
                <w:szCs w:val="24"/>
                <w:highlight w:val="none"/>
              </w:rPr>
              <w:t>3.</w:t>
            </w:r>
            <w:r>
              <w:rPr>
                <w:b/>
                <w:bCs/>
                <w:color w:val="auto"/>
                <w:sz w:val="24"/>
                <w:szCs w:val="24"/>
                <w:highlight w:val="none"/>
              </w:rPr>
              <w:t>3</w:t>
            </w:r>
            <w:r>
              <w:rPr>
                <w:rFonts w:hint="eastAsia"/>
                <w:b/>
                <w:bCs/>
                <w:color w:val="auto"/>
                <w:sz w:val="24"/>
                <w:szCs w:val="24"/>
                <w:highlight w:val="none"/>
              </w:rPr>
              <w:t xml:space="preserve">  </w:t>
            </w:r>
            <w:r>
              <w:rPr>
                <w:b/>
                <w:bCs/>
                <w:color w:val="auto"/>
                <w:sz w:val="24"/>
                <w:szCs w:val="24"/>
                <w:highlight w:val="none"/>
              </w:rPr>
              <w:t>预测结果</w:t>
            </w:r>
          </w:p>
          <w:p w14:paraId="2BF1A009">
            <w:pPr>
              <w:autoSpaceDE w:val="0"/>
              <w:autoSpaceDN w:val="0"/>
              <w:adjustRightInd w:val="0"/>
              <w:spacing w:line="360" w:lineRule="auto"/>
              <w:ind w:firstLine="480" w:firstLineChars="200"/>
              <w:rPr>
                <w:color w:val="auto"/>
                <w:szCs w:val="21"/>
                <w:highlight w:val="none"/>
              </w:rPr>
            </w:pPr>
            <w:r>
              <w:rPr>
                <w:rFonts w:hint="eastAsia"/>
                <w:color w:val="auto"/>
                <w:sz w:val="24"/>
                <w:szCs w:val="24"/>
                <w:highlight w:val="none"/>
              </w:rPr>
              <w:t>采用上述预测模式计算各预测点处噪声值，评价其对厂界四周的声环境影响。</w:t>
            </w:r>
          </w:p>
          <w:p w14:paraId="17168402">
            <w:pPr>
              <w:pStyle w:val="6"/>
              <w:spacing w:before="0" w:after="0" w:line="240" w:lineRule="auto"/>
              <w:ind w:right="0" w:firstLine="2409" w:firstLineChars="1000"/>
              <w:rPr>
                <w:rFonts w:ascii="Times New Roman" w:hAnsi="Times New Roman" w:eastAsia="宋体" w:cs="Times New Roman"/>
                <w:b/>
                <w:bCs/>
                <w:color w:val="auto"/>
                <w:sz w:val="24"/>
                <w:szCs w:val="24"/>
                <w:highlight w:val="none"/>
              </w:rPr>
            </w:pPr>
            <w:r>
              <w:rPr>
                <w:rFonts w:ascii="Times New Roman" w:hAnsi="Times New Roman" w:eastAsia="宋体" w:cs="Times New Roman"/>
                <w:b/>
                <w:bCs/>
                <w:color w:val="auto"/>
                <w:sz w:val="24"/>
                <w:szCs w:val="24"/>
                <w:highlight w:val="none"/>
              </w:rPr>
              <w:t>表4-1</w:t>
            </w:r>
            <w:r>
              <w:rPr>
                <w:rFonts w:hint="eastAsia" w:cs="Times New Roman"/>
                <w:b/>
                <w:bCs/>
                <w:color w:val="auto"/>
                <w:sz w:val="24"/>
                <w:szCs w:val="24"/>
                <w:highlight w:val="none"/>
                <w:lang w:val="en-US" w:eastAsia="zh-CN"/>
              </w:rPr>
              <w:t>8</w:t>
            </w:r>
            <w:r>
              <w:rPr>
                <w:rFonts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rPr>
              <w:t>厂界</w:t>
            </w:r>
            <w:r>
              <w:rPr>
                <w:rFonts w:ascii="Times New Roman" w:hAnsi="Times New Roman" w:eastAsia="宋体" w:cs="Times New Roman"/>
                <w:b/>
                <w:bCs/>
                <w:color w:val="auto"/>
                <w:sz w:val="24"/>
                <w:szCs w:val="24"/>
                <w:highlight w:val="none"/>
              </w:rPr>
              <w:t>环境噪声预测结果</w:t>
            </w:r>
          </w:p>
          <w:tbl>
            <w:tblPr>
              <w:tblStyle w:val="23"/>
              <w:tblW w:w="0" w:type="auto"/>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64"/>
              <w:gridCol w:w="1039"/>
              <w:gridCol w:w="1483"/>
              <w:gridCol w:w="1127"/>
              <w:gridCol w:w="1128"/>
              <w:gridCol w:w="1566"/>
            </w:tblGrid>
            <w:tr w14:paraId="45EA29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564" w:type="dxa"/>
                  <w:tcBorders>
                    <w:tl2br w:val="nil"/>
                    <w:tr2bl w:val="nil"/>
                  </w:tcBorders>
                  <w:vAlign w:val="center"/>
                </w:tcPr>
                <w:p w14:paraId="62B643A8">
                  <w:pPr>
                    <w:pStyle w:val="28"/>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点位</w:t>
                  </w:r>
                </w:p>
              </w:tc>
              <w:tc>
                <w:tcPr>
                  <w:tcW w:w="1039" w:type="dxa"/>
                  <w:vMerge w:val="restart"/>
                  <w:tcBorders>
                    <w:tl2br w:val="nil"/>
                    <w:tr2bl w:val="nil"/>
                  </w:tcBorders>
                  <w:vAlign w:val="center"/>
                </w:tcPr>
                <w:p w14:paraId="321A8A22">
                  <w:pPr>
                    <w:pStyle w:val="28"/>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时段</w:t>
                  </w:r>
                </w:p>
              </w:tc>
              <w:tc>
                <w:tcPr>
                  <w:tcW w:w="1483" w:type="dxa"/>
                  <w:tcBorders>
                    <w:tl2br w:val="nil"/>
                    <w:tr2bl w:val="nil"/>
                  </w:tcBorders>
                  <w:vAlign w:val="center"/>
                </w:tcPr>
                <w:p w14:paraId="313CC20D">
                  <w:pPr>
                    <w:pStyle w:val="28"/>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贡献值dB</w:t>
                  </w:r>
                  <w:r>
                    <w:rPr>
                      <w:rFonts w:hint="default" w:ascii="Times New Roman" w:hAnsi="Times New Roman" w:eastAsia="仿宋" w:cs="Times New Roman"/>
                      <w:b/>
                      <w:bCs/>
                      <w:color w:val="auto"/>
                      <w:sz w:val="21"/>
                      <w:szCs w:val="21"/>
                      <w:highlight w:val="none"/>
                      <w:lang w:val="en-US" w:eastAsia="zh-CN"/>
                    </w:rPr>
                    <w:t>(</w:t>
                  </w:r>
                  <w:r>
                    <w:rPr>
                      <w:rFonts w:hint="default" w:ascii="Times New Roman" w:hAnsi="Times New Roman" w:eastAsia="仿宋" w:cs="Times New Roman"/>
                      <w:b/>
                      <w:bCs/>
                      <w:color w:val="auto"/>
                      <w:sz w:val="21"/>
                      <w:szCs w:val="21"/>
                      <w:highlight w:val="none"/>
                    </w:rPr>
                    <w:t>A</w:t>
                  </w:r>
                  <w:r>
                    <w:rPr>
                      <w:rFonts w:hint="default" w:ascii="Times New Roman" w:hAnsi="Times New Roman" w:eastAsia="仿宋" w:cs="Times New Roman"/>
                      <w:b/>
                      <w:bCs/>
                      <w:color w:val="auto"/>
                      <w:sz w:val="21"/>
                      <w:szCs w:val="21"/>
                      <w:highlight w:val="none"/>
                      <w:lang w:val="en-US" w:eastAsia="zh-CN"/>
                    </w:rPr>
                    <w:t>)</w:t>
                  </w:r>
                </w:p>
              </w:tc>
              <w:tc>
                <w:tcPr>
                  <w:tcW w:w="2255" w:type="dxa"/>
                  <w:gridSpan w:val="2"/>
                  <w:tcBorders>
                    <w:tl2br w:val="nil"/>
                    <w:tr2bl w:val="nil"/>
                  </w:tcBorders>
                  <w:vAlign w:val="center"/>
                </w:tcPr>
                <w:p w14:paraId="7E93263A">
                  <w:pPr>
                    <w:pStyle w:val="28"/>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标准值（dB(A)）</w:t>
                  </w:r>
                </w:p>
              </w:tc>
              <w:tc>
                <w:tcPr>
                  <w:tcW w:w="1566" w:type="dxa"/>
                  <w:tcBorders>
                    <w:tl2br w:val="nil"/>
                    <w:tr2bl w:val="nil"/>
                  </w:tcBorders>
                  <w:vAlign w:val="center"/>
                </w:tcPr>
                <w:p w14:paraId="7FA7FB89">
                  <w:pPr>
                    <w:pStyle w:val="28"/>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评价结果</w:t>
                  </w:r>
                </w:p>
              </w:tc>
            </w:tr>
            <w:tr w14:paraId="3C7067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64" w:type="dxa"/>
                  <w:tcBorders>
                    <w:tl2br w:val="nil"/>
                    <w:tr2bl w:val="nil"/>
                  </w:tcBorders>
                  <w:vAlign w:val="center"/>
                </w:tcPr>
                <w:p w14:paraId="137FE163">
                  <w:pPr>
                    <w:pStyle w:val="28"/>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东厂界</w:t>
                  </w:r>
                </w:p>
              </w:tc>
              <w:tc>
                <w:tcPr>
                  <w:tcW w:w="1039" w:type="dxa"/>
                  <w:vMerge w:val="restart"/>
                  <w:tcBorders>
                    <w:tl2br w:val="nil"/>
                    <w:tr2bl w:val="nil"/>
                  </w:tcBorders>
                  <w:vAlign w:val="center"/>
                </w:tcPr>
                <w:p w14:paraId="43C60A81">
                  <w:pPr>
                    <w:pStyle w:val="28"/>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昼</w:t>
                  </w:r>
                </w:p>
              </w:tc>
              <w:tc>
                <w:tcPr>
                  <w:tcW w:w="1483" w:type="dxa"/>
                  <w:tcBorders>
                    <w:tl2br w:val="nil"/>
                    <w:tr2bl w:val="nil"/>
                  </w:tcBorders>
                  <w:vAlign w:val="center"/>
                </w:tcPr>
                <w:p w14:paraId="303BCF5F">
                  <w:pPr>
                    <w:pStyle w:val="28"/>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35</w:t>
                  </w:r>
                </w:p>
              </w:tc>
              <w:tc>
                <w:tcPr>
                  <w:tcW w:w="1127" w:type="dxa"/>
                  <w:vMerge w:val="restart"/>
                  <w:tcBorders>
                    <w:tl2br w:val="nil"/>
                    <w:tr2bl w:val="nil"/>
                  </w:tcBorders>
                  <w:vAlign w:val="center"/>
                </w:tcPr>
                <w:p w14:paraId="4BBB78B0">
                  <w:pPr>
                    <w:pStyle w:val="28"/>
                    <w:jc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b/>
                      <w:bCs/>
                      <w:color w:val="auto"/>
                      <w:sz w:val="21"/>
                      <w:szCs w:val="21"/>
                      <w:highlight w:val="none"/>
                    </w:rPr>
                    <w:t>昼间</w:t>
                  </w:r>
                </w:p>
              </w:tc>
              <w:tc>
                <w:tcPr>
                  <w:tcW w:w="1128" w:type="dxa"/>
                  <w:tcBorders>
                    <w:tl2br w:val="nil"/>
                    <w:tr2bl w:val="nil"/>
                  </w:tcBorders>
                  <w:shd w:val="clear" w:color="auto" w:fill="auto"/>
                  <w:vAlign w:val="center"/>
                </w:tcPr>
                <w:p w14:paraId="393257E1">
                  <w:pPr>
                    <w:pStyle w:val="28"/>
                    <w:jc w:val="center"/>
                    <w:rPr>
                      <w:rFonts w:hint="default" w:ascii="Times New Roman" w:hAnsi="Times New Roman" w:eastAsia="仿宋" w:cs="Times New Roman"/>
                      <w:color w:val="auto"/>
                      <w:sz w:val="21"/>
                      <w:szCs w:val="21"/>
                      <w:highlight w:val="none"/>
                      <w:lang w:val="en-US" w:eastAsia="zh-CN" w:bidi="ar-SA"/>
                    </w:rPr>
                  </w:pPr>
                  <w:r>
                    <w:rPr>
                      <w:rFonts w:hint="default" w:ascii="Times New Roman" w:hAnsi="Times New Roman" w:eastAsia="仿宋" w:cs="Times New Roman"/>
                      <w:color w:val="auto"/>
                      <w:sz w:val="21"/>
                      <w:szCs w:val="21"/>
                      <w:highlight w:val="none"/>
                    </w:rPr>
                    <w:t>65</w:t>
                  </w:r>
                </w:p>
              </w:tc>
              <w:tc>
                <w:tcPr>
                  <w:tcW w:w="1566" w:type="dxa"/>
                  <w:tcBorders>
                    <w:tl2br w:val="nil"/>
                    <w:tr2bl w:val="nil"/>
                  </w:tcBorders>
                  <w:vAlign w:val="center"/>
                </w:tcPr>
                <w:p w14:paraId="1B457F95">
                  <w:pPr>
                    <w:pStyle w:val="28"/>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w:t>
                  </w:r>
                </w:p>
              </w:tc>
            </w:tr>
            <w:tr w14:paraId="78C1FC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564" w:type="dxa"/>
                  <w:tcBorders>
                    <w:tl2br w:val="nil"/>
                    <w:tr2bl w:val="nil"/>
                  </w:tcBorders>
                  <w:vAlign w:val="center"/>
                </w:tcPr>
                <w:p w14:paraId="4F568B97">
                  <w:pPr>
                    <w:pStyle w:val="28"/>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南厂界</w:t>
                  </w:r>
                </w:p>
              </w:tc>
              <w:tc>
                <w:tcPr>
                  <w:tcW w:w="1039" w:type="dxa"/>
                  <w:vMerge w:val="continue"/>
                  <w:tcBorders>
                    <w:tl2br w:val="nil"/>
                    <w:tr2bl w:val="nil"/>
                  </w:tcBorders>
                  <w:vAlign w:val="center"/>
                </w:tcPr>
                <w:p w14:paraId="79DBBFF8">
                  <w:pPr>
                    <w:pStyle w:val="28"/>
                    <w:jc w:val="center"/>
                    <w:rPr>
                      <w:rFonts w:hint="default" w:ascii="Times New Roman" w:hAnsi="Times New Roman" w:eastAsia="仿宋" w:cs="Times New Roman"/>
                      <w:b/>
                      <w:bCs/>
                      <w:color w:val="auto"/>
                      <w:sz w:val="21"/>
                      <w:szCs w:val="21"/>
                      <w:highlight w:val="none"/>
                    </w:rPr>
                  </w:pPr>
                </w:p>
              </w:tc>
              <w:tc>
                <w:tcPr>
                  <w:tcW w:w="1483" w:type="dxa"/>
                  <w:tcBorders>
                    <w:tl2br w:val="nil"/>
                    <w:tr2bl w:val="nil"/>
                  </w:tcBorders>
                  <w:vAlign w:val="center"/>
                </w:tcPr>
                <w:p w14:paraId="2DEB803F">
                  <w:pPr>
                    <w:pStyle w:val="28"/>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39</w:t>
                  </w:r>
                </w:p>
              </w:tc>
              <w:tc>
                <w:tcPr>
                  <w:tcW w:w="1127" w:type="dxa"/>
                  <w:vMerge w:val="continue"/>
                  <w:tcBorders>
                    <w:tl2br w:val="nil"/>
                    <w:tr2bl w:val="nil"/>
                  </w:tcBorders>
                  <w:vAlign w:val="center"/>
                </w:tcPr>
                <w:p w14:paraId="08BE912F">
                  <w:pPr>
                    <w:pStyle w:val="28"/>
                    <w:jc w:val="center"/>
                    <w:rPr>
                      <w:rFonts w:hint="default" w:ascii="Times New Roman" w:hAnsi="Times New Roman" w:eastAsia="仿宋" w:cs="Times New Roman"/>
                      <w:color w:val="auto"/>
                      <w:sz w:val="21"/>
                      <w:szCs w:val="21"/>
                      <w:highlight w:val="none"/>
                    </w:rPr>
                  </w:pPr>
                </w:p>
              </w:tc>
              <w:tc>
                <w:tcPr>
                  <w:tcW w:w="1128" w:type="dxa"/>
                  <w:tcBorders>
                    <w:tl2br w:val="nil"/>
                    <w:tr2bl w:val="nil"/>
                  </w:tcBorders>
                  <w:shd w:val="clear" w:color="auto" w:fill="auto"/>
                  <w:vAlign w:val="center"/>
                </w:tcPr>
                <w:p w14:paraId="1325C562">
                  <w:pPr>
                    <w:pStyle w:val="28"/>
                    <w:jc w:val="center"/>
                    <w:rPr>
                      <w:rFonts w:hint="default" w:ascii="Times New Roman" w:hAnsi="Times New Roman" w:eastAsia="仿宋" w:cs="Times New Roman"/>
                      <w:color w:val="auto"/>
                      <w:sz w:val="21"/>
                      <w:szCs w:val="21"/>
                      <w:highlight w:val="none"/>
                      <w:lang w:val="en-US" w:eastAsia="zh-CN" w:bidi="ar-SA"/>
                    </w:rPr>
                  </w:pPr>
                  <w:r>
                    <w:rPr>
                      <w:rFonts w:hint="default" w:ascii="Times New Roman" w:hAnsi="Times New Roman" w:eastAsia="仿宋" w:cs="Times New Roman"/>
                      <w:color w:val="auto"/>
                      <w:sz w:val="21"/>
                      <w:szCs w:val="21"/>
                      <w:highlight w:val="none"/>
                    </w:rPr>
                    <w:t>65</w:t>
                  </w:r>
                </w:p>
              </w:tc>
              <w:tc>
                <w:tcPr>
                  <w:tcW w:w="1566" w:type="dxa"/>
                  <w:tcBorders>
                    <w:tl2br w:val="nil"/>
                    <w:tr2bl w:val="nil"/>
                  </w:tcBorders>
                  <w:vAlign w:val="center"/>
                </w:tcPr>
                <w:p w14:paraId="772A06BB">
                  <w:pPr>
                    <w:pStyle w:val="28"/>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w:t>
                  </w:r>
                </w:p>
              </w:tc>
            </w:tr>
            <w:tr w14:paraId="5CB2A6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64" w:type="dxa"/>
                  <w:tcBorders>
                    <w:tl2br w:val="nil"/>
                    <w:tr2bl w:val="nil"/>
                  </w:tcBorders>
                  <w:vAlign w:val="center"/>
                </w:tcPr>
                <w:p w14:paraId="61DF5CFE">
                  <w:pPr>
                    <w:pStyle w:val="28"/>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西厂界</w:t>
                  </w:r>
                </w:p>
              </w:tc>
              <w:tc>
                <w:tcPr>
                  <w:tcW w:w="1039" w:type="dxa"/>
                  <w:vMerge w:val="continue"/>
                  <w:tcBorders>
                    <w:tl2br w:val="nil"/>
                    <w:tr2bl w:val="nil"/>
                  </w:tcBorders>
                  <w:vAlign w:val="center"/>
                </w:tcPr>
                <w:p w14:paraId="2784132C">
                  <w:pPr>
                    <w:pStyle w:val="28"/>
                    <w:jc w:val="center"/>
                    <w:rPr>
                      <w:rFonts w:hint="default" w:ascii="Times New Roman" w:hAnsi="Times New Roman" w:eastAsia="仿宋" w:cs="Times New Roman"/>
                      <w:b/>
                      <w:bCs/>
                      <w:color w:val="auto"/>
                      <w:sz w:val="21"/>
                      <w:szCs w:val="21"/>
                      <w:highlight w:val="none"/>
                    </w:rPr>
                  </w:pPr>
                </w:p>
              </w:tc>
              <w:tc>
                <w:tcPr>
                  <w:tcW w:w="1483" w:type="dxa"/>
                  <w:tcBorders>
                    <w:tl2br w:val="nil"/>
                    <w:tr2bl w:val="nil"/>
                  </w:tcBorders>
                  <w:vAlign w:val="center"/>
                </w:tcPr>
                <w:p w14:paraId="150FBDCF">
                  <w:pPr>
                    <w:pStyle w:val="28"/>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35</w:t>
                  </w:r>
                </w:p>
              </w:tc>
              <w:tc>
                <w:tcPr>
                  <w:tcW w:w="1127" w:type="dxa"/>
                  <w:vMerge w:val="continue"/>
                  <w:tcBorders>
                    <w:tl2br w:val="nil"/>
                    <w:tr2bl w:val="nil"/>
                  </w:tcBorders>
                  <w:vAlign w:val="center"/>
                </w:tcPr>
                <w:p w14:paraId="6EAC0095">
                  <w:pPr>
                    <w:pStyle w:val="28"/>
                    <w:jc w:val="center"/>
                    <w:rPr>
                      <w:rFonts w:hint="default" w:ascii="Times New Roman" w:hAnsi="Times New Roman" w:eastAsia="仿宋" w:cs="Times New Roman"/>
                      <w:color w:val="auto"/>
                      <w:sz w:val="21"/>
                      <w:szCs w:val="21"/>
                      <w:highlight w:val="none"/>
                    </w:rPr>
                  </w:pPr>
                </w:p>
              </w:tc>
              <w:tc>
                <w:tcPr>
                  <w:tcW w:w="1128" w:type="dxa"/>
                  <w:tcBorders>
                    <w:tl2br w:val="nil"/>
                    <w:tr2bl w:val="nil"/>
                  </w:tcBorders>
                  <w:shd w:val="clear" w:color="auto" w:fill="auto"/>
                  <w:vAlign w:val="center"/>
                </w:tcPr>
                <w:p w14:paraId="32135FD2">
                  <w:pPr>
                    <w:pStyle w:val="28"/>
                    <w:jc w:val="center"/>
                    <w:rPr>
                      <w:rFonts w:hint="default" w:ascii="Times New Roman" w:hAnsi="Times New Roman" w:eastAsia="仿宋" w:cs="Times New Roman"/>
                      <w:color w:val="auto"/>
                      <w:sz w:val="21"/>
                      <w:szCs w:val="21"/>
                      <w:highlight w:val="none"/>
                      <w:lang w:val="en-US" w:eastAsia="zh-CN" w:bidi="ar-SA"/>
                    </w:rPr>
                  </w:pPr>
                  <w:r>
                    <w:rPr>
                      <w:rFonts w:hint="default" w:ascii="Times New Roman" w:hAnsi="Times New Roman" w:eastAsia="仿宋" w:cs="Times New Roman"/>
                      <w:color w:val="auto"/>
                      <w:sz w:val="21"/>
                      <w:szCs w:val="21"/>
                      <w:highlight w:val="none"/>
                    </w:rPr>
                    <w:t>65</w:t>
                  </w:r>
                </w:p>
              </w:tc>
              <w:tc>
                <w:tcPr>
                  <w:tcW w:w="1566" w:type="dxa"/>
                  <w:tcBorders>
                    <w:tl2br w:val="nil"/>
                    <w:tr2bl w:val="nil"/>
                  </w:tcBorders>
                  <w:vAlign w:val="center"/>
                </w:tcPr>
                <w:p w14:paraId="28595ED8">
                  <w:pPr>
                    <w:pStyle w:val="28"/>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w:t>
                  </w:r>
                </w:p>
              </w:tc>
            </w:tr>
            <w:tr w14:paraId="51AF36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64" w:type="dxa"/>
                  <w:tcBorders>
                    <w:tl2br w:val="nil"/>
                    <w:tr2bl w:val="nil"/>
                  </w:tcBorders>
                  <w:vAlign w:val="center"/>
                </w:tcPr>
                <w:p w14:paraId="1B17EF02">
                  <w:pPr>
                    <w:pStyle w:val="28"/>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北厂界</w:t>
                  </w:r>
                </w:p>
              </w:tc>
              <w:tc>
                <w:tcPr>
                  <w:tcW w:w="1039" w:type="dxa"/>
                  <w:vMerge w:val="continue"/>
                  <w:tcBorders>
                    <w:tl2br w:val="nil"/>
                    <w:tr2bl w:val="nil"/>
                  </w:tcBorders>
                  <w:vAlign w:val="center"/>
                </w:tcPr>
                <w:p w14:paraId="0E159E12">
                  <w:pPr>
                    <w:pStyle w:val="28"/>
                    <w:jc w:val="center"/>
                    <w:rPr>
                      <w:rFonts w:hint="default" w:ascii="Times New Roman" w:hAnsi="Times New Roman" w:eastAsia="仿宋" w:cs="Times New Roman"/>
                      <w:b/>
                      <w:bCs/>
                      <w:color w:val="auto"/>
                      <w:sz w:val="21"/>
                      <w:szCs w:val="21"/>
                      <w:highlight w:val="none"/>
                    </w:rPr>
                  </w:pPr>
                </w:p>
              </w:tc>
              <w:tc>
                <w:tcPr>
                  <w:tcW w:w="1483" w:type="dxa"/>
                  <w:tcBorders>
                    <w:tl2br w:val="nil"/>
                    <w:tr2bl w:val="nil"/>
                  </w:tcBorders>
                  <w:vAlign w:val="center"/>
                </w:tcPr>
                <w:p w14:paraId="4570BF5A">
                  <w:pPr>
                    <w:pStyle w:val="28"/>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40</w:t>
                  </w:r>
                </w:p>
              </w:tc>
              <w:tc>
                <w:tcPr>
                  <w:tcW w:w="1127" w:type="dxa"/>
                  <w:vMerge w:val="continue"/>
                  <w:tcBorders>
                    <w:tl2br w:val="nil"/>
                    <w:tr2bl w:val="nil"/>
                  </w:tcBorders>
                  <w:vAlign w:val="center"/>
                </w:tcPr>
                <w:p w14:paraId="26DA705E">
                  <w:pPr>
                    <w:pStyle w:val="28"/>
                    <w:jc w:val="center"/>
                    <w:rPr>
                      <w:rFonts w:hint="default" w:ascii="Times New Roman" w:hAnsi="Times New Roman" w:eastAsia="仿宋" w:cs="Times New Roman"/>
                      <w:color w:val="auto"/>
                      <w:sz w:val="21"/>
                      <w:szCs w:val="21"/>
                      <w:highlight w:val="none"/>
                    </w:rPr>
                  </w:pPr>
                </w:p>
              </w:tc>
              <w:tc>
                <w:tcPr>
                  <w:tcW w:w="1128" w:type="dxa"/>
                  <w:tcBorders>
                    <w:tl2br w:val="nil"/>
                    <w:tr2bl w:val="nil"/>
                  </w:tcBorders>
                  <w:shd w:val="clear" w:color="auto" w:fill="auto"/>
                  <w:vAlign w:val="center"/>
                </w:tcPr>
                <w:p w14:paraId="484A95E5">
                  <w:pPr>
                    <w:pStyle w:val="28"/>
                    <w:jc w:val="center"/>
                    <w:rPr>
                      <w:rFonts w:hint="default" w:ascii="Times New Roman" w:hAnsi="Times New Roman" w:eastAsia="仿宋" w:cs="Times New Roman"/>
                      <w:color w:val="auto"/>
                      <w:sz w:val="21"/>
                      <w:szCs w:val="21"/>
                      <w:highlight w:val="none"/>
                      <w:lang w:val="en-US" w:eastAsia="zh-CN" w:bidi="ar-SA"/>
                    </w:rPr>
                  </w:pPr>
                  <w:r>
                    <w:rPr>
                      <w:rFonts w:hint="default" w:ascii="Times New Roman" w:hAnsi="Times New Roman" w:eastAsia="仿宋" w:cs="Times New Roman"/>
                      <w:color w:val="auto"/>
                      <w:sz w:val="21"/>
                      <w:szCs w:val="21"/>
                      <w:highlight w:val="none"/>
                    </w:rPr>
                    <w:t>65</w:t>
                  </w:r>
                </w:p>
              </w:tc>
              <w:tc>
                <w:tcPr>
                  <w:tcW w:w="1566" w:type="dxa"/>
                  <w:tcBorders>
                    <w:tl2br w:val="nil"/>
                    <w:tr2bl w:val="nil"/>
                  </w:tcBorders>
                  <w:vAlign w:val="center"/>
                </w:tcPr>
                <w:p w14:paraId="0EDE839A">
                  <w:pPr>
                    <w:pStyle w:val="28"/>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w:t>
                  </w:r>
                </w:p>
              </w:tc>
            </w:tr>
            <w:tr w14:paraId="469290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64" w:type="dxa"/>
                  <w:tcBorders>
                    <w:tl2br w:val="nil"/>
                    <w:tr2bl w:val="nil"/>
                  </w:tcBorders>
                  <w:shd w:val="clear" w:color="auto" w:fill="auto"/>
                  <w:vAlign w:val="center"/>
                </w:tcPr>
                <w:p w14:paraId="66FC4E18">
                  <w:pPr>
                    <w:pStyle w:val="28"/>
                    <w:jc w:val="center"/>
                    <w:rPr>
                      <w:rFonts w:hint="default" w:ascii="Times New Roman" w:hAnsi="Times New Roman" w:eastAsia="仿宋" w:cs="Times New Roman"/>
                      <w:color w:val="auto"/>
                      <w:sz w:val="21"/>
                      <w:szCs w:val="21"/>
                      <w:highlight w:val="none"/>
                      <w:lang w:val="en-US" w:eastAsia="zh-CN" w:bidi="ar-SA"/>
                    </w:rPr>
                  </w:pPr>
                  <w:r>
                    <w:rPr>
                      <w:rFonts w:hint="default" w:ascii="Times New Roman" w:hAnsi="Times New Roman" w:eastAsia="仿宋" w:cs="Times New Roman"/>
                      <w:color w:val="auto"/>
                      <w:sz w:val="21"/>
                      <w:szCs w:val="21"/>
                      <w:highlight w:val="none"/>
                    </w:rPr>
                    <w:t>东厂界</w:t>
                  </w:r>
                </w:p>
              </w:tc>
              <w:tc>
                <w:tcPr>
                  <w:tcW w:w="1039" w:type="dxa"/>
                  <w:vMerge w:val="restart"/>
                  <w:tcBorders>
                    <w:tl2br w:val="nil"/>
                    <w:tr2bl w:val="nil"/>
                  </w:tcBorders>
                  <w:vAlign w:val="center"/>
                </w:tcPr>
                <w:p w14:paraId="3495C33E">
                  <w:pPr>
                    <w:pStyle w:val="28"/>
                    <w:jc w:val="center"/>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val="0"/>
                      <w:bCs w:val="0"/>
                      <w:color w:val="auto"/>
                      <w:sz w:val="21"/>
                      <w:szCs w:val="21"/>
                      <w:highlight w:val="none"/>
                      <w:lang w:val="en-US" w:eastAsia="zh-CN"/>
                    </w:rPr>
                    <w:t>夜</w:t>
                  </w:r>
                </w:p>
              </w:tc>
              <w:tc>
                <w:tcPr>
                  <w:tcW w:w="1483" w:type="dxa"/>
                  <w:tcBorders>
                    <w:tl2br w:val="nil"/>
                    <w:tr2bl w:val="nil"/>
                  </w:tcBorders>
                  <w:vAlign w:val="center"/>
                </w:tcPr>
                <w:p w14:paraId="6D66E58A">
                  <w:pPr>
                    <w:pStyle w:val="28"/>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35</w:t>
                  </w:r>
                </w:p>
              </w:tc>
              <w:tc>
                <w:tcPr>
                  <w:tcW w:w="1127" w:type="dxa"/>
                  <w:vMerge w:val="restart"/>
                  <w:tcBorders>
                    <w:tl2br w:val="nil"/>
                    <w:tr2bl w:val="nil"/>
                  </w:tcBorders>
                  <w:vAlign w:val="center"/>
                </w:tcPr>
                <w:p w14:paraId="6A013F47">
                  <w:pPr>
                    <w:pStyle w:val="28"/>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夜间</w:t>
                  </w:r>
                </w:p>
              </w:tc>
              <w:tc>
                <w:tcPr>
                  <w:tcW w:w="1128" w:type="dxa"/>
                  <w:tcBorders>
                    <w:tl2br w:val="nil"/>
                    <w:tr2bl w:val="nil"/>
                  </w:tcBorders>
                  <w:shd w:val="clear" w:color="auto" w:fill="auto"/>
                  <w:vAlign w:val="center"/>
                </w:tcPr>
                <w:p w14:paraId="65E64505">
                  <w:pPr>
                    <w:pStyle w:val="28"/>
                    <w:jc w:val="center"/>
                    <w:rPr>
                      <w:rFonts w:hint="default" w:ascii="Times New Roman" w:hAnsi="Times New Roman" w:eastAsia="仿宋" w:cs="Times New Roman"/>
                      <w:color w:val="auto"/>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55</w:t>
                  </w:r>
                </w:p>
              </w:tc>
              <w:tc>
                <w:tcPr>
                  <w:tcW w:w="1566" w:type="dxa"/>
                  <w:tcBorders>
                    <w:tl2br w:val="nil"/>
                    <w:tr2bl w:val="nil"/>
                  </w:tcBorders>
                  <w:vAlign w:val="center"/>
                </w:tcPr>
                <w:p w14:paraId="34D51199">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w:t>
                  </w:r>
                </w:p>
              </w:tc>
            </w:tr>
            <w:tr w14:paraId="20B264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64" w:type="dxa"/>
                  <w:tcBorders>
                    <w:tl2br w:val="nil"/>
                    <w:tr2bl w:val="nil"/>
                  </w:tcBorders>
                  <w:shd w:val="clear" w:color="auto" w:fill="auto"/>
                  <w:vAlign w:val="center"/>
                </w:tcPr>
                <w:p w14:paraId="0A73AFAC">
                  <w:pPr>
                    <w:pStyle w:val="28"/>
                    <w:jc w:val="center"/>
                    <w:rPr>
                      <w:rFonts w:hint="default" w:ascii="Times New Roman" w:hAnsi="Times New Roman" w:eastAsia="仿宋" w:cs="Times New Roman"/>
                      <w:color w:val="auto"/>
                      <w:sz w:val="21"/>
                      <w:szCs w:val="21"/>
                      <w:highlight w:val="none"/>
                      <w:lang w:val="en-US" w:eastAsia="zh-CN" w:bidi="ar-SA"/>
                    </w:rPr>
                  </w:pPr>
                  <w:r>
                    <w:rPr>
                      <w:rFonts w:hint="default" w:ascii="Times New Roman" w:hAnsi="Times New Roman" w:eastAsia="仿宋" w:cs="Times New Roman"/>
                      <w:color w:val="auto"/>
                      <w:sz w:val="21"/>
                      <w:szCs w:val="21"/>
                      <w:highlight w:val="none"/>
                    </w:rPr>
                    <w:t>南厂界</w:t>
                  </w:r>
                </w:p>
              </w:tc>
              <w:tc>
                <w:tcPr>
                  <w:tcW w:w="1039" w:type="dxa"/>
                  <w:vMerge w:val="continue"/>
                  <w:tcBorders>
                    <w:tl2br w:val="nil"/>
                    <w:tr2bl w:val="nil"/>
                  </w:tcBorders>
                  <w:vAlign w:val="center"/>
                </w:tcPr>
                <w:p w14:paraId="57DF5A90">
                  <w:pPr>
                    <w:pStyle w:val="28"/>
                    <w:jc w:val="center"/>
                    <w:rPr>
                      <w:rFonts w:hint="default" w:ascii="Times New Roman" w:hAnsi="Times New Roman" w:eastAsia="仿宋" w:cs="Times New Roman"/>
                      <w:b/>
                      <w:bCs/>
                      <w:color w:val="auto"/>
                      <w:sz w:val="21"/>
                      <w:szCs w:val="21"/>
                      <w:highlight w:val="none"/>
                    </w:rPr>
                  </w:pPr>
                </w:p>
              </w:tc>
              <w:tc>
                <w:tcPr>
                  <w:tcW w:w="1483" w:type="dxa"/>
                  <w:tcBorders>
                    <w:tl2br w:val="nil"/>
                    <w:tr2bl w:val="nil"/>
                  </w:tcBorders>
                  <w:vAlign w:val="center"/>
                </w:tcPr>
                <w:p w14:paraId="70FF7371">
                  <w:pPr>
                    <w:pStyle w:val="28"/>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39</w:t>
                  </w:r>
                </w:p>
              </w:tc>
              <w:tc>
                <w:tcPr>
                  <w:tcW w:w="1127" w:type="dxa"/>
                  <w:vMerge w:val="continue"/>
                  <w:tcBorders>
                    <w:tl2br w:val="nil"/>
                    <w:tr2bl w:val="nil"/>
                  </w:tcBorders>
                  <w:vAlign w:val="center"/>
                </w:tcPr>
                <w:p w14:paraId="5913F23C">
                  <w:pPr>
                    <w:jc w:val="center"/>
                    <w:rPr>
                      <w:rFonts w:hint="default" w:ascii="Times New Roman" w:hAnsi="Times New Roman" w:eastAsia="仿宋" w:cs="Times New Roman"/>
                      <w:color w:val="auto"/>
                      <w:sz w:val="21"/>
                      <w:szCs w:val="21"/>
                      <w:highlight w:val="none"/>
                    </w:rPr>
                  </w:pPr>
                </w:p>
              </w:tc>
              <w:tc>
                <w:tcPr>
                  <w:tcW w:w="1128" w:type="dxa"/>
                  <w:tcBorders>
                    <w:tl2br w:val="nil"/>
                    <w:tr2bl w:val="nil"/>
                  </w:tcBorders>
                  <w:shd w:val="clear" w:color="auto" w:fill="auto"/>
                  <w:vAlign w:val="center"/>
                </w:tcPr>
                <w:p w14:paraId="0E7D6AC6">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55</w:t>
                  </w:r>
                </w:p>
              </w:tc>
              <w:tc>
                <w:tcPr>
                  <w:tcW w:w="1566" w:type="dxa"/>
                  <w:tcBorders>
                    <w:tl2br w:val="nil"/>
                    <w:tr2bl w:val="nil"/>
                  </w:tcBorders>
                  <w:vAlign w:val="center"/>
                </w:tcPr>
                <w:p w14:paraId="60EC2F8A">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w:t>
                  </w:r>
                </w:p>
              </w:tc>
            </w:tr>
            <w:tr w14:paraId="37A0FD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64" w:type="dxa"/>
                  <w:tcBorders>
                    <w:tl2br w:val="nil"/>
                    <w:tr2bl w:val="nil"/>
                  </w:tcBorders>
                  <w:shd w:val="clear" w:color="auto" w:fill="auto"/>
                  <w:vAlign w:val="center"/>
                </w:tcPr>
                <w:p w14:paraId="772AE648">
                  <w:pPr>
                    <w:pStyle w:val="28"/>
                    <w:jc w:val="center"/>
                    <w:rPr>
                      <w:rFonts w:hint="default" w:ascii="Times New Roman" w:hAnsi="Times New Roman" w:eastAsia="仿宋" w:cs="Times New Roman"/>
                      <w:color w:val="auto"/>
                      <w:sz w:val="21"/>
                      <w:szCs w:val="21"/>
                      <w:highlight w:val="none"/>
                      <w:lang w:val="en-US" w:eastAsia="zh-CN" w:bidi="ar-SA"/>
                    </w:rPr>
                  </w:pPr>
                  <w:r>
                    <w:rPr>
                      <w:rFonts w:hint="default" w:ascii="Times New Roman" w:hAnsi="Times New Roman" w:eastAsia="仿宋" w:cs="Times New Roman"/>
                      <w:color w:val="auto"/>
                      <w:sz w:val="21"/>
                      <w:szCs w:val="21"/>
                      <w:highlight w:val="none"/>
                    </w:rPr>
                    <w:t>西厂界</w:t>
                  </w:r>
                </w:p>
              </w:tc>
              <w:tc>
                <w:tcPr>
                  <w:tcW w:w="1039" w:type="dxa"/>
                  <w:vMerge w:val="continue"/>
                  <w:tcBorders>
                    <w:tl2br w:val="nil"/>
                    <w:tr2bl w:val="nil"/>
                  </w:tcBorders>
                  <w:vAlign w:val="center"/>
                </w:tcPr>
                <w:p w14:paraId="0F8FA82C">
                  <w:pPr>
                    <w:pStyle w:val="28"/>
                    <w:jc w:val="center"/>
                    <w:rPr>
                      <w:rFonts w:hint="default" w:ascii="Times New Roman" w:hAnsi="Times New Roman" w:eastAsia="仿宋" w:cs="Times New Roman"/>
                      <w:b/>
                      <w:bCs/>
                      <w:color w:val="auto"/>
                      <w:sz w:val="21"/>
                      <w:szCs w:val="21"/>
                      <w:highlight w:val="none"/>
                    </w:rPr>
                  </w:pPr>
                </w:p>
              </w:tc>
              <w:tc>
                <w:tcPr>
                  <w:tcW w:w="1483" w:type="dxa"/>
                  <w:tcBorders>
                    <w:tl2br w:val="nil"/>
                    <w:tr2bl w:val="nil"/>
                  </w:tcBorders>
                  <w:vAlign w:val="center"/>
                </w:tcPr>
                <w:p w14:paraId="5D4D1193">
                  <w:pPr>
                    <w:pStyle w:val="28"/>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35</w:t>
                  </w:r>
                </w:p>
              </w:tc>
              <w:tc>
                <w:tcPr>
                  <w:tcW w:w="1127" w:type="dxa"/>
                  <w:vMerge w:val="continue"/>
                  <w:tcBorders>
                    <w:tl2br w:val="nil"/>
                    <w:tr2bl w:val="nil"/>
                  </w:tcBorders>
                  <w:vAlign w:val="center"/>
                </w:tcPr>
                <w:p w14:paraId="7D516918">
                  <w:pPr>
                    <w:jc w:val="center"/>
                    <w:rPr>
                      <w:rFonts w:hint="default" w:ascii="Times New Roman" w:hAnsi="Times New Roman" w:eastAsia="仿宋" w:cs="Times New Roman"/>
                      <w:color w:val="auto"/>
                      <w:sz w:val="21"/>
                      <w:szCs w:val="21"/>
                      <w:highlight w:val="none"/>
                    </w:rPr>
                  </w:pPr>
                </w:p>
              </w:tc>
              <w:tc>
                <w:tcPr>
                  <w:tcW w:w="1128" w:type="dxa"/>
                  <w:tcBorders>
                    <w:tl2br w:val="nil"/>
                    <w:tr2bl w:val="nil"/>
                  </w:tcBorders>
                  <w:shd w:val="clear" w:color="auto" w:fill="auto"/>
                  <w:vAlign w:val="center"/>
                </w:tcPr>
                <w:p w14:paraId="7CACE5B6">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55</w:t>
                  </w:r>
                </w:p>
              </w:tc>
              <w:tc>
                <w:tcPr>
                  <w:tcW w:w="1566" w:type="dxa"/>
                  <w:tcBorders>
                    <w:tl2br w:val="nil"/>
                    <w:tr2bl w:val="nil"/>
                  </w:tcBorders>
                  <w:vAlign w:val="center"/>
                </w:tcPr>
                <w:p w14:paraId="7DD67132">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w:t>
                  </w:r>
                </w:p>
              </w:tc>
            </w:tr>
            <w:tr w14:paraId="541F1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64" w:type="dxa"/>
                  <w:tcBorders>
                    <w:tl2br w:val="nil"/>
                    <w:tr2bl w:val="nil"/>
                  </w:tcBorders>
                  <w:shd w:val="clear" w:color="auto" w:fill="auto"/>
                  <w:vAlign w:val="center"/>
                </w:tcPr>
                <w:p w14:paraId="1529CE65">
                  <w:pPr>
                    <w:pStyle w:val="28"/>
                    <w:jc w:val="center"/>
                    <w:rPr>
                      <w:rFonts w:hint="default" w:ascii="Times New Roman" w:hAnsi="Times New Roman" w:eastAsia="仿宋" w:cs="Times New Roman"/>
                      <w:color w:val="auto"/>
                      <w:sz w:val="21"/>
                      <w:szCs w:val="21"/>
                      <w:highlight w:val="none"/>
                      <w:lang w:val="en-US" w:eastAsia="zh-CN" w:bidi="ar-SA"/>
                    </w:rPr>
                  </w:pPr>
                  <w:r>
                    <w:rPr>
                      <w:rFonts w:hint="default" w:ascii="Times New Roman" w:hAnsi="Times New Roman" w:eastAsia="仿宋" w:cs="Times New Roman"/>
                      <w:color w:val="auto"/>
                      <w:sz w:val="21"/>
                      <w:szCs w:val="21"/>
                      <w:highlight w:val="none"/>
                    </w:rPr>
                    <w:t>北厂界</w:t>
                  </w:r>
                </w:p>
              </w:tc>
              <w:tc>
                <w:tcPr>
                  <w:tcW w:w="1039" w:type="dxa"/>
                  <w:vMerge w:val="continue"/>
                  <w:tcBorders>
                    <w:tl2br w:val="nil"/>
                    <w:tr2bl w:val="nil"/>
                  </w:tcBorders>
                  <w:vAlign w:val="center"/>
                </w:tcPr>
                <w:p w14:paraId="2822575E">
                  <w:pPr>
                    <w:pStyle w:val="28"/>
                    <w:jc w:val="center"/>
                    <w:rPr>
                      <w:rFonts w:hint="default" w:ascii="Times New Roman" w:hAnsi="Times New Roman" w:eastAsia="仿宋" w:cs="Times New Roman"/>
                      <w:b/>
                      <w:bCs/>
                      <w:color w:val="auto"/>
                      <w:sz w:val="21"/>
                      <w:szCs w:val="21"/>
                      <w:highlight w:val="none"/>
                    </w:rPr>
                  </w:pPr>
                </w:p>
              </w:tc>
              <w:tc>
                <w:tcPr>
                  <w:tcW w:w="1483" w:type="dxa"/>
                  <w:tcBorders>
                    <w:tl2br w:val="nil"/>
                    <w:tr2bl w:val="nil"/>
                  </w:tcBorders>
                  <w:vAlign w:val="center"/>
                </w:tcPr>
                <w:p w14:paraId="00D6ECA5">
                  <w:pPr>
                    <w:pStyle w:val="28"/>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olor w:val="auto"/>
                      <w:kern w:val="0"/>
                      <w:sz w:val="21"/>
                      <w:szCs w:val="21"/>
                      <w:highlight w:val="none"/>
                      <w:u w:val="none"/>
                      <w:lang w:val="en-US" w:eastAsia="zh-CN" w:bidi="ar"/>
                    </w:rPr>
                    <w:t>40</w:t>
                  </w:r>
                </w:p>
              </w:tc>
              <w:tc>
                <w:tcPr>
                  <w:tcW w:w="1127" w:type="dxa"/>
                  <w:vMerge w:val="continue"/>
                  <w:tcBorders>
                    <w:tl2br w:val="nil"/>
                    <w:tr2bl w:val="nil"/>
                  </w:tcBorders>
                  <w:vAlign w:val="center"/>
                </w:tcPr>
                <w:p w14:paraId="62624AF3">
                  <w:pPr>
                    <w:jc w:val="center"/>
                    <w:rPr>
                      <w:rFonts w:hint="default" w:ascii="Times New Roman" w:hAnsi="Times New Roman" w:eastAsia="仿宋" w:cs="Times New Roman"/>
                      <w:color w:val="auto"/>
                      <w:sz w:val="21"/>
                      <w:szCs w:val="21"/>
                      <w:highlight w:val="none"/>
                    </w:rPr>
                  </w:pPr>
                </w:p>
              </w:tc>
              <w:tc>
                <w:tcPr>
                  <w:tcW w:w="1128" w:type="dxa"/>
                  <w:tcBorders>
                    <w:tl2br w:val="nil"/>
                    <w:tr2bl w:val="nil"/>
                  </w:tcBorders>
                  <w:shd w:val="clear" w:color="auto" w:fill="auto"/>
                  <w:vAlign w:val="center"/>
                </w:tcPr>
                <w:p w14:paraId="6CE24164">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55</w:t>
                  </w:r>
                </w:p>
              </w:tc>
              <w:tc>
                <w:tcPr>
                  <w:tcW w:w="1566" w:type="dxa"/>
                  <w:tcBorders>
                    <w:tl2br w:val="nil"/>
                    <w:tr2bl w:val="nil"/>
                  </w:tcBorders>
                  <w:vAlign w:val="center"/>
                </w:tcPr>
                <w:p w14:paraId="69332906">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达标</w:t>
                  </w:r>
                </w:p>
              </w:tc>
            </w:tr>
          </w:tbl>
          <w:p w14:paraId="1C49C508">
            <w:pPr>
              <w:pStyle w:val="38"/>
              <w:ind w:firstLine="420"/>
              <w:rPr>
                <w:color w:val="auto"/>
                <w:sz w:val="21"/>
                <w:szCs w:val="21"/>
                <w:highlight w:val="none"/>
              </w:rPr>
            </w:pPr>
            <w:r>
              <w:rPr>
                <w:rFonts w:hint="default" w:ascii="Times New Roman" w:hAnsi="Times New Roman" w:eastAsia="宋体" w:cs="Times New Roman"/>
                <w:color w:val="auto"/>
                <w:sz w:val="24"/>
                <w:szCs w:val="24"/>
                <w:highlight w:val="none"/>
              </w:rPr>
              <w:t>由预测结果可知，在采取相应减振降噪措施后，本项目营运期对各厂界的噪声贡献值均可达到《工业企业厂界环境噪声排放标准》（GB12348-2008）3类标准限值要求。</w:t>
            </w:r>
          </w:p>
          <w:p w14:paraId="5F9B1C15">
            <w:pPr>
              <w:adjustRightInd w:val="0"/>
              <w:snapToGrid w:val="0"/>
              <w:spacing w:line="360" w:lineRule="auto"/>
              <w:rPr>
                <w:b/>
                <w:color w:val="auto"/>
                <w:sz w:val="24"/>
                <w:szCs w:val="24"/>
                <w:highlight w:val="none"/>
              </w:rPr>
            </w:pPr>
            <w:r>
              <w:rPr>
                <w:rFonts w:hint="eastAsia"/>
                <w:b/>
                <w:color w:val="auto"/>
                <w:sz w:val="24"/>
                <w:szCs w:val="24"/>
                <w:highlight w:val="none"/>
              </w:rPr>
              <w:t>3.</w:t>
            </w:r>
            <w:r>
              <w:rPr>
                <w:rFonts w:hint="eastAsia"/>
                <w:b/>
                <w:color w:val="auto"/>
                <w:sz w:val="24"/>
                <w:szCs w:val="24"/>
                <w:highlight w:val="none"/>
                <w:lang w:val="en-US" w:eastAsia="zh-CN"/>
              </w:rPr>
              <w:t>4</w:t>
            </w:r>
            <w:r>
              <w:rPr>
                <w:rFonts w:hint="eastAsia"/>
                <w:b/>
                <w:color w:val="auto"/>
                <w:sz w:val="24"/>
                <w:szCs w:val="24"/>
                <w:highlight w:val="none"/>
              </w:rPr>
              <w:t xml:space="preserve">  </w:t>
            </w:r>
            <w:r>
              <w:rPr>
                <w:b/>
                <w:color w:val="auto"/>
                <w:sz w:val="24"/>
                <w:szCs w:val="24"/>
                <w:highlight w:val="none"/>
              </w:rPr>
              <w:t>降噪措施及影响分析</w:t>
            </w:r>
          </w:p>
          <w:p w14:paraId="094D29AC">
            <w:pPr>
              <w:spacing w:line="360" w:lineRule="auto"/>
              <w:ind w:firstLine="480"/>
              <w:rPr>
                <w:color w:val="auto"/>
                <w:sz w:val="24"/>
                <w:szCs w:val="24"/>
                <w:highlight w:val="none"/>
              </w:rPr>
            </w:pPr>
            <w:r>
              <w:rPr>
                <w:color w:val="auto"/>
                <w:sz w:val="24"/>
                <w:szCs w:val="24"/>
                <w:highlight w:val="none"/>
              </w:rPr>
              <w:t>为了减轻设备运行产生的噪声对周围环境的影响，建设方拟采取如下降噪措施：</w:t>
            </w:r>
          </w:p>
          <w:p w14:paraId="5532A8D6">
            <w:pPr>
              <w:pStyle w:val="38"/>
              <w:ind w:firstLine="420"/>
              <w:rPr>
                <w:color w:val="auto"/>
                <w:kern w:val="2"/>
                <w:sz w:val="24"/>
                <w:szCs w:val="24"/>
                <w:highlight w:val="none"/>
              </w:rPr>
            </w:pPr>
            <w:r>
              <w:rPr>
                <w:color w:val="auto"/>
                <w:kern w:val="2"/>
                <w:sz w:val="24"/>
                <w:szCs w:val="24"/>
                <w:highlight w:val="none"/>
              </w:rPr>
              <w:fldChar w:fldCharType="begin"/>
            </w:r>
            <w:r>
              <w:rPr>
                <w:color w:val="auto"/>
                <w:kern w:val="2"/>
                <w:sz w:val="24"/>
                <w:szCs w:val="24"/>
                <w:highlight w:val="none"/>
              </w:rPr>
              <w:instrText xml:space="preserve"> </w:instrText>
            </w:r>
            <w:r>
              <w:rPr>
                <w:rFonts w:hint="eastAsia"/>
                <w:color w:val="auto"/>
                <w:kern w:val="2"/>
                <w:sz w:val="24"/>
                <w:szCs w:val="24"/>
                <w:highlight w:val="none"/>
              </w:rPr>
              <w:instrText xml:space="preserve">= 1 \* GB3</w:instrText>
            </w:r>
            <w:r>
              <w:rPr>
                <w:color w:val="auto"/>
                <w:kern w:val="2"/>
                <w:sz w:val="24"/>
                <w:szCs w:val="24"/>
                <w:highlight w:val="none"/>
              </w:rPr>
              <w:instrText xml:space="preserve"> </w:instrText>
            </w:r>
            <w:r>
              <w:rPr>
                <w:color w:val="auto"/>
                <w:kern w:val="2"/>
                <w:sz w:val="24"/>
                <w:szCs w:val="24"/>
                <w:highlight w:val="none"/>
              </w:rPr>
              <w:fldChar w:fldCharType="separate"/>
            </w:r>
            <w:r>
              <w:rPr>
                <w:rFonts w:hint="eastAsia"/>
                <w:color w:val="auto"/>
                <w:kern w:val="2"/>
                <w:sz w:val="24"/>
                <w:szCs w:val="24"/>
                <w:highlight w:val="none"/>
              </w:rPr>
              <w:t>①</w:t>
            </w:r>
            <w:r>
              <w:rPr>
                <w:color w:val="auto"/>
                <w:kern w:val="2"/>
                <w:sz w:val="24"/>
                <w:szCs w:val="24"/>
                <w:highlight w:val="none"/>
              </w:rPr>
              <w:fldChar w:fldCharType="end"/>
            </w:r>
            <w:r>
              <w:rPr>
                <w:color w:val="auto"/>
                <w:kern w:val="2"/>
                <w:sz w:val="24"/>
                <w:szCs w:val="24"/>
                <w:highlight w:val="none"/>
              </w:rPr>
              <w:t>合理布局车间，项目所使用的机械设备均选用低噪声设备；</w:t>
            </w:r>
            <w:r>
              <w:rPr>
                <w:rFonts w:hint="eastAsia"/>
                <w:color w:val="auto"/>
                <w:kern w:val="2"/>
                <w:sz w:val="24"/>
                <w:szCs w:val="24"/>
                <w:highlight w:val="none"/>
                <w:lang w:val="en-US" w:eastAsia="zh-CN"/>
              </w:rPr>
              <w:t>②</w:t>
            </w:r>
            <w:r>
              <w:rPr>
                <w:rFonts w:hint="eastAsia"/>
                <w:color w:val="auto"/>
                <w:kern w:val="0"/>
                <w:sz w:val="24"/>
                <w:highlight w:val="none"/>
              </w:rPr>
              <w:t>设备中的高噪声部位加装隔声罩。对</w:t>
            </w:r>
            <w:r>
              <w:rPr>
                <w:rFonts w:hint="eastAsia"/>
                <w:color w:val="auto"/>
                <w:kern w:val="0"/>
                <w:sz w:val="24"/>
                <w:highlight w:val="none"/>
                <w:lang w:val="en-US" w:eastAsia="zh-CN"/>
              </w:rPr>
              <w:t>于</w:t>
            </w:r>
            <w:r>
              <w:rPr>
                <w:rFonts w:hint="eastAsia"/>
                <w:color w:val="auto"/>
                <w:kern w:val="0"/>
                <w:sz w:val="24"/>
                <w:highlight w:val="none"/>
              </w:rPr>
              <w:t>风机等</w:t>
            </w:r>
            <w:r>
              <w:rPr>
                <w:rFonts w:hint="eastAsia"/>
                <w:color w:val="auto"/>
                <w:kern w:val="0"/>
                <w:sz w:val="24"/>
                <w:highlight w:val="none"/>
                <w:lang w:val="en-US" w:eastAsia="zh-CN"/>
              </w:rPr>
              <w:t>此类设备结合实际设置封闭空间或</w:t>
            </w:r>
            <w:r>
              <w:rPr>
                <w:rFonts w:hint="eastAsia"/>
                <w:color w:val="auto"/>
                <w:kern w:val="0"/>
                <w:sz w:val="24"/>
                <w:highlight w:val="none"/>
              </w:rPr>
              <w:t>配置减振装置，安装隔声罩或消声器</w:t>
            </w:r>
            <w:r>
              <w:rPr>
                <w:rFonts w:hint="eastAsia"/>
                <w:color w:val="auto"/>
                <w:kern w:val="0"/>
                <w:sz w:val="24"/>
                <w:highlight w:val="none"/>
                <w:lang w:eastAsia="zh-CN"/>
              </w:rPr>
              <w:t>；</w:t>
            </w:r>
            <w:r>
              <w:rPr>
                <w:color w:val="auto"/>
                <w:kern w:val="2"/>
                <w:sz w:val="24"/>
                <w:szCs w:val="24"/>
                <w:highlight w:val="none"/>
              </w:rPr>
              <w:fldChar w:fldCharType="begin"/>
            </w:r>
            <w:r>
              <w:rPr>
                <w:color w:val="auto"/>
                <w:kern w:val="2"/>
                <w:sz w:val="24"/>
                <w:szCs w:val="24"/>
                <w:highlight w:val="none"/>
              </w:rPr>
              <w:instrText xml:space="preserve"> </w:instrText>
            </w:r>
            <w:r>
              <w:rPr>
                <w:rFonts w:hint="eastAsia"/>
                <w:color w:val="auto"/>
                <w:kern w:val="2"/>
                <w:sz w:val="24"/>
                <w:szCs w:val="24"/>
                <w:highlight w:val="none"/>
              </w:rPr>
              <w:instrText xml:space="preserve">= 3 \* GB3</w:instrText>
            </w:r>
            <w:r>
              <w:rPr>
                <w:color w:val="auto"/>
                <w:kern w:val="2"/>
                <w:sz w:val="24"/>
                <w:szCs w:val="24"/>
                <w:highlight w:val="none"/>
              </w:rPr>
              <w:instrText xml:space="preserve"> </w:instrText>
            </w:r>
            <w:r>
              <w:rPr>
                <w:color w:val="auto"/>
                <w:kern w:val="2"/>
                <w:sz w:val="24"/>
                <w:szCs w:val="24"/>
                <w:highlight w:val="none"/>
              </w:rPr>
              <w:fldChar w:fldCharType="separate"/>
            </w:r>
            <w:r>
              <w:rPr>
                <w:rFonts w:hint="eastAsia"/>
                <w:color w:val="auto"/>
                <w:kern w:val="2"/>
                <w:sz w:val="24"/>
                <w:szCs w:val="24"/>
                <w:highlight w:val="none"/>
              </w:rPr>
              <w:t>③</w:t>
            </w:r>
            <w:r>
              <w:rPr>
                <w:color w:val="auto"/>
                <w:kern w:val="2"/>
                <w:sz w:val="24"/>
                <w:szCs w:val="24"/>
                <w:highlight w:val="none"/>
              </w:rPr>
              <w:fldChar w:fldCharType="end"/>
            </w:r>
            <w:r>
              <w:rPr>
                <w:color w:val="auto"/>
                <w:kern w:val="2"/>
                <w:sz w:val="24"/>
                <w:szCs w:val="24"/>
                <w:highlight w:val="none"/>
              </w:rPr>
              <w:t>车间设备工作时，应关闭门窗，充分利用车间墙体的隔声作用；</w:t>
            </w:r>
            <w:r>
              <w:rPr>
                <w:rFonts w:hint="eastAsia"/>
                <w:color w:val="auto"/>
                <w:kern w:val="2"/>
                <w:sz w:val="24"/>
                <w:szCs w:val="24"/>
                <w:highlight w:val="none"/>
                <w:lang w:val="en-US" w:eastAsia="zh-CN"/>
              </w:rPr>
              <w:t>④</w:t>
            </w:r>
            <w:r>
              <w:rPr>
                <w:color w:val="auto"/>
                <w:kern w:val="2"/>
                <w:sz w:val="24"/>
                <w:szCs w:val="24"/>
                <w:highlight w:val="none"/>
              </w:rPr>
              <w:t>加强对机械设备的维修与保养，避免因老化引起的噪声。</w:t>
            </w:r>
          </w:p>
          <w:p w14:paraId="62CB2D89">
            <w:pPr>
              <w:adjustRightInd w:val="0"/>
              <w:snapToGrid w:val="0"/>
              <w:spacing w:line="360" w:lineRule="auto"/>
              <w:rPr>
                <w:b/>
                <w:color w:val="auto"/>
                <w:sz w:val="24"/>
                <w:szCs w:val="24"/>
                <w:highlight w:val="none"/>
              </w:rPr>
            </w:pPr>
            <w:r>
              <w:rPr>
                <w:rFonts w:hint="eastAsia"/>
                <w:b/>
                <w:color w:val="auto"/>
                <w:sz w:val="24"/>
                <w:szCs w:val="24"/>
                <w:highlight w:val="none"/>
              </w:rPr>
              <w:t>3.</w:t>
            </w:r>
            <w:r>
              <w:rPr>
                <w:rFonts w:hint="eastAsia"/>
                <w:b/>
                <w:color w:val="auto"/>
                <w:sz w:val="24"/>
                <w:szCs w:val="24"/>
                <w:highlight w:val="none"/>
                <w:lang w:val="en-US" w:eastAsia="zh-CN"/>
              </w:rPr>
              <w:t>5</w:t>
            </w:r>
            <w:r>
              <w:rPr>
                <w:rFonts w:hint="eastAsia"/>
                <w:b/>
                <w:color w:val="auto"/>
                <w:sz w:val="24"/>
                <w:szCs w:val="24"/>
                <w:highlight w:val="none"/>
              </w:rPr>
              <w:t xml:space="preserve">  </w:t>
            </w:r>
            <w:r>
              <w:rPr>
                <w:b/>
                <w:color w:val="auto"/>
                <w:sz w:val="24"/>
                <w:szCs w:val="24"/>
                <w:highlight w:val="none"/>
              </w:rPr>
              <w:t>监测要求</w:t>
            </w:r>
          </w:p>
          <w:p w14:paraId="1B83ED8D">
            <w:pPr>
              <w:spacing w:line="360" w:lineRule="auto"/>
              <w:ind w:firstLine="480" w:firstLineChars="200"/>
              <w:rPr>
                <w:color w:val="auto"/>
                <w:sz w:val="24"/>
                <w:szCs w:val="24"/>
                <w:highlight w:val="none"/>
              </w:rPr>
            </w:pPr>
            <w:r>
              <w:rPr>
                <w:color w:val="auto"/>
                <w:sz w:val="24"/>
                <w:szCs w:val="24"/>
                <w:highlight w:val="none"/>
              </w:rPr>
              <w:t>依据《排污单位自行监测技术指南 总则》（HJ 819-2017）制定并实施切实可行的环境监测计划</w:t>
            </w:r>
            <w:r>
              <w:rPr>
                <w:rFonts w:hint="eastAsia"/>
                <w:color w:val="auto"/>
                <w:sz w:val="24"/>
                <w:szCs w:val="24"/>
                <w:highlight w:val="none"/>
              </w:rPr>
              <w:t>，</w:t>
            </w:r>
            <w:r>
              <w:rPr>
                <w:color w:val="auto"/>
                <w:sz w:val="24"/>
                <w:szCs w:val="24"/>
                <w:highlight w:val="none"/>
              </w:rPr>
              <w:t>监测计划如下表</w:t>
            </w:r>
            <w:r>
              <w:rPr>
                <w:rFonts w:hint="eastAsia"/>
                <w:color w:val="auto"/>
                <w:sz w:val="24"/>
                <w:szCs w:val="24"/>
                <w:highlight w:val="none"/>
              </w:rPr>
              <w:t>。</w:t>
            </w:r>
          </w:p>
          <w:p w14:paraId="41F1A7E6">
            <w:pPr>
              <w:pStyle w:val="6"/>
              <w:spacing w:before="0" w:after="0" w:line="240" w:lineRule="auto"/>
              <w:ind w:right="0"/>
              <w:jc w:val="center"/>
              <w:rPr>
                <w:b/>
                <w:bCs/>
                <w:color w:val="auto"/>
                <w:sz w:val="24"/>
                <w:szCs w:val="24"/>
                <w:highlight w:val="none"/>
              </w:rPr>
            </w:pPr>
            <w:r>
              <w:rPr>
                <w:b/>
                <w:bCs/>
                <w:color w:val="auto"/>
                <w:sz w:val="24"/>
                <w:szCs w:val="24"/>
                <w:highlight w:val="none"/>
              </w:rPr>
              <w:t>表4-1</w:t>
            </w:r>
            <w:r>
              <w:rPr>
                <w:rFonts w:hint="eastAsia"/>
                <w:b/>
                <w:bCs/>
                <w:color w:val="auto"/>
                <w:sz w:val="24"/>
                <w:szCs w:val="24"/>
                <w:highlight w:val="none"/>
                <w:lang w:val="en-US" w:eastAsia="zh-CN"/>
              </w:rPr>
              <w:t>9</w:t>
            </w:r>
            <w:r>
              <w:rPr>
                <w:b/>
                <w:bCs/>
                <w:color w:val="auto"/>
                <w:sz w:val="24"/>
                <w:szCs w:val="24"/>
                <w:highlight w:val="none"/>
              </w:rPr>
              <w:t xml:space="preserve">  噪声监测计划及要求</w:t>
            </w:r>
          </w:p>
          <w:tbl>
            <w:tblPr>
              <w:tblStyle w:val="22"/>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1980"/>
              <w:gridCol w:w="1413"/>
              <w:gridCol w:w="2869"/>
            </w:tblGrid>
            <w:tr w14:paraId="3FD786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55" w:type="pct"/>
                  <w:tcBorders>
                    <w:tl2br w:val="nil"/>
                    <w:tr2bl w:val="nil"/>
                  </w:tcBorders>
                  <w:vAlign w:val="center"/>
                </w:tcPr>
                <w:p w14:paraId="67DF9C0A">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监测点位</w:t>
                  </w:r>
                </w:p>
              </w:tc>
              <w:tc>
                <w:tcPr>
                  <w:tcW w:w="1247" w:type="pct"/>
                  <w:tcBorders>
                    <w:tl2br w:val="nil"/>
                    <w:tr2bl w:val="nil"/>
                  </w:tcBorders>
                  <w:vAlign w:val="center"/>
                </w:tcPr>
                <w:p w14:paraId="12E194EA">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监测项目</w:t>
                  </w:r>
                </w:p>
              </w:tc>
              <w:tc>
                <w:tcPr>
                  <w:tcW w:w="890" w:type="pct"/>
                  <w:tcBorders>
                    <w:tl2br w:val="nil"/>
                    <w:tr2bl w:val="nil"/>
                  </w:tcBorders>
                  <w:vAlign w:val="center"/>
                </w:tcPr>
                <w:p w14:paraId="085298BF">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监测频次</w:t>
                  </w:r>
                </w:p>
              </w:tc>
              <w:tc>
                <w:tcPr>
                  <w:tcW w:w="1806" w:type="pct"/>
                  <w:tcBorders>
                    <w:tl2br w:val="nil"/>
                    <w:tr2bl w:val="nil"/>
                  </w:tcBorders>
                  <w:vAlign w:val="center"/>
                </w:tcPr>
                <w:p w14:paraId="3E1738DD">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执行排放标准</w:t>
                  </w:r>
                </w:p>
              </w:tc>
            </w:tr>
            <w:tr w14:paraId="474A0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55" w:type="pct"/>
                  <w:tcBorders>
                    <w:tl2br w:val="nil"/>
                    <w:tr2bl w:val="nil"/>
                  </w:tcBorders>
                  <w:vAlign w:val="center"/>
                </w:tcPr>
                <w:p w14:paraId="1CDDB410">
                  <w:pPr>
                    <w:pStyle w:val="2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厂界四周各一个，共4个</w:t>
                  </w:r>
                </w:p>
              </w:tc>
              <w:tc>
                <w:tcPr>
                  <w:tcW w:w="1247" w:type="pct"/>
                  <w:tcBorders>
                    <w:tl2br w:val="nil"/>
                    <w:tr2bl w:val="nil"/>
                  </w:tcBorders>
                  <w:vAlign w:val="center"/>
                </w:tcPr>
                <w:p w14:paraId="00F7E078">
                  <w:pPr>
                    <w:pStyle w:val="2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等效连续A声级</w:t>
                  </w:r>
                </w:p>
              </w:tc>
              <w:tc>
                <w:tcPr>
                  <w:tcW w:w="890" w:type="pct"/>
                  <w:tcBorders>
                    <w:tl2br w:val="nil"/>
                    <w:tr2bl w:val="nil"/>
                  </w:tcBorders>
                  <w:vAlign w:val="center"/>
                </w:tcPr>
                <w:p w14:paraId="5C4E4CDD">
                  <w:pPr>
                    <w:pStyle w:val="2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1次/季</w:t>
                  </w:r>
                </w:p>
              </w:tc>
              <w:tc>
                <w:tcPr>
                  <w:tcW w:w="1806" w:type="pct"/>
                  <w:tcBorders>
                    <w:tl2br w:val="nil"/>
                    <w:tr2bl w:val="nil"/>
                  </w:tcBorders>
                  <w:vAlign w:val="center"/>
                </w:tcPr>
                <w:p w14:paraId="4C438D0C">
                  <w:pPr>
                    <w:pStyle w:val="2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《工业企业厂界环境噪声排放标准》（GB12348－2008）3类标准</w:t>
                  </w:r>
                </w:p>
              </w:tc>
            </w:tr>
          </w:tbl>
          <w:p w14:paraId="6C26D043">
            <w:pPr>
              <w:adjustRightInd w:val="0"/>
              <w:snapToGrid w:val="0"/>
              <w:spacing w:line="360" w:lineRule="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固体废物</w:t>
            </w:r>
          </w:p>
          <w:p w14:paraId="485AEF5A">
            <w:pPr>
              <w:adjustRightInd w:val="0"/>
              <w:snapToGrid w:val="0"/>
              <w:spacing w:line="360" w:lineRule="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4.1  固体废物产生情况</w:t>
            </w:r>
          </w:p>
          <w:p w14:paraId="56BC3864">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根据本项目生产工艺，本项目固废主要有一般工业固废（</w:t>
            </w:r>
            <w:r>
              <w:rPr>
                <w:rFonts w:hint="eastAsia" w:cs="Times New Roman"/>
                <w:color w:val="auto"/>
                <w:sz w:val="24"/>
                <w:szCs w:val="24"/>
                <w:highlight w:val="none"/>
                <w:lang w:val="en-US" w:eastAsia="zh-CN"/>
              </w:rPr>
              <w:t>不合格品</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废渣、</w:t>
            </w:r>
            <w:r>
              <w:rPr>
                <w:rFonts w:hint="eastAsia" w:ascii="Times New Roman" w:hAnsi="Times New Roman" w:eastAsia="宋体" w:cs="Times New Roman"/>
                <w:color w:val="auto"/>
                <w:sz w:val="24"/>
                <w:szCs w:val="24"/>
                <w:highlight w:val="none"/>
                <w:lang w:val="en-US" w:eastAsia="zh-CN"/>
              </w:rPr>
              <w:t>废包装</w:t>
            </w:r>
            <w:r>
              <w:rPr>
                <w:rFonts w:hint="eastAsia" w:cs="Times New Roman"/>
                <w:color w:val="auto"/>
                <w:sz w:val="24"/>
                <w:szCs w:val="24"/>
                <w:highlight w:val="none"/>
                <w:lang w:val="en-US" w:eastAsia="zh-CN"/>
              </w:rPr>
              <w:t>材料、叉车废电瓶</w:t>
            </w:r>
            <w:r>
              <w:rPr>
                <w:rFonts w:hint="default" w:ascii="Times New Roman" w:hAnsi="Times New Roman" w:eastAsia="宋体" w:cs="Times New Roman"/>
                <w:color w:val="auto"/>
                <w:sz w:val="24"/>
                <w:szCs w:val="24"/>
                <w:highlight w:val="none"/>
              </w:rPr>
              <w:t>）、危险废物（</w:t>
            </w:r>
            <w:r>
              <w:rPr>
                <w:rFonts w:hint="eastAsia" w:cs="Times New Roman"/>
                <w:color w:val="auto"/>
                <w:sz w:val="24"/>
                <w:szCs w:val="24"/>
                <w:highlight w:val="none"/>
                <w:lang w:val="en-US" w:eastAsia="zh-CN"/>
              </w:rPr>
              <w:t>沾染切削液的废金属屑</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废切削液、废无尘纸、废包装桶、废油桶、废液压油、废过滤网</w:t>
            </w:r>
            <w:r>
              <w:rPr>
                <w:rFonts w:hint="default" w:ascii="Times New Roman" w:hAnsi="Times New Roman" w:eastAsia="宋体" w:cs="Times New Roman"/>
                <w:color w:val="auto"/>
                <w:sz w:val="24"/>
                <w:szCs w:val="24"/>
                <w:highlight w:val="none"/>
              </w:rPr>
              <w:t>）和生活垃圾。</w:t>
            </w:r>
          </w:p>
          <w:p w14:paraId="3110D3FA">
            <w:pPr>
              <w:spacing w:line="360" w:lineRule="auto"/>
              <w:ind w:firstLine="482" w:firstLineChars="200"/>
              <w:rPr>
                <w:b/>
                <w:color w:val="auto"/>
                <w:sz w:val="24"/>
                <w:szCs w:val="24"/>
                <w:highlight w:val="none"/>
              </w:rPr>
            </w:pPr>
            <w:r>
              <w:rPr>
                <w:rFonts w:hint="eastAsia"/>
                <w:b/>
                <w:color w:val="auto"/>
                <w:sz w:val="24"/>
                <w:szCs w:val="24"/>
                <w:highlight w:val="none"/>
                <w:lang w:eastAsia="zh-CN"/>
              </w:rPr>
              <w:t>（</w:t>
            </w:r>
            <w:r>
              <w:rPr>
                <w:rFonts w:hint="eastAsia"/>
                <w:b/>
                <w:color w:val="auto"/>
                <w:sz w:val="24"/>
                <w:szCs w:val="24"/>
                <w:highlight w:val="none"/>
                <w:lang w:val="en-US" w:eastAsia="zh-CN"/>
              </w:rPr>
              <w:t>1</w:t>
            </w:r>
            <w:r>
              <w:rPr>
                <w:rFonts w:hint="eastAsia"/>
                <w:b/>
                <w:color w:val="auto"/>
                <w:sz w:val="24"/>
                <w:szCs w:val="24"/>
                <w:highlight w:val="none"/>
                <w:lang w:eastAsia="zh-CN"/>
              </w:rPr>
              <w:t>）</w:t>
            </w:r>
            <w:r>
              <w:rPr>
                <w:b/>
                <w:color w:val="auto"/>
                <w:sz w:val="24"/>
                <w:szCs w:val="24"/>
                <w:highlight w:val="none"/>
              </w:rPr>
              <w:t>一般工业固废</w:t>
            </w:r>
          </w:p>
          <w:p w14:paraId="3947705E">
            <w:pPr>
              <w:pStyle w:val="6"/>
              <w:spacing w:before="0" w:after="0" w:line="360" w:lineRule="auto"/>
              <w:ind w:right="0" w:firstLine="480" w:firstLineChars="200"/>
              <w:rPr>
                <w:rFonts w:hint="default"/>
                <w:color w:val="auto"/>
                <w:kern w:val="2"/>
                <w:sz w:val="24"/>
                <w:szCs w:val="24"/>
                <w:highlight w:val="none"/>
                <w:lang w:val="en-US" w:eastAsia="zh-CN"/>
              </w:rPr>
            </w:pPr>
            <w:r>
              <w:rPr>
                <w:rFonts w:hint="eastAsia"/>
                <w:color w:val="auto"/>
                <w:kern w:val="2"/>
                <w:sz w:val="24"/>
                <w:szCs w:val="24"/>
                <w:highlight w:val="none"/>
                <w:lang w:val="en-US" w:eastAsia="zh-CN"/>
              </w:rPr>
              <w:t>1）不合格品：来料检验和过程检测中会产生不合格品，根据建设单位提供资料，项目年产生不合格品为原料（铝）用量的</w:t>
            </w:r>
            <w:r>
              <w:rPr>
                <w:rFonts w:hint="eastAsia"/>
                <w:color w:val="auto"/>
                <w:kern w:val="2"/>
                <w:sz w:val="24"/>
                <w:szCs w:val="24"/>
                <w:highlight w:val="none"/>
                <w:lang w:val="en-US" w:eastAsia="zh-CN"/>
              </w:rPr>
              <w:t>3%</w:t>
            </w:r>
            <w:r>
              <w:rPr>
                <w:rFonts w:hint="eastAsia"/>
                <w:color w:val="auto"/>
                <w:kern w:val="2"/>
                <w:sz w:val="24"/>
                <w:szCs w:val="24"/>
                <w:highlight w:val="none"/>
                <w:lang w:val="en-US" w:eastAsia="zh-CN"/>
              </w:rPr>
              <w:t>，原料总重量约160t，即不合格品的量约为4.8t/a，根据《固体废物分类与代码目录》（公告2024年第4号），不合格品属于SW17可再生类废物，废物代码为900-002-S17，经收集后，暂存于一般固废暂存间，定期外售物资回收部门回收利用</w:t>
            </w:r>
            <w:r>
              <w:rPr>
                <w:rFonts w:hint="eastAsia" w:ascii="Times New Roman" w:hAnsi="Times New Roman" w:eastAsia="宋体" w:cs="Times New Roman"/>
                <w:color w:val="auto"/>
                <w:kern w:val="2"/>
                <w:sz w:val="24"/>
                <w:szCs w:val="24"/>
                <w:highlight w:val="none"/>
                <w:lang w:val="en-US" w:eastAsia="zh-CN"/>
              </w:rPr>
              <w:t>。</w:t>
            </w:r>
          </w:p>
          <w:p w14:paraId="5D22FAD7">
            <w:pPr>
              <w:pStyle w:val="6"/>
              <w:spacing w:before="0" w:after="0" w:line="360" w:lineRule="auto"/>
              <w:ind w:right="0" w:firstLine="480" w:firstLineChars="200"/>
              <w:rPr>
                <w:rFonts w:hint="default"/>
                <w:color w:val="auto"/>
                <w:kern w:val="2"/>
                <w:sz w:val="24"/>
                <w:szCs w:val="24"/>
                <w:highlight w:val="none"/>
                <w:lang w:val="en-US" w:eastAsia="zh-CN"/>
              </w:rPr>
            </w:pPr>
            <w:r>
              <w:rPr>
                <w:rFonts w:hint="eastAsia"/>
                <w:color w:val="auto"/>
                <w:kern w:val="2"/>
                <w:sz w:val="24"/>
                <w:szCs w:val="24"/>
                <w:highlight w:val="none"/>
                <w:lang w:val="en-US" w:eastAsia="zh-CN"/>
              </w:rPr>
              <w:t>2）废渣：工件在湿式去毛刺中会产生废渣，参考《排放源统计调查产排污核算方法和系数手册》中的“机械行业系数手册，表06预处理”，去毛刺粉尘的产生量约为所加工产品的2.19kg/t-原料，本项目原料约155.2t（扣除不合格品量），</w:t>
            </w:r>
            <w:r>
              <w:rPr>
                <w:rFonts w:hint="eastAsia" w:ascii="Times New Roman" w:hAnsi="Times New Roman" w:eastAsia="宋体" w:cs="Times New Roman"/>
                <w:color w:val="auto"/>
                <w:sz w:val="24"/>
                <w:szCs w:val="24"/>
                <w:highlight w:val="none"/>
                <w:lang w:val="en-US" w:eastAsia="zh-CN"/>
              </w:rPr>
              <w:t>则废</w:t>
            </w:r>
            <w:r>
              <w:rPr>
                <w:rFonts w:hint="eastAsia" w:cs="Times New Roman"/>
                <w:color w:val="auto"/>
                <w:sz w:val="24"/>
                <w:szCs w:val="24"/>
                <w:highlight w:val="none"/>
                <w:lang w:val="en-US" w:eastAsia="zh-CN"/>
              </w:rPr>
              <w:t>渣</w:t>
            </w:r>
            <w:r>
              <w:rPr>
                <w:rFonts w:hint="eastAsia" w:ascii="Times New Roman" w:hAnsi="Times New Roman" w:eastAsia="宋体" w:cs="Times New Roman"/>
                <w:color w:val="auto"/>
                <w:sz w:val="24"/>
                <w:szCs w:val="24"/>
                <w:highlight w:val="none"/>
                <w:lang w:val="en-US" w:eastAsia="zh-CN"/>
              </w:rPr>
              <w:t>产生量为</w:t>
            </w:r>
            <w:r>
              <w:rPr>
                <w:rFonts w:hint="eastAsia" w:cs="Times New Roman"/>
                <w:color w:val="auto"/>
                <w:sz w:val="24"/>
                <w:szCs w:val="24"/>
                <w:highlight w:val="none"/>
                <w:lang w:val="en-US" w:eastAsia="zh-CN"/>
              </w:rPr>
              <w:t>0.34</w:t>
            </w:r>
            <w:r>
              <w:rPr>
                <w:rFonts w:hint="eastAsia" w:ascii="Times New Roman" w:hAnsi="Times New Roman" w:eastAsia="宋体" w:cs="Times New Roman"/>
                <w:color w:val="auto"/>
                <w:sz w:val="24"/>
                <w:szCs w:val="24"/>
                <w:highlight w:val="none"/>
                <w:lang w:val="en-US" w:eastAsia="zh-CN"/>
              </w:rPr>
              <w:t>t/a，</w:t>
            </w:r>
            <w:r>
              <w:rPr>
                <w:rFonts w:hint="eastAsia"/>
                <w:color w:val="auto"/>
                <w:kern w:val="2"/>
                <w:sz w:val="24"/>
                <w:szCs w:val="24"/>
                <w:highlight w:val="none"/>
                <w:lang w:val="en-US" w:eastAsia="zh-CN"/>
              </w:rPr>
              <w:t>根据《固体废物分类与代码目录》（公告2024年第4号），废渣属于SW17可再生类废物，废物代码为900-002-S17，经收集后，暂存于一般固废暂存间，定期外售物资回收部门回收利用</w:t>
            </w:r>
            <w:r>
              <w:rPr>
                <w:rFonts w:hint="eastAsia" w:ascii="Times New Roman" w:hAnsi="Times New Roman" w:eastAsia="宋体" w:cs="Times New Roman"/>
                <w:color w:val="auto"/>
                <w:sz w:val="24"/>
                <w:szCs w:val="24"/>
                <w:highlight w:val="none"/>
                <w:lang w:val="en-US" w:eastAsia="zh-CN"/>
              </w:rPr>
              <w:t>。</w:t>
            </w:r>
          </w:p>
          <w:p w14:paraId="69640407">
            <w:pPr>
              <w:pStyle w:val="38"/>
              <w:ind w:firstLine="420"/>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废包装材料：</w:t>
            </w:r>
            <w:r>
              <w:rPr>
                <w:rFonts w:hint="eastAsia" w:ascii="Times New Roman" w:hAnsi="Times New Roman" w:cs="Times New Roman"/>
                <w:color w:val="auto"/>
                <w:sz w:val="24"/>
                <w:szCs w:val="24"/>
                <w:highlight w:val="none"/>
              </w:rPr>
              <w:t>原辅料的拆包会产生塑料、纸箱等废弃包装</w:t>
            </w:r>
            <w:r>
              <w:rPr>
                <w:rFonts w:hint="default" w:ascii="Times New Roman" w:hAnsi="Times New Roman" w:eastAsia="宋体" w:cs="Times New Roman"/>
                <w:color w:val="auto"/>
                <w:sz w:val="24"/>
                <w:szCs w:val="24"/>
                <w:highlight w:val="none"/>
                <w:lang w:val="en-US" w:eastAsia="zh-CN"/>
              </w:rPr>
              <w:t>，根据建设方提供，产生量约0.</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t/a，</w:t>
            </w:r>
            <w:r>
              <w:rPr>
                <w:rFonts w:hint="eastAsia"/>
                <w:color w:val="auto"/>
                <w:kern w:val="2"/>
                <w:sz w:val="24"/>
                <w:szCs w:val="24"/>
                <w:highlight w:val="none"/>
                <w:lang w:val="en-US" w:eastAsia="zh-CN"/>
              </w:rPr>
              <w:t>根据《固体废物分类与代码目录》（公告2024年第4号），</w:t>
            </w:r>
            <w:r>
              <w:rPr>
                <w:rFonts w:hint="default" w:ascii="Times New Roman" w:hAnsi="Times New Roman" w:eastAsia="宋体" w:cs="Times New Roman"/>
                <w:color w:val="auto"/>
                <w:sz w:val="24"/>
                <w:szCs w:val="24"/>
                <w:highlight w:val="none"/>
                <w:lang w:val="en-US" w:eastAsia="zh-CN"/>
              </w:rPr>
              <w:t>废包装材料</w:t>
            </w:r>
            <w:r>
              <w:rPr>
                <w:rFonts w:hint="eastAsia"/>
                <w:color w:val="auto"/>
                <w:kern w:val="2"/>
                <w:sz w:val="24"/>
                <w:szCs w:val="24"/>
                <w:highlight w:val="none"/>
                <w:lang w:val="en-US" w:eastAsia="zh-CN"/>
              </w:rPr>
              <w:t>属于SW17可再生类废物，废物代码为900-003-S17和900-005-S17，经收集后，暂存于一般固废暂存间，定期外售物资回收部门</w:t>
            </w:r>
            <w:r>
              <w:rPr>
                <w:rFonts w:hint="eastAsia"/>
                <w:color w:val="auto"/>
                <w:kern w:val="0"/>
                <w:sz w:val="24"/>
                <w:szCs w:val="24"/>
                <w:highlight w:val="none"/>
                <w:lang w:val="en-US" w:eastAsia="zh-CN"/>
              </w:rPr>
              <w:t>回收利用</w:t>
            </w:r>
            <w:r>
              <w:rPr>
                <w:rFonts w:hint="eastAsia" w:ascii="Times New Roman" w:hAnsi="Times New Roman" w:eastAsia="宋体" w:cs="Times New Roman"/>
                <w:color w:val="auto"/>
                <w:sz w:val="24"/>
                <w:szCs w:val="24"/>
                <w:highlight w:val="none"/>
                <w:lang w:val="en-US" w:eastAsia="zh-CN"/>
              </w:rPr>
              <w:t>。</w:t>
            </w:r>
          </w:p>
          <w:p w14:paraId="4C5E5308">
            <w:pPr>
              <w:pStyle w:val="38"/>
              <w:ind w:firstLine="42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4）叉车废电瓶：锂电池叉车使用过程中会产生叉车废电瓶，根据建设单位提供信息，五年更换一次，一次更换量为0.5t，即产生量为0.5t/5a，</w:t>
            </w:r>
            <w:r>
              <w:rPr>
                <w:rFonts w:hint="eastAsia"/>
                <w:color w:val="auto"/>
                <w:kern w:val="2"/>
                <w:sz w:val="24"/>
                <w:szCs w:val="24"/>
                <w:highlight w:val="none"/>
                <w:lang w:val="en-US" w:eastAsia="zh-CN"/>
              </w:rPr>
              <w:t>根据《固体废物分类与代码目录》（公告2024年第4号），</w:t>
            </w:r>
            <w:r>
              <w:rPr>
                <w:rFonts w:hint="eastAsia" w:cs="Times New Roman"/>
                <w:color w:val="auto"/>
                <w:sz w:val="24"/>
                <w:szCs w:val="24"/>
                <w:highlight w:val="none"/>
                <w:lang w:val="en-US" w:eastAsia="zh-CN"/>
              </w:rPr>
              <w:t>叉车废电瓶</w:t>
            </w:r>
            <w:r>
              <w:rPr>
                <w:rFonts w:hint="eastAsia"/>
                <w:color w:val="auto"/>
                <w:kern w:val="2"/>
                <w:sz w:val="24"/>
                <w:szCs w:val="24"/>
                <w:highlight w:val="none"/>
                <w:lang w:val="en-US" w:eastAsia="zh-CN"/>
              </w:rPr>
              <w:t>属于SW17可再生类废物，废物代码为900-012-S17，经收集后，暂存于一般固废暂存间，定期外售物资回收部门</w:t>
            </w:r>
            <w:r>
              <w:rPr>
                <w:rFonts w:hint="eastAsia"/>
                <w:color w:val="auto"/>
                <w:kern w:val="0"/>
                <w:sz w:val="24"/>
                <w:szCs w:val="24"/>
                <w:highlight w:val="none"/>
                <w:lang w:val="en-US" w:eastAsia="zh-CN"/>
              </w:rPr>
              <w:t>回收利用</w:t>
            </w:r>
            <w:r>
              <w:rPr>
                <w:rFonts w:hint="eastAsia" w:ascii="Times New Roman" w:hAnsi="Times New Roman" w:eastAsia="宋体" w:cs="Times New Roman"/>
                <w:color w:val="auto"/>
                <w:sz w:val="24"/>
                <w:szCs w:val="24"/>
                <w:highlight w:val="none"/>
                <w:lang w:val="en-US" w:eastAsia="zh-CN"/>
              </w:rPr>
              <w:t>。</w:t>
            </w:r>
          </w:p>
          <w:p w14:paraId="570F00A6">
            <w:pPr>
              <w:spacing w:line="360" w:lineRule="auto"/>
              <w:ind w:firstLine="482"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rPr>
              <w:t>危险废物</w:t>
            </w:r>
          </w:p>
          <w:p w14:paraId="39E8FD87">
            <w:pPr>
              <w:pStyle w:val="38"/>
              <w:ind w:firstLine="420"/>
              <w:rPr>
                <w:rFonts w:hint="eastAsia" w:ascii="Times New Roman" w:hAnsi="Times New Roman" w:eastAsia="宋体" w:cs="Times New Roman"/>
                <w:color w:val="auto"/>
                <w:highlight w:val="none"/>
                <w:lang w:val="en-US" w:eastAsia="zh-CN"/>
              </w:rPr>
            </w:pPr>
            <w:r>
              <w:rPr>
                <w:rFonts w:hint="eastAsia" w:cs="Times New Roman"/>
                <w:color w:val="auto"/>
                <w:sz w:val="24"/>
                <w:szCs w:val="24"/>
                <w:highlight w:val="none"/>
                <w:lang w:val="en-US" w:eastAsia="zh-CN"/>
              </w:rPr>
              <w:t>1）沾染切削液的废金属屑：本项目机加工过程中，需使用切削液，</w:t>
            </w:r>
            <w:r>
              <w:rPr>
                <w:rFonts w:hint="eastAsia" w:cs="Times New Roman"/>
                <w:color w:val="auto"/>
                <w:highlight w:val="none"/>
                <w:lang w:val="en-US" w:eastAsia="zh-CN"/>
              </w:rPr>
              <w:t>废金属屑会沾染切削液</w:t>
            </w:r>
            <w:r>
              <w:rPr>
                <w:rFonts w:hint="eastAsia" w:cs="Times New Roman"/>
                <w:color w:val="auto"/>
                <w:sz w:val="24"/>
                <w:szCs w:val="24"/>
                <w:highlight w:val="none"/>
                <w:lang w:val="en-US" w:eastAsia="zh-CN"/>
              </w:rPr>
              <w:t>，根据建设单位提供信息，沾染切削液的废金属屑</w:t>
            </w:r>
            <w:r>
              <w:rPr>
                <w:rFonts w:hint="eastAsia" w:cs="Times New Roman"/>
                <w:color w:val="auto"/>
                <w:highlight w:val="none"/>
                <w:lang w:val="en-US" w:eastAsia="zh-CN"/>
              </w:rPr>
              <w:t>经压块机处理之后使切削液分离，</w:t>
            </w:r>
            <w:r>
              <w:rPr>
                <w:color w:val="auto"/>
                <w:highlight w:val="none"/>
              </w:rPr>
              <w:t>利用过程不按危险废物管理，外售综合</w:t>
            </w:r>
            <w:r>
              <w:rPr>
                <w:color w:val="auto"/>
                <w:spacing w:val="-4"/>
                <w:highlight w:val="none"/>
              </w:rPr>
              <w:t>利用</w:t>
            </w:r>
            <w:r>
              <w:rPr>
                <w:color w:val="auto"/>
                <w:spacing w:val="-4"/>
                <w:highlight w:val="none"/>
              </w:rPr>
              <w:t>。</w:t>
            </w:r>
            <w:r>
              <w:rPr>
                <w:rFonts w:hint="eastAsia" w:cs="Times New Roman"/>
                <w:color w:val="auto"/>
                <w:sz w:val="24"/>
                <w:szCs w:val="24"/>
                <w:highlight w:val="none"/>
                <w:lang w:val="en-US" w:eastAsia="zh-CN"/>
              </w:rPr>
              <w:t>根据建设单位提供信息，</w:t>
            </w:r>
            <w:r>
              <w:rPr>
                <w:rFonts w:hint="eastAsia" w:cs="Times New Roman"/>
                <w:color w:val="auto"/>
                <w:highlight w:val="none"/>
                <w:lang w:val="en-US" w:eastAsia="zh-CN"/>
              </w:rPr>
              <w:t>沾染切削液的废金属屑约</w:t>
            </w:r>
            <w:r>
              <w:rPr>
                <w:rFonts w:hint="eastAsia" w:cs="Times New Roman"/>
                <w:color w:val="auto"/>
                <w:highlight w:val="none"/>
                <w:lang w:val="en-US" w:eastAsia="zh-CN"/>
              </w:rPr>
              <w:t>5t/a</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highlight w:val="none"/>
                <w:lang w:val="en-US" w:eastAsia="zh-CN"/>
              </w:rPr>
              <w:t>经查阅《国家危险废物名录》（2025版），</w:t>
            </w:r>
            <w:r>
              <w:rPr>
                <w:rFonts w:hint="eastAsia" w:cs="Times New Roman"/>
                <w:color w:val="auto"/>
                <w:highlight w:val="none"/>
                <w:lang w:val="en-US" w:eastAsia="zh-CN"/>
              </w:rPr>
              <w:t>沾染切削液的废金属屑</w:t>
            </w:r>
            <w:r>
              <w:rPr>
                <w:rFonts w:hint="eastAsia" w:ascii="Times New Roman" w:hAnsi="Times New Roman" w:eastAsia="宋体" w:cs="Times New Roman"/>
                <w:color w:val="auto"/>
                <w:highlight w:val="none"/>
                <w:lang w:val="en-US" w:eastAsia="zh-CN"/>
              </w:rPr>
              <w:t>属于危险废物（HW</w:t>
            </w:r>
            <w:r>
              <w:rPr>
                <w:rFonts w:hint="eastAsia" w:cs="Times New Roman"/>
                <w:color w:val="auto"/>
                <w:highlight w:val="none"/>
                <w:lang w:val="en-US" w:eastAsia="zh-CN"/>
              </w:rPr>
              <w:t>09</w:t>
            </w:r>
            <w:r>
              <w:rPr>
                <w:rFonts w:hint="eastAsia"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油/水、烃/水混合物或者乳化液</w:t>
            </w:r>
            <w:r>
              <w:rPr>
                <w:rFonts w:hint="eastAsia" w:ascii="Times New Roman" w:hAnsi="Times New Roman" w:eastAsia="宋体" w:cs="Times New Roman"/>
                <w:color w:val="auto"/>
                <w:highlight w:val="none"/>
                <w:lang w:val="en-US" w:eastAsia="zh-CN"/>
              </w:rPr>
              <w:t>，废物代码</w:t>
            </w:r>
            <w:r>
              <w:rPr>
                <w:rFonts w:hint="eastAsia" w:cs="Times New Roman"/>
                <w:color w:val="auto"/>
                <w:highlight w:val="none"/>
                <w:lang w:val="en-US" w:eastAsia="zh-CN"/>
              </w:rPr>
              <w:t>900-006-09</w:t>
            </w:r>
            <w:r>
              <w:rPr>
                <w:rFonts w:hint="eastAsia" w:ascii="Times New Roman" w:hAnsi="Times New Roman" w:eastAsia="宋体" w:cs="Times New Roman"/>
                <w:color w:val="auto"/>
                <w:highlight w:val="none"/>
                <w:lang w:val="en-US" w:eastAsia="zh-CN"/>
              </w:rPr>
              <w:t>）。</w:t>
            </w:r>
          </w:p>
          <w:p w14:paraId="2E1FD218">
            <w:pPr>
              <w:pStyle w:val="38"/>
              <w:ind w:firstLine="420"/>
              <w:rPr>
                <w:rFonts w:hint="eastAsia" w:cs="Times New Roman"/>
                <w:color w:val="auto"/>
                <w:highlight w:val="none"/>
                <w:lang w:val="en-US" w:eastAsia="zh-CN"/>
              </w:rPr>
            </w:pPr>
            <w:r>
              <w:rPr>
                <w:rFonts w:hint="eastAsia" w:cs="Times New Roman"/>
                <w:color w:val="auto"/>
                <w:highlight w:val="none"/>
                <w:lang w:val="en-US" w:eastAsia="zh-CN"/>
              </w:rPr>
              <w:t>2）废切削液：</w:t>
            </w:r>
            <w:r>
              <w:rPr>
                <w:rFonts w:hint="eastAsia" w:ascii="Times New Roman" w:hAnsi="Times New Roman" w:eastAsia="宋体" w:cs="Times New Roman"/>
                <w:b w:val="0"/>
                <w:bCs w:val="0"/>
                <w:color w:val="auto"/>
                <w:sz w:val="24"/>
                <w:szCs w:val="24"/>
                <w:highlight w:val="none"/>
                <w:lang w:val="en-US" w:eastAsia="zh-CN"/>
              </w:rPr>
              <w:t>本项目机加工过程中，会使用切削液，因此会产生废切削液。根据前文分析，废切削液的产生量为</w:t>
            </w:r>
            <w:r>
              <w:rPr>
                <w:rFonts w:hint="eastAsia" w:cs="Times New Roman"/>
                <w:b w:val="0"/>
                <w:bCs w:val="0"/>
                <w:color w:val="auto"/>
                <w:sz w:val="24"/>
                <w:szCs w:val="24"/>
                <w:highlight w:val="none"/>
                <w:lang w:val="en-US" w:eastAsia="zh-CN"/>
              </w:rPr>
              <w:t>5</w:t>
            </w:r>
            <w:r>
              <w:rPr>
                <w:rFonts w:hint="eastAsia" w:ascii="Times New Roman" w:hAnsi="Times New Roman" w:eastAsia="宋体" w:cs="Times New Roman"/>
                <w:b w:val="0"/>
                <w:bCs w:val="0"/>
                <w:color w:val="auto"/>
                <w:sz w:val="24"/>
                <w:szCs w:val="24"/>
                <w:highlight w:val="none"/>
                <w:lang w:val="en-US" w:eastAsia="zh-CN"/>
              </w:rPr>
              <w:t>t/a</w:t>
            </w:r>
            <w:r>
              <w:rPr>
                <w:rFonts w:hint="eastAsia" w:ascii="Times New Roman" w:hAnsi="Times New Roman" w:eastAsia="宋体" w:cs="Times New Roman"/>
                <w:color w:val="auto"/>
                <w:highlight w:val="none"/>
                <w:lang w:val="en-US" w:eastAsia="zh-CN"/>
              </w:rPr>
              <w:t>。经查阅《国家危险废物名录》（2025版），</w:t>
            </w:r>
            <w:r>
              <w:rPr>
                <w:rFonts w:hint="eastAsia" w:cs="Times New Roman"/>
                <w:color w:val="auto"/>
                <w:highlight w:val="none"/>
                <w:lang w:val="en-US" w:eastAsia="zh-CN"/>
              </w:rPr>
              <w:t>废切削液</w:t>
            </w:r>
            <w:r>
              <w:rPr>
                <w:rFonts w:hint="eastAsia" w:ascii="Times New Roman" w:hAnsi="Times New Roman" w:eastAsia="宋体" w:cs="Times New Roman"/>
                <w:color w:val="auto"/>
                <w:highlight w:val="none"/>
                <w:lang w:val="en-US" w:eastAsia="zh-CN"/>
              </w:rPr>
              <w:t>属于危险废物（HW</w:t>
            </w:r>
            <w:r>
              <w:rPr>
                <w:rFonts w:hint="eastAsia" w:cs="Times New Roman"/>
                <w:color w:val="auto"/>
                <w:highlight w:val="none"/>
                <w:lang w:val="en-US" w:eastAsia="zh-CN"/>
              </w:rPr>
              <w:t>09</w:t>
            </w:r>
            <w:r>
              <w:rPr>
                <w:rFonts w:hint="eastAsia"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油/水、烃/水混合物或者乳化液</w:t>
            </w:r>
            <w:r>
              <w:rPr>
                <w:rFonts w:hint="eastAsia" w:ascii="Times New Roman" w:hAnsi="Times New Roman" w:eastAsia="宋体" w:cs="Times New Roman"/>
                <w:color w:val="auto"/>
                <w:highlight w:val="none"/>
                <w:lang w:val="en-US" w:eastAsia="zh-CN"/>
              </w:rPr>
              <w:t>，废物代码</w:t>
            </w:r>
            <w:r>
              <w:rPr>
                <w:rFonts w:hint="eastAsia" w:cs="Times New Roman"/>
                <w:color w:val="auto"/>
                <w:highlight w:val="none"/>
                <w:lang w:val="en-US" w:eastAsia="zh-CN"/>
              </w:rPr>
              <w:t>900-006-09</w:t>
            </w:r>
            <w:r>
              <w:rPr>
                <w:rFonts w:hint="eastAsia" w:ascii="Times New Roman" w:hAnsi="Times New Roman" w:eastAsia="宋体" w:cs="Times New Roman"/>
                <w:color w:val="auto"/>
                <w:highlight w:val="none"/>
                <w:lang w:val="en-US" w:eastAsia="zh-CN"/>
              </w:rPr>
              <w:t>），在厂内危废暂存间暂存后委托有资质的单位定期</w:t>
            </w:r>
            <w:r>
              <w:rPr>
                <w:rFonts w:hint="eastAsia" w:cs="Times New Roman"/>
                <w:color w:val="auto"/>
                <w:highlight w:val="none"/>
                <w:lang w:val="en-US" w:eastAsia="zh-CN"/>
              </w:rPr>
              <w:t>外运</w:t>
            </w:r>
            <w:r>
              <w:rPr>
                <w:rFonts w:hint="eastAsia" w:ascii="Times New Roman" w:hAnsi="Times New Roman" w:eastAsia="宋体" w:cs="Times New Roman"/>
                <w:color w:val="auto"/>
                <w:highlight w:val="none"/>
                <w:lang w:val="en-US" w:eastAsia="zh-CN"/>
              </w:rPr>
              <w:t>处置。</w:t>
            </w:r>
          </w:p>
          <w:p w14:paraId="76083695">
            <w:pPr>
              <w:pStyle w:val="38"/>
              <w:ind w:firstLine="420"/>
              <w:rPr>
                <w:rFonts w:hint="eastAsia" w:cs="Times New Roman"/>
                <w:color w:val="auto"/>
                <w:highlight w:val="none"/>
                <w:lang w:val="en-US" w:eastAsia="zh-CN"/>
              </w:rPr>
            </w:pPr>
            <w:r>
              <w:rPr>
                <w:rFonts w:hint="eastAsia" w:cs="Times New Roman"/>
                <w:color w:val="auto"/>
                <w:highlight w:val="none"/>
                <w:lang w:val="en-US" w:eastAsia="zh-CN"/>
              </w:rPr>
              <w:t>3）废无尘纸：本项目过程检测使用无尘纸，无尘纸一卷重约</w:t>
            </w:r>
            <w:r>
              <w:rPr>
                <w:rFonts w:hint="eastAsia" w:cs="Times New Roman"/>
                <w:color w:val="auto"/>
                <w:highlight w:val="none"/>
                <w:lang w:val="en-US" w:eastAsia="zh-CN"/>
              </w:rPr>
              <w:t>500g</w:t>
            </w:r>
            <w:r>
              <w:rPr>
                <w:rFonts w:hint="eastAsia" w:cs="Times New Roman"/>
                <w:color w:val="auto"/>
                <w:highlight w:val="none"/>
                <w:lang w:val="en-US" w:eastAsia="zh-CN"/>
              </w:rPr>
              <w:t>，年使用60卷，则废无尘纸产生量约0.03t/a</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highlight w:val="none"/>
                <w:lang w:val="en-US" w:eastAsia="zh-CN"/>
              </w:rPr>
              <w:t>经查阅《国家危险废物名录》（2025版），</w:t>
            </w:r>
            <w:r>
              <w:rPr>
                <w:rFonts w:hint="eastAsia" w:cs="Times New Roman"/>
                <w:color w:val="auto"/>
                <w:highlight w:val="none"/>
                <w:lang w:val="en-US" w:eastAsia="zh-CN"/>
              </w:rPr>
              <w:t>废无尘纸</w:t>
            </w:r>
            <w:r>
              <w:rPr>
                <w:rFonts w:hint="eastAsia" w:ascii="Times New Roman" w:hAnsi="Times New Roman" w:eastAsia="宋体" w:cs="Times New Roman"/>
                <w:color w:val="auto"/>
                <w:highlight w:val="none"/>
                <w:lang w:val="en-US" w:eastAsia="zh-CN"/>
              </w:rPr>
              <w:t>属于危险废物（HW</w:t>
            </w:r>
            <w:r>
              <w:rPr>
                <w:rFonts w:hint="eastAsia" w:cs="Times New Roman"/>
                <w:color w:val="auto"/>
                <w:highlight w:val="none"/>
                <w:lang w:val="en-US" w:eastAsia="zh-CN"/>
              </w:rPr>
              <w:t>49</w:t>
            </w:r>
            <w:r>
              <w:rPr>
                <w:rFonts w:hint="eastAsia"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其他废物</w:t>
            </w:r>
            <w:r>
              <w:rPr>
                <w:rFonts w:hint="eastAsia" w:ascii="Times New Roman" w:hAnsi="Times New Roman" w:eastAsia="宋体" w:cs="Times New Roman"/>
                <w:color w:val="auto"/>
                <w:highlight w:val="none"/>
                <w:lang w:val="en-US" w:eastAsia="zh-CN"/>
              </w:rPr>
              <w:t>，废物代码</w:t>
            </w:r>
            <w:r>
              <w:rPr>
                <w:rFonts w:hint="eastAsia" w:cs="Times New Roman"/>
                <w:color w:val="auto"/>
                <w:highlight w:val="none"/>
                <w:lang w:val="en-US" w:eastAsia="zh-CN"/>
              </w:rPr>
              <w:t>900-041-49</w:t>
            </w:r>
            <w:r>
              <w:rPr>
                <w:rFonts w:hint="eastAsia" w:ascii="Times New Roman" w:hAnsi="Times New Roman" w:eastAsia="宋体" w:cs="Times New Roman"/>
                <w:color w:val="auto"/>
                <w:highlight w:val="none"/>
                <w:lang w:val="en-US" w:eastAsia="zh-CN"/>
              </w:rPr>
              <w:t>），在厂内危废暂存间暂存后委托有资质的单位定期</w:t>
            </w:r>
            <w:r>
              <w:rPr>
                <w:rFonts w:hint="eastAsia" w:cs="Times New Roman"/>
                <w:color w:val="auto"/>
                <w:highlight w:val="none"/>
                <w:lang w:val="en-US" w:eastAsia="zh-CN"/>
              </w:rPr>
              <w:t>外运</w:t>
            </w:r>
            <w:r>
              <w:rPr>
                <w:rFonts w:hint="eastAsia" w:ascii="Times New Roman" w:hAnsi="Times New Roman" w:eastAsia="宋体" w:cs="Times New Roman"/>
                <w:color w:val="auto"/>
                <w:highlight w:val="none"/>
                <w:lang w:val="en-US" w:eastAsia="zh-CN"/>
              </w:rPr>
              <w:t>处置</w:t>
            </w:r>
            <w:r>
              <w:rPr>
                <w:rFonts w:hint="eastAsia" w:cs="Times New Roman"/>
                <w:color w:val="auto"/>
                <w:highlight w:val="none"/>
                <w:lang w:val="en-US" w:eastAsia="zh-CN"/>
              </w:rPr>
              <w:t>。</w:t>
            </w:r>
          </w:p>
          <w:p w14:paraId="79D89FB1">
            <w:pPr>
              <w:pStyle w:val="38"/>
              <w:ind w:firstLine="420"/>
              <w:rPr>
                <w:rFonts w:hint="default" w:cs="Times New Roman"/>
                <w:color w:val="auto"/>
                <w:highlight w:val="none"/>
                <w:lang w:val="en-US" w:eastAsia="zh-CN"/>
              </w:rPr>
            </w:pPr>
            <w:r>
              <w:rPr>
                <w:rFonts w:hint="eastAsia" w:cs="Times New Roman"/>
                <w:color w:val="auto"/>
                <w:highlight w:val="none"/>
                <w:lang w:val="en-US" w:eastAsia="zh-CN"/>
              </w:rPr>
              <w:t>4）废包装桶：切削液的使用会产生废包装桶，根</w:t>
            </w:r>
            <w:r>
              <w:rPr>
                <w:rFonts w:hint="eastAsia" w:cs="Times New Roman"/>
                <w:color w:val="auto"/>
                <w:sz w:val="24"/>
                <w:szCs w:val="24"/>
                <w:highlight w:val="none"/>
                <w:lang w:val="en-US" w:eastAsia="zh-CN"/>
              </w:rPr>
              <w:t>据建设单位提供信息，单个切削液桶重约10kg，年使用切削液约15桶，</w:t>
            </w:r>
            <w:r>
              <w:rPr>
                <w:rFonts w:hint="eastAsia" w:cs="Times New Roman"/>
                <w:color w:val="auto"/>
                <w:highlight w:val="none"/>
                <w:lang w:val="en-US" w:eastAsia="zh-CN"/>
              </w:rPr>
              <w:t>则废包装桶为0.15t/a，</w:t>
            </w:r>
            <w:r>
              <w:rPr>
                <w:rFonts w:hint="eastAsia" w:ascii="Times New Roman" w:hAnsi="Times New Roman" w:eastAsia="宋体" w:cs="Times New Roman"/>
                <w:color w:val="auto"/>
                <w:highlight w:val="none"/>
                <w:lang w:val="en-US" w:eastAsia="zh-CN"/>
              </w:rPr>
              <w:t>经查阅《国家危险废物名录》（2025版），</w:t>
            </w:r>
            <w:r>
              <w:rPr>
                <w:rFonts w:hint="eastAsia" w:cs="Times New Roman"/>
                <w:color w:val="auto"/>
                <w:highlight w:val="none"/>
                <w:lang w:val="en-US" w:eastAsia="zh-CN"/>
              </w:rPr>
              <w:t>废包装桶</w:t>
            </w:r>
            <w:r>
              <w:rPr>
                <w:rFonts w:hint="eastAsia" w:ascii="Times New Roman" w:hAnsi="Times New Roman" w:eastAsia="宋体" w:cs="Times New Roman"/>
                <w:color w:val="auto"/>
                <w:highlight w:val="none"/>
                <w:lang w:val="en-US" w:eastAsia="zh-CN"/>
              </w:rPr>
              <w:t>属于危险废物（HW</w:t>
            </w:r>
            <w:r>
              <w:rPr>
                <w:rFonts w:hint="eastAsia" w:cs="Times New Roman"/>
                <w:color w:val="auto"/>
                <w:highlight w:val="none"/>
                <w:lang w:val="en-US" w:eastAsia="zh-CN"/>
              </w:rPr>
              <w:t>49</w:t>
            </w:r>
            <w:r>
              <w:rPr>
                <w:rFonts w:hint="eastAsia"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其他废物</w:t>
            </w:r>
            <w:r>
              <w:rPr>
                <w:rFonts w:hint="eastAsia" w:ascii="Times New Roman" w:hAnsi="Times New Roman" w:eastAsia="宋体" w:cs="Times New Roman"/>
                <w:color w:val="auto"/>
                <w:highlight w:val="none"/>
                <w:lang w:val="en-US" w:eastAsia="zh-CN"/>
              </w:rPr>
              <w:t>，废物代码</w:t>
            </w:r>
            <w:r>
              <w:rPr>
                <w:rFonts w:hint="eastAsia" w:cs="Times New Roman"/>
                <w:color w:val="auto"/>
                <w:highlight w:val="none"/>
                <w:lang w:val="en-US" w:eastAsia="zh-CN"/>
              </w:rPr>
              <w:t>900-041-49</w:t>
            </w:r>
            <w:r>
              <w:rPr>
                <w:rFonts w:hint="eastAsia" w:ascii="Times New Roman" w:hAnsi="Times New Roman" w:eastAsia="宋体" w:cs="Times New Roman"/>
                <w:color w:val="auto"/>
                <w:highlight w:val="none"/>
                <w:lang w:val="en-US" w:eastAsia="zh-CN"/>
              </w:rPr>
              <w:t>），在厂内危废暂存间暂存后委托有资质的单位定期</w:t>
            </w:r>
            <w:r>
              <w:rPr>
                <w:rFonts w:hint="eastAsia" w:cs="Times New Roman"/>
                <w:color w:val="auto"/>
                <w:highlight w:val="none"/>
                <w:lang w:val="en-US" w:eastAsia="zh-CN"/>
              </w:rPr>
              <w:t>外运</w:t>
            </w:r>
            <w:r>
              <w:rPr>
                <w:rFonts w:hint="eastAsia" w:ascii="Times New Roman" w:hAnsi="Times New Roman" w:eastAsia="宋体" w:cs="Times New Roman"/>
                <w:color w:val="auto"/>
                <w:highlight w:val="none"/>
                <w:lang w:val="en-US" w:eastAsia="zh-CN"/>
              </w:rPr>
              <w:t>处置</w:t>
            </w:r>
            <w:r>
              <w:rPr>
                <w:rFonts w:hint="eastAsia" w:cs="Times New Roman"/>
                <w:color w:val="auto"/>
                <w:highlight w:val="none"/>
                <w:lang w:val="en-US" w:eastAsia="zh-CN"/>
              </w:rPr>
              <w:t>。</w:t>
            </w:r>
          </w:p>
          <w:p w14:paraId="32287DBC">
            <w:pPr>
              <w:pStyle w:val="38"/>
              <w:ind w:firstLine="420"/>
              <w:rPr>
                <w:rFonts w:hint="eastAsia" w:cs="Times New Roman"/>
                <w:color w:val="auto"/>
                <w:highlight w:val="none"/>
                <w:lang w:val="en-US" w:eastAsia="zh-CN"/>
              </w:rPr>
            </w:pPr>
            <w:r>
              <w:rPr>
                <w:rFonts w:hint="eastAsia" w:cs="Times New Roman"/>
                <w:color w:val="auto"/>
                <w:highlight w:val="none"/>
                <w:lang w:val="en-US" w:eastAsia="zh-CN"/>
              </w:rPr>
              <w:t>5）废油桶：机器维修保养</w:t>
            </w:r>
            <w:r>
              <w:rPr>
                <w:rFonts w:hint="eastAsia" w:cs="Times New Roman"/>
                <w:color w:val="auto"/>
                <w:sz w:val="24"/>
                <w:szCs w:val="24"/>
                <w:highlight w:val="none"/>
                <w:lang w:val="en-US" w:eastAsia="zh-CN"/>
              </w:rPr>
              <w:t>需要使用液压油，根据建设单位提供信息，单个液压油桶重约1kg，企业年使用液压油11桶，产生量约为0.011t/a，</w:t>
            </w:r>
            <w:r>
              <w:rPr>
                <w:rFonts w:hint="eastAsia" w:ascii="Times New Roman" w:hAnsi="Times New Roman" w:eastAsia="宋体" w:cs="Times New Roman"/>
                <w:color w:val="auto"/>
                <w:highlight w:val="none"/>
                <w:lang w:val="en-US" w:eastAsia="zh-CN"/>
              </w:rPr>
              <w:t>经查阅《国家危险废物名录》（2025版），</w:t>
            </w:r>
            <w:r>
              <w:rPr>
                <w:rFonts w:hint="eastAsia" w:cs="Times New Roman"/>
                <w:color w:val="auto"/>
                <w:highlight w:val="none"/>
                <w:lang w:val="en-US" w:eastAsia="zh-CN"/>
              </w:rPr>
              <w:t>废油桶</w:t>
            </w:r>
            <w:r>
              <w:rPr>
                <w:rFonts w:hint="eastAsia" w:ascii="Times New Roman" w:hAnsi="Times New Roman" w:eastAsia="宋体" w:cs="Times New Roman"/>
                <w:color w:val="auto"/>
                <w:highlight w:val="none"/>
                <w:lang w:val="en-US" w:eastAsia="zh-CN"/>
              </w:rPr>
              <w:t>属于危险废物（HW</w:t>
            </w:r>
            <w:r>
              <w:rPr>
                <w:rFonts w:hint="eastAsia" w:cs="Times New Roman"/>
                <w:color w:val="auto"/>
                <w:highlight w:val="none"/>
                <w:lang w:val="en-US" w:eastAsia="zh-CN"/>
              </w:rPr>
              <w:t>08</w:t>
            </w:r>
            <w:r>
              <w:rPr>
                <w:rFonts w:hint="eastAsia" w:ascii="Times New Roman" w:hAnsi="Times New Roman" w:eastAsia="宋体" w:cs="Times New Roman"/>
                <w:color w:val="auto"/>
                <w:highlight w:val="none"/>
                <w:lang w:val="en-US" w:eastAsia="zh-CN"/>
              </w:rPr>
              <w:t xml:space="preserve"> </w:t>
            </w:r>
            <w:r>
              <w:rPr>
                <w:rFonts w:hint="eastAsia"/>
                <w:color w:val="auto"/>
                <w:highlight w:val="none"/>
              </w:rPr>
              <w:t>废矿物油与含矿物油废物</w:t>
            </w:r>
            <w:r>
              <w:rPr>
                <w:rFonts w:hint="eastAsia" w:ascii="Times New Roman" w:hAnsi="Times New Roman" w:eastAsia="宋体" w:cs="Times New Roman"/>
                <w:color w:val="auto"/>
                <w:highlight w:val="none"/>
                <w:lang w:val="en-US" w:eastAsia="zh-CN"/>
              </w:rPr>
              <w:t>，废物代码</w:t>
            </w:r>
            <w:r>
              <w:rPr>
                <w:rFonts w:hint="eastAsia" w:cs="Times New Roman"/>
                <w:color w:val="auto"/>
                <w:highlight w:val="none"/>
                <w:lang w:val="en-US" w:eastAsia="zh-CN"/>
              </w:rPr>
              <w:t>900-249-08</w:t>
            </w:r>
            <w:r>
              <w:rPr>
                <w:rFonts w:hint="eastAsia" w:ascii="Times New Roman" w:hAnsi="Times New Roman" w:eastAsia="宋体" w:cs="Times New Roman"/>
                <w:color w:val="auto"/>
                <w:highlight w:val="none"/>
                <w:lang w:val="en-US" w:eastAsia="zh-CN"/>
              </w:rPr>
              <w:t>），在厂内危废暂存间暂存后委托有资质的单位定期</w:t>
            </w:r>
            <w:r>
              <w:rPr>
                <w:rFonts w:hint="eastAsia" w:cs="Times New Roman"/>
                <w:color w:val="auto"/>
                <w:highlight w:val="none"/>
                <w:lang w:val="en-US" w:eastAsia="zh-CN"/>
              </w:rPr>
              <w:t>外运</w:t>
            </w:r>
            <w:r>
              <w:rPr>
                <w:rFonts w:hint="eastAsia" w:ascii="Times New Roman" w:hAnsi="Times New Roman" w:eastAsia="宋体" w:cs="Times New Roman"/>
                <w:color w:val="auto"/>
                <w:highlight w:val="none"/>
                <w:lang w:val="en-US" w:eastAsia="zh-CN"/>
              </w:rPr>
              <w:t>处置</w:t>
            </w:r>
            <w:r>
              <w:rPr>
                <w:rFonts w:hint="eastAsia" w:cs="Times New Roman"/>
                <w:color w:val="auto"/>
                <w:highlight w:val="none"/>
                <w:lang w:val="en-US" w:eastAsia="zh-CN"/>
              </w:rPr>
              <w:t>。</w:t>
            </w:r>
          </w:p>
          <w:p w14:paraId="36172BA6">
            <w:pPr>
              <w:pStyle w:val="38"/>
              <w:ind w:firstLine="420"/>
              <w:rPr>
                <w:rFonts w:hint="default" w:cs="Times New Roman"/>
                <w:color w:val="auto"/>
                <w:highlight w:val="none"/>
                <w:lang w:val="en-US" w:eastAsia="zh-CN"/>
              </w:rPr>
            </w:pPr>
            <w:r>
              <w:rPr>
                <w:rFonts w:hint="eastAsia" w:cs="Times New Roman"/>
                <w:color w:val="auto"/>
                <w:highlight w:val="none"/>
                <w:lang w:val="en-US" w:eastAsia="zh-CN"/>
              </w:rPr>
              <w:t>6）废液压油：机器维修保养需要使用液压油，年使用液压油约0.17t，更换的液压油按照80%计，则废液压油为0.136t/a，</w:t>
            </w:r>
            <w:r>
              <w:rPr>
                <w:rFonts w:hint="eastAsia" w:ascii="Times New Roman" w:hAnsi="Times New Roman" w:eastAsia="宋体" w:cs="Times New Roman"/>
                <w:color w:val="auto"/>
                <w:highlight w:val="none"/>
                <w:lang w:val="en-US" w:eastAsia="zh-CN"/>
              </w:rPr>
              <w:t>经查阅《国家危险废物名录》（2025版），</w:t>
            </w:r>
            <w:r>
              <w:rPr>
                <w:rFonts w:hint="eastAsia" w:cs="Times New Roman"/>
                <w:color w:val="auto"/>
                <w:highlight w:val="none"/>
                <w:lang w:val="en-US" w:eastAsia="zh-CN"/>
              </w:rPr>
              <w:t>废液压油</w:t>
            </w:r>
            <w:r>
              <w:rPr>
                <w:rFonts w:hint="eastAsia" w:ascii="Times New Roman" w:hAnsi="Times New Roman" w:eastAsia="宋体" w:cs="Times New Roman"/>
                <w:color w:val="auto"/>
                <w:highlight w:val="none"/>
                <w:lang w:val="en-US" w:eastAsia="zh-CN"/>
              </w:rPr>
              <w:t>属于危险废物（HW</w:t>
            </w:r>
            <w:r>
              <w:rPr>
                <w:rFonts w:hint="eastAsia" w:cs="Times New Roman"/>
                <w:color w:val="auto"/>
                <w:highlight w:val="none"/>
                <w:lang w:val="en-US" w:eastAsia="zh-CN"/>
              </w:rPr>
              <w:t>08</w:t>
            </w:r>
            <w:r>
              <w:rPr>
                <w:rFonts w:hint="eastAsia" w:ascii="Times New Roman" w:hAnsi="Times New Roman" w:eastAsia="宋体" w:cs="Times New Roman"/>
                <w:color w:val="auto"/>
                <w:highlight w:val="none"/>
                <w:lang w:val="en-US" w:eastAsia="zh-CN"/>
              </w:rPr>
              <w:t xml:space="preserve"> </w:t>
            </w:r>
            <w:r>
              <w:rPr>
                <w:rFonts w:hint="eastAsia"/>
                <w:color w:val="auto"/>
                <w:highlight w:val="none"/>
              </w:rPr>
              <w:t>废矿物油与含矿物油废物</w:t>
            </w:r>
            <w:r>
              <w:rPr>
                <w:rFonts w:hint="eastAsia" w:ascii="Times New Roman" w:hAnsi="Times New Roman" w:eastAsia="宋体" w:cs="Times New Roman"/>
                <w:color w:val="auto"/>
                <w:highlight w:val="none"/>
                <w:lang w:val="en-US" w:eastAsia="zh-CN"/>
              </w:rPr>
              <w:t>，废物代码</w:t>
            </w:r>
            <w:r>
              <w:rPr>
                <w:rFonts w:hint="eastAsia" w:cs="Times New Roman"/>
                <w:color w:val="auto"/>
                <w:highlight w:val="none"/>
                <w:lang w:val="en-US" w:eastAsia="zh-CN"/>
              </w:rPr>
              <w:t>900-218-08</w:t>
            </w:r>
            <w:r>
              <w:rPr>
                <w:rFonts w:hint="eastAsia" w:ascii="Times New Roman" w:hAnsi="Times New Roman" w:eastAsia="宋体" w:cs="Times New Roman"/>
                <w:color w:val="auto"/>
                <w:highlight w:val="none"/>
                <w:lang w:val="en-US" w:eastAsia="zh-CN"/>
              </w:rPr>
              <w:t>），在厂内危废暂存间暂存后委托有资质的单位定期</w:t>
            </w:r>
            <w:r>
              <w:rPr>
                <w:rFonts w:hint="eastAsia" w:cs="Times New Roman"/>
                <w:color w:val="auto"/>
                <w:highlight w:val="none"/>
                <w:lang w:val="en-US" w:eastAsia="zh-CN"/>
              </w:rPr>
              <w:t>外运</w:t>
            </w:r>
            <w:r>
              <w:rPr>
                <w:rFonts w:hint="eastAsia" w:ascii="Times New Roman" w:hAnsi="Times New Roman" w:eastAsia="宋体" w:cs="Times New Roman"/>
                <w:color w:val="auto"/>
                <w:highlight w:val="none"/>
                <w:lang w:val="en-US" w:eastAsia="zh-CN"/>
              </w:rPr>
              <w:t>处置</w:t>
            </w:r>
            <w:r>
              <w:rPr>
                <w:rFonts w:hint="eastAsia" w:cs="Times New Roman"/>
                <w:color w:val="auto"/>
                <w:highlight w:val="none"/>
                <w:lang w:val="en-US" w:eastAsia="zh-CN"/>
              </w:rPr>
              <w:t>。</w:t>
            </w:r>
          </w:p>
          <w:p w14:paraId="1AA260C8">
            <w:pPr>
              <w:pStyle w:val="38"/>
              <w:ind w:firstLine="420"/>
              <w:rPr>
                <w:rFonts w:hint="eastAsia" w:cs="Times New Roman"/>
                <w:color w:val="auto"/>
                <w:highlight w:val="none"/>
                <w:lang w:val="en-US" w:eastAsia="zh-CN"/>
              </w:rPr>
            </w:pPr>
            <w:r>
              <w:rPr>
                <w:rFonts w:hint="eastAsia" w:cs="Times New Roman"/>
                <w:color w:val="auto"/>
                <w:sz w:val="24"/>
                <w:szCs w:val="24"/>
                <w:highlight w:val="none"/>
                <w:lang w:val="en-US" w:eastAsia="zh-CN"/>
              </w:rPr>
              <w:t>7）</w:t>
            </w:r>
            <w:r>
              <w:rPr>
                <w:rFonts w:hint="eastAsia" w:cs="Times New Roman"/>
                <w:color w:val="auto"/>
                <w:highlight w:val="none"/>
                <w:lang w:val="en-US" w:eastAsia="zh-CN"/>
              </w:rPr>
              <w:t>废过滤网：机加工设备的切削液经过滤网后循环使用，过滤网一年更换一次，根据建设单位提供信息，</w:t>
            </w:r>
            <w:r>
              <w:rPr>
                <w:rFonts w:hint="eastAsia" w:cs="Times New Roman"/>
                <w:color w:val="auto"/>
                <w:sz w:val="24"/>
                <w:szCs w:val="24"/>
                <w:highlight w:val="none"/>
                <w:lang w:val="en-US" w:eastAsia="zh-CN"/>
              </w:rPr>
              <w:t>废过滤网的产生量约为1.5t/a，</w:t>
            </w:r>
            <w:r>
              <w:rPr>
                <w:rFonts w:hint="eastAsia" w:ascii="Times New Roman" w:hAnsi="Times New Roman" w:eastAsia="宋体" w:cs="Times New Roman"/>
                <w:color w:val="auto"/>
                <w:highlight w:val="none"/>
                <w:lang w:val="en-US" w:eastAsia="zh-CN"/>
              </w:rPr>
              <w:t>经查阅《国家危险废物名录》（2025版），</w:t>
            </w:r>
            <w:r>
              <w:rPr>
                <w:rFonts w:hint="eastAsia" w:cs="Times New Roman"/>
                <w:color w:val="auto"/>
                <w:highlight w:val="none"/>
                <w:lang w:val="en-US" w:eastAsia="zh-CN"/>
              </w:rPr>
              <w:t>废过滤网</w:t>
            </w:r>
            <w:r>
              <w:rPr>
                <w:rFonts w:hint="eastAsia" w:ascii="Times New Roman" w:hAnsi="Times New Roman" w:eastAsia="宋体" w:cs="Times New Roman"/>
                <w:color w:val="auto"/>
                <w:highlight w:val="none"/>
                <w:lang w:val="en-US" w:eastAsia="zh-CN"/>
              </w:rPr>
              <w:t>属于危险废物（HW</w:t>
            </w:r>
            <w:r>
              <w:rPr>
                <w:rFonts w:hint="eastAsia" w:cs="Times New Roman"/>
                <w:color w:val="auto"/>
                <w:highlight w:val="none"/>
                <w:lang w:val="en-US" w:eastAsia="zh-CN"/>
              </w:rPr>
              <w:t>49</w:t>
            </w:r>
            <w:r>
              <w:rPr>
                <w:rFonts w:hint="eastAsia"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其他废物</w:t>
            </w:r>
            <w:r>
              <w:rPr>
                <w:rFonts w:hint="eastAsia" w:ascii="Times New Roman" w:hAnsi="Times New Roman" w:eastAsia="宋体" w:cs="Times New Roman"/>
                <w:color w:val="auto"/>
                <w:highlight w:val="none"/>
                <w:lang w:val="en-US" w:eastAsia="zh-CN"/>
              </w:rPr>
              <w:t>，废物代码</w:t>
            </w:r>
            <w:r>
              <w:rPr>
                <w:rFonts w:hint="eastAsia" w:cs="Times New Roman"/>
                <w:color w:val="auto"/>
                <w:highlight w:val="none"/>
                <w:lang w:val="en-US" w:eastAsia="zh-CN"/>
              </w:rPr>
              <w:t>900-041-49</w:t>
            </w:r>
            <w:r>
              <w:rPr>
                <w:rFonts w:hint="eastAsia" w:ascii="Times New Roman" w:hAnsi="Times New Roman" w:eastAsia="宋体" w:cs="Times New Roman"/>
                <w:color w:val="auto"/>
                <w:highlight w:val="none"/>
                <w:lang w:val="en-US" w:eastAsia="zh-CN"/>
              </w:rPr>
              <w:t>），在厂内危废暂存间暂存后委托有资质的单位定期</w:t>
            </w:r>
            <w:r>
              <w:rPr>
                <w:rFonts w:hint="eastAsia" w:cs="Times New Roman"/>
                <w:color w:val="auto"/>
                <w:highlight w:val="none"/>
                <w:lang w:val="en-US" w:eastAsia="zh-CN"/>
              </w:rPr>
              <w:t>外运</w:t>
            </w:r>
            <w:r>
              <w:rPr>
                <w:rFonts w:hint="eastAsia" w:ascii="Times New Roman" w:hAnsi="Times New Roman" w:eastAsia="宋体" w:cs="Times New Roman"/>
                <w:color w:val="auto"/>
                <w:highlight w:val="none"/>
                <w:lang w:val="en-US" w:eastAsia="zh-CN"/>
              </w:rPr>
              <w:t>处置</w:t>
            </w:r>
            <w:r>
              <w:rPr>
                <w:rFonts w:hint="eastAsia" w:cs="Times New Roman"/>
                <w:color w:val="auto"/>
                <w:highlight w:val="none"/>
                <w:lang w:val="en-US" w:eastAsia="zh-CN"/>
              </w:rPr>
              <w:t>。</w:t>
            </w:r>
          </w:p>
          <w:p w14:paraId="254EBF97">
            <w:pPr>
              <w:spacing w:line="360" w:lineRule="auto"/>
              <w:ind w:firstLine="482"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lang w:val="en-US" w:eastAsia="zh-CN"/>
              </w:rPr>
              <w:t>3</w:t>
            </w:r>
            <w:r>
              <w:rPr>
                <w:rFonts w:hint="default"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rPr>
              <w:t>生活垃圾</w:t>
            </w:r>
          </w:p>
          <w:p w14:paraId="0215905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本项目员工</w:t>
            </w:r>
            <w:r>
              <w:rPr>
                <w:rFonts w:hint="eastAsia"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rPr>
              <w:t>人，年工作日以</w:t>
            </w:r>
            <w:r>
              <w:rPr>
                <w:rFonts w:hint="eastAsia"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天计，员工生活垃圾产生量按0.5kg/人·d计，则产生量为</w:t>
            </w:r>
            <w:r>
              <w:rPr>
                <w:rFonts w:hint="eastAsia" w:cs="Times New Roman"/>
                <w:color w:val="auto"/>
                <w:sz w:val="24"/>
                <w:szCs w:val="24"/>
                <w:highlight w:val="none"/>
                <w:lang w:val="en-US" w:eastAsia="zh-CN"/>
              </w:rPr>
              <w:t>3.75</w:t>
            </w:r>
            <w:r>
              <w:rPr>
                <w:rFonts w:hint="default" w:ascii="Times New Roman" w:hAnsi="Times New Roman" w:eastAsia="宋体" w:cs="Times New Roman"/>
                <w:color w:val="auto"/>
                <w:sz w:val="24"/>
                <w:szCs w:val="24"/>
                <w:highlight w:val="none"/>
              </w:rPr>
              <w:t>t/a。</w:t>
            </w:r>
          </w:p>
          <w:p w14:paraId="1154411B">
            <w:pPr>
              <w:adjustRightInd w:val="0"/>
              <w:snapToGrid w:val="0"/>
              <w:spacing w:line="360" w:lineRule="auto"/>
              <w:jc w:val="left"/>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4.2  固体废物产生情况汇总</w:t>
            </w:r>
          </w:p>
          <w:p w14:paraId="2397785E">
            <w:pPr>
              <w:pStyle w:val="38"/>
              <w:ind w:firstLine="420"/>
              <w:rPr>
                <w:snapToGrid w:val="0"/>
                <w:color w:val="auto"/>
                <w:sz w:val="24"/>
                <w:highlight w:val="none"/>
              </w:rPr>
            </w:pPr>
            <w:r>
              <w:rPr>
                <w:rFonts w:hint="eastAsia"/>
                <w:snapToGrid w:val="0"/>
                <w:color w:val="auto"/>
                <w:sz w:val="24"/>
                <w:highlight w:val="none"/>
              </w:rPr>
              <w:t>根据《固体废物分类与代码目录</w:t>
            </w:r>
            <w:r>
              <w:rPr>
                <w:rFonts w:hint="eastAsia"/>
                <w:snapToGrid w:val="0"/>
                <w:color w:val="auto"/>
                <w:sz w:val="24"/>
                <w:highlight w:val="none"/>
                <w:lang w:eastAsia="zh-CN"/>
              </w:rPr>
              <w:t>》《</w:t>
            </w:r>
            <w:r>
              <w:rPr>
                <w:rFonts w:hint="eastAsia"/>
                <w:snapToGrid w:val="0"/>
                <w:color w:val="auto"/>
                <w:sz w:val="24"/>
                <w:highlight w:val="none"/>
              </w:rPr>
              <w:t>国家危险废物名录》（202</w:t>
            </w:r>
            <w:r>
              <w:rPr>
                <w:rFonts w:hint="eastAsia"/>
                <w:snapToGrid w:val="0"/>
                <w:color w:val="auto"/>
                <w:sz w:val="24"/>
                <w:highlight w:val="none"/>
                <w:lang w:val="en-US" w:eastAsia="zh-CN"/>
              </w:rPr>
              <w:t>5</w:t>
            </w:r>
            <w:r>
              <w:rPr>
                <w:rFonts w:hint="eastAsia"/>
                <w:snapToGrid w:val="0"/>
                <w:color w:val="auto"/>
                <w:sz w:val="24"/>
                <w:highlight w:val="none"/>
              </w:rPr>
              <w:t>版）、《危险废物鉴别标准通则》</w:t>
            </w:r>
            <w:r>
              <w:rPr>
                <w:rFonts w:hint="eastAsia"/>
                <w:snapToGrid w:val="0"/>
                <w:color w:val="auto"/>
                <w:sz w:val="24"/>
                <w:highlight w:val="none"/>
                <w:lang w:eastAsia="zh-CN"/>
              </w:rPr>
              <w:t>（</w:t>
            </w:r>
            <w:r>
              <w:rPr>
                <w:rFonts w:hint="eastAsia"/>
                <w:snapToGrid w:val="0"/>
                <w:color w:val="auto"/>
                <w:sz w:val="24"/>
                <w:highlight w:val="none"/>
              </w:rPr>
              <w:t>GB5085.7-2019</w:t>
            </w:r>
            <w:r>
              <w:rPr>
                <w:rFonts w:hint="eastAsia"/>
                <w:snapToGrid w:val="0"/>
                <w:color w:val="auto"/>
                <w:sz w:val="24"/>
                <w:highlight w:val="none"/>
                <w:lang w:eastAsia="zh-CN"/>
              </w:rPr>
              <w:t>）</w:t>
            </w:r>
            <w:r>
              <w:rPr>
                <w:rFonts w:hint="eastAsia"/>
                <w:snapToGrid w:val="0"/>
                <w:color w:val="auto"/>
                <w:sz w:val="24"/>
                <w:highlight w:val="none"/>
              </w:rPr>
              <w:t>、</w:t>
            </w:r>
            <w:r>
              <w:rPr>
                <w:rFonts w:hint="eastAsia"/>
                <w:color w:val="auto"/>
                <w:kern w:val="2"/>
                <w:sz w:val="24"/>
                <w:szCs w:val="24"/>
                <w:highlight w:val="none"/>
                <w:lang w:val="en-US" w:eastAsia="zh-CN"/>
              </w:rPr>
              <w:t>《固体废物分类与代码目录》（公告2024年第4号）</w:t>
            </w:r>
            <w:r>
              <w:rPr>
                <w:snapToGrid w:val="0"/>
                <w:color w:val="auto"/>
                <w:sz w:val="24"/>
                <w:highlight w:val="none"/>
              </w:rPr>
              <w:t>，本项目工业固体废物类别判定</w:t>
            </w:r>
            <w:r>
              <w:rPr>
                <w:rFonts w:hint="eastAsia"/>
                <w:snapToGrid w:val="0"/>
                <w:color w:val="auto"/>
                <w:sz w:val="24"/>
                <w:highlight w:val="none"/>
                <w:lang w:val="en-US" w:eastAsia="zh-CN"/>
              </w:rPr>
              <w:t>见</w:t>
            </w:r>
            <w:r>
              <w:rPr>
                <w:snapToGrid w:val="0"/>
                <w:color w:val="auto"/>
                <w:sz w:val="24"/>
                <w:highlight w:val="none"/>
              </w:rPr>
              <w:t>下表。</w:t>
            </w:r>
          </w:p>
          <w:p w14:paraId="5B2969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cs="Times New Roman"/>
                <w:b/>
                <w:bCs/>
                <w:color w:val="auto"/>
                <w:sz w:val="24"/>
                <w:szCs w:val="24"/>
                <w:highlight w:val="none"/>
              </w:rPr>
            </w:pPr>
            <w:r>
              <w:rPr>
                <w:rFonts w:cs="Times New Roman"/>
                <w:b/>
                <w:bCs/>
                <w:color w:val="auto"/>
                <w:sz w:val="24"/>
                <w:szCs w:val="24"/>
                <w:highlight w:val="none"/>
              </w:rPr>
              <w:t>表4-</w:t>
            </w:r>
            <w:r>
              <w:rPr>
                <w:rFonts w:hint="eastAsia" w:cs="Times New Roman"/>
                <w:b/>
                <w:bCs/>
                <w:color w:val="auto"/>
                <w:sz w:val="24"/>
                <w:szCs w:val="24"/>
                <w:highlight w:val="none"/>
                <w:lang w:val="en-US" w:eastAsia="zh-CN"/>
              </w:rPr>
              <w:t>20</w:t>
            </w:r>
            <w:r>
              <w:rPr>
                <w:rFonts w:cs="Times New Roman"/>
                <w:b/>
                <w:bCs/>
                <w:color w:val="auto"/>
                <w:sz w:val="24"/>
                <w:szCs w:val="24"/>
                <w:highlight w:val="none"/>
              </w:rPr>
              <w:t xml:space="preserve">  固体废物分析结果汇总表</w:t>
            </w:r>
          </w:p>
          <w:tbl>
            <w:tblPr>
              <w:tblStyle w:val="22"/>
              <w:tblW w:w="4996"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426"/>
              <w:gridCol w:w="798"/>
              <w:gridCol w:w="426"/>
              <w:gridCol w:w="987"/>
              <w:gridCol w:w="426"/>
              <w:gridCol w:w="1117"/>
              <w:gridCol w:w="700"/>
              <w:gridCol w:w="867"/>
              <w:gridCol w:w="1248"/>
              <w:gridCol w:w="942"/>
            </w:tblGrid>
            <w:tr w14:paraId="63B00FE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68" w:type="pct"/>
                  <w:tcBorders>
                    <w:tl2br w:val="nil"/>
                    <w:tr2bl w:val="nil"/>
                  </w:tcBorders>
                  <w:noWrap w:val="0"/>
                  <w:vAlign w:val="center"/>
                </w:tcPr>
                <w:p w14:paraId="068C29EF">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序号</w:t>
                  </w:r>
                </w:p>
              </w:tc>
              <w:tc>
                <w:tcPr>
                  <w:tcW w:w="502" w:type="pct"/>
                  <w:tcBorders>
                    <w:tl2br w:val="nil"/>
                    <w:tr2bl w:val="nil"/>
                  </w:tcBorders>
                  <w:noWrap w:val="0"/>
                  <w:vAlign w:val="center"/>
                </w:tcPr>
                <w:p w14:paraId="1B4DDE2A">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固废</w:t>
                  </w:r>
                </w:p>
                <w:p w14:paraId="42F6F1CB">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名称</w:t>
                  </w:r>
                </w:p>
              </w:tc>
              <w:tc>
                <w:tcPr>
                  <w:tcW w:w="268" w:type="pct"/>
                  <w:tcBorders>
                    <w:tl2br w:val="nil"/>
                    <w:tr2bl w:val="nil"/>
                  </w:tcBorders>
                  <w:noWrap w:val="0"/>
                  <w:vAlign w:val="center"/>
                </w:tcPr>
                <w:p w14:paraId="1EDF8031">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属性</w:t>
                  </w:r>
                </w:p>
              </w:tc>
              <w:tc>
                <w:tcPr>
                  <w:tcW w:w="621" w:type="pct"/>
                  <w:tcBorders>
                    <w:tl2br w:val="nil"/>
                    <w:tr2bl w:val="nil"/>
                  </w:tcBorders>
                  <w:noWrap w:val="0"/>
                  <w:vAlign w:val="center"/>
                </w:tcPr>
                <w:p w14:paraId="6A243C38">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产生工序</w:t>
                  </w:r>
                </w:p>
              </w:tc>
              <w:tc>
                <w:tcPr>
                  <w:tcW w:w="268" w:type="pct"/>
                  <w:tcBorders>
                    <w:tl2br w:val="nil"/>
                    <w:tr2bl w:val="nil"/>
                  </w:tcBorders>
                  <w:noWrap w:val="0"/>
                  <w:vAlign w:val="center"/>
                </w:tcPr>
                <w:p w14:paraId="3555795F">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形态</w:t>
                  </w:r>
                </w:p>
              </w:tc>
              <w:tc>
                <w:tcPr>
                  <w:tcW w:w="703" w:type="pct"/>
                  <w:tcBorders>
                    <w:tl2br w:val="nil"/>
                    <w:tr2bl w:val="nil"/>
                  </w:tcBorders>
                  <w:noWrap w:val="0"/>
                  <w:vAlign w:val="center"/>
                </w:tcPr>
                <w:p w14:paraId="6587A295">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主要</w:t>
                  </w:r>
                </w:p>
                <w:p w14:paraId="4BC1CE5C">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成分</w:t>
                  </w:r>
                </w:p>
              </w:tc>
              <w:tc>
                <w:tcPr>
                  <w:tcW w:w="440" w:type="pct"/>
                  <w:tcBorders>
                    <w:tl2br w:val="nil"/>
                    <w:tr2bl w:val="nil"/>
                  </w:tcBorders>
                  <w:noWrap w:val="0"/>
                  <w:vAlign w:val="center"/>
                </w:tcPr>
                <w:p w14:paraId="5644FCB4">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危险特性</w:t>
                  </w:r>
                </w:p>
              </w:tc>
              <w:tc>
                <w:tcPr>
                  <w:tcW w:w="546" w:type="pct"/>
                  <w:tcBorders>
                    <w:tl2br w:val="nil"/>
                    <w:tr2bl w:val="nil"/>
                  </w:tcBorders>
                  <w:noWrap w:val="0"/>
                  <w:vAlign w:val="center"/>
                </w:tcPr>
                <w:p w14:paraId="2583E17F">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废物</w:t>
                  </w:r>
                </w:p>
                <w:p w14:paraId="294ABBCA">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类别</w:t>
                  </w:r>
                </w:p>
              </w:tc>
              <w:tc>
                <w:tcPr>
                  <w:tcW w:w="786" w:type="pct"/>
                  <w:tcBorders>
                    <w:tl2br w:val="nil"/>
                    <w:tr2bl w:val="nil"/>
                  </w:tcBorders>
                  <w:noWrap w:val="0"/>
                  <w:vAlign w:val="center"/>
                </w:tcPr>
                <w:p w14:paraId="78A1E6D3">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废物代码</w:t>
                  </w:r>
                </w:p>
              </w:tc>
              <w:tc>
                <w:tcPr>
                  <w:tcW w:w="593" w:type="pct"/>
                  <w:tcBorders>
                    <w:tl2br w:val="nil"/>
                    <w:tr2bl w:val="nil"/>
                  </w:tcBorders>
                  <w:noWrap w:val="0"/>
                  <w:vAlign w:val="center"/>
                </w:tcPr>
                <w:p w14:paraId="246ABC62">
                  <w:pPr>
                    <w:jc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估算产生量t/a</w:t>
                  </w:r>
                </w:p>
              </w:tc>
            </w:tr>
            <w:tr w14:paraId="08C5C9F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68" w:type="pct"/>
                  <w:tcBorders>
                    <w:tl2br w:val="nil"/>
                    <w:tr2bl w:val="nil"/>
                  </w:tcBorders>
                  <w:noWrap w:val="0"/>
                  <w:vAlign w:val="center"/>
                </w:tcPr>
                <w:p w14:paraId="4066E478">
                  <w:pPr>
                    <w:spacing w:line="24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w:t>
                  </w:r>
                </w:p>
              </w:tc>
              <w:tc>
                <w:tcPr>
                  <w:tcW w:w="502" w:type="pct"/>
                  <w:tcBorders>
                    <w:tl2br w:val="nil"/>
                    <w:tr2bl w:val="nil"/>
                  </w:tcBorders>
                  <w:noWrap w:val="0"/>
                  <w:vAlign w:val="center"/>
                </w:tcPr>
                <w:p w14:paraId="7DAB38ED">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不合格品</w:t>
                  </w:r>
                </w:p>
              </w:tc>
              <w:tc>
                <w:tcPr>
                  <w:tcW w:w="268" w:type="pct"/>
                  <w:vMerge w:val="restart"/>
                  <w:tcBorders>
                    <w:tl2br w:val="nil"/>
                    <w:tr2bl w:val="nil"/>
                  </w:tcBorders>
                  <w:noWrap w:val="0"/>
                  <w:vAlign w:val="center"/>
                </w:tcPr>
                <w:p w14:paraId="761987FF">
                  <w:pPr>
                    <w:spacing w:line="24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621" w:type="pct"/>
                  <w:tcBorders>
                    <w:tl2br w:val="nil"/>
                    <w:tr2bl w:val="nil"/>
                  </w:tcBorders>
                  <w:shd w:val="clear" w:color="auto" w:fill="auto"/>
                  <w:noWrap w:val="0"/>
                  <w:vAlign w:val="center"/>
                </w:tcPr>
                <w:p w14:paraId="4A085A07">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来料检验、过程检测</w:t>
                  </w:r>
                </w:p>
              </w:tc>
              <w:tc>
                <w:tcPr>
                  <w:tcW w:w="268" w:type="pct"/>
                  <w:tcBorders>
                    <w:tl2br w:val="nil"/>
                    <w:tr2bl w:val="nil"/>
                  </w:tcBorders>
                  <w:shd w:val="clear" w:color="auto" w:fill="auto"/>
                  <w:noWrap w:val="0"/>
                  <w:vAlign w:val="center"/>
                </w:tcPr>
                <w:p w14:paraId="2F586770">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固态</w:t>
                  </w:r>
                </w:p>
              </w:tc>
              <w:tc>
                <w:tcPr>
                  <w:tcW w:w="703" w:type="pct"/>
                  <w:tcBorders>
                    <w:tl2br w:val="nil"/>
                    <w:tr2bl w:val="nil"/>
                  </w:tcBorders>
                  <w:shd w:val="clear" w:color="auto" w:fill="auto"/>
                  <w:noWrap w:val="0"/>
                  <w:vAlign w:val="center"/>
                </w:tcPr>
                <w:p w14:paraId="7B71E413">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铝</w:t>
                  </w:r>
                </w:p>
              </w:tc>
              <w:tc>
                <w:tcPr>
                  <w:tcW w:w="440" w:type="pct"/>
                  <w:vMerge w:val="restart"/>
                  <w:tcBorders>
                    <w:tl2br w:val="nil"/>
                    <w:tr2bl w:val="nil"/>
                  </w:tcBorders>
                  <w:noWrap w:val="0"/>
                  <w:vAlign w:val="center"/>
                </w:tcPr>
                <w:p w14:paraId="52102F3C">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w:t>
                  </w:r>
                </w:p>
              </w:tc>
              <w:tc>
                <w:tcPr>
                  <w:tcW w:w="546" w:type="pct"/>
                  <w:tcBorders>
                    <w:tl2br w:val="nil"/>
                    <w:tr2bl w:val="nil"/>
                  </w:tcBorders>
                  <w:noWrap w:val="0"/>
                  <w:vAlign w:val="center"/>
                </w:tcPr>
                <w:p w14:paraId="4AECFFCB">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SW17</w:t>
                  </w:r>
                </w:p>
              </w:tc>
              <w:tc>
                <w:tcPr>
                  <w:tcW w:w="786" w:type="pct"/>
                  <w:tcBorders>
                    <w:tl2br w:val="nil"/>
                    <w:tr2bl w:val="nil"/>
                  </w:tcBorders>
                  <w:noWrap w:val="0"/>
                  <w:vAlign w:val="center"/>
                </w:tcPr>
                <w:p w14:paraId="428A23C3">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900-00</w:t>
                  </w:r>
                  <w:r>
                    <w:rPr>
                      <w:rFonts w:hint="eastAsia"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lang w:val="en-US" w:eastAsia="zh-CN"/>
                    </w:rPr>
                    <w:t>-S17</w:t>
                  </w:r>
                </w:p>
              </w:tc>
              <w:tc>
                <w:tcPr>
                  <w:tcW w:w="593" w:type="pct"/>
                  <w:tcBorders>
                    <w:tl2br w:val="nil"/>
                    <w:tr2bl w:val="nil"/>
                  </w:tcBorders>
                  <w:shd w:val="clear" w:color="auto" w:fill="auto"/>
                  <w:noWrap w:val="0"/>
                  <w:vAlign w:val="center"/>
                </w:tcPr>
                <w:p w14:paraId="1CB6EA30">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4.8</w:t>
                  </w:r>
                </w:p>
              </w:tc>
            </w:tr>
            <w:tr w14:paraId="641F07B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68" w:type="pct"/>
                  <w:tcBorders>
                    <w:tl2br w:val="nil"/>
                    <w:tr2bl w:val="nil"/>
                  </w:tcBorders>
                  <w:noWrap w:val="0"/>
                  <w:vAlign w:val="center"/>
                </w:tcPr>
                <w:p w14:paraId="28E76008">
                  <w:pPr>
                    <w:spacing w:line="240" w:lineRule="exact"/>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2</w:t>
                  </w:r>
                </w:p>
              </w:tc>
              <w:tc>
                <w:tcPr>
                  <w:tcW w:w="502" w:type="pct"/>
                  <w:tcBorders>
                    <w:tl2br w:val="nil"/>
                    <w:tr2bl w:val="nil"/>
                  </w:tcBorders>
                  <w:noWrap w:val="0"/>
                  <w:vAlign w:val="center"/>
                </w:tcPr>
                <w:p w14:paraId="6F36634D">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废渣</w:t>
                  </w:r>
                </w:p>
              </w:tc>
              <w:tc>
                <w:tcPr>
                  <w:tcW w:w="268" w:type="pct"/>
                  <w:vMerge w:val="continue"/>
                  <w:tcBorders>
                    <w:tl2br w:val="nil"/>
                    <w:tr2bl w:val="nil"/>
                  </w:tcBorders>
                  <w:noWrap w:val="0"/>
                  <w:vAlign w:val="center"/>
                </w:tcPr>
                <w:p w14:paraId="5C22D59F">
                  <w:pPr>
                    <w:spacing w:line="240" w:lineRule="exact"/>
                    <w:jc w:val="center"/>
                    <w:rPr>
                      <w:rFonts w:hint="default" w:ascii="Times New Roman" w:hAnsi="Times New Roman" w:eastAsia="仿宋" w:cs="Times New Roman"/>
                      <w:color w:val="auto"/>
                      <w:sz w:val="21"/>
                      <w:szCs w:val="21"/>
                      <w:highlight w:val="none"/>
                      <w:lang w:val="en-US" w:eastAsia="zh-CN"/>
                    </w:rPr>
                  </w:pPr>
                </w:p>
              </w:tc>
              <w:tc>
                <w:tcPr>
                  <w:tcW w:w="621" w:type="pct"/>
                  <w:tcBorders>
                    <w:tl2br w:val="nil"/>
                    <w:tr2bl w:val="nil"/>
                  </w:tcBorders>
                  <w:shd w:val="clear" w:color="auto" w:fill="auto"/>
                  <w:noWrap w:val="0"/>
                  <w:vAlign w:val="center"/>
                </w:tcPr>
                <w:p w14:paraId="4DAFE575">
                  <w:pPr>
                    <w:pStyle w:val="39"/>
                    <w:adjustRightInd w:val="0"/>
                    <w:snapToGrid w:val="0"/>
                    <w:jc w:val="center"/>
                    <w:rPr>
                      <w:rFonts w:hint="eastAsia"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 w:val="21"/>
                      <w:szCs w:val="21"/>
                      <w:highlight w:val="none"/>
                      <w:lang w:val="en-US" w:eastAsia="zh-CN"/>
                    </w:rPr>
                    <w:t>湿式去毛刺</w:t>
                  </w:r>
                </w:p>
              </w:tc>
              <w:tc>
                <w:tcPr>
                  <w:tcW w:w="268" w:type="pct"/>
                  <w:tcBorders>
                    <w:tl2br w:val="nil"/>
                    <w:tr2bl w:val="nil"/>
                  </w:tcBorders>
                  <w:shd w:val="clear" w:color="auto" w:fill="auto"/>
                  <w:noWrap w:val="0"/>
                  <w:vAlign w:val="center"/>
                </w:tcPr>
                <w:p w14:paraId="1A5D0806">
                  <w:pPr>
                    <w:spacing w:line="240" w:lineRule="auto"/>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固态</w:t>
                  </w:r>
                </w:p>
              </w:tc>
              <w:tc>
                <w:tcPr>
                  <w:tcW w:w="703" w:type="pct"/>
                  <w:tcBorders>
                    <w:tl2br w:val="nil"/>
                    <w:tr2bl w:val="nil"/>
                  </w:tcBorders>
                  <w:shd w:val="clear" w:color="auto" w:fill="auto"/>
                  <w:noWrap w:val="0"/>
                  <w:vAlign w:val="center"/>
                </w:tcPr>
                <w:p w14:paraId="5338541E">
                  <w:pPr>
                    <w:pStyle w:val="39"/>
                    <w:adjustRightInd w:val="0"/>
                    <w:snapToGrid w:val="0"/>
                    <w:jc w:val="center"/>
                    <w:rPr>
                      <w:rFonts w:hint="eastAsia"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 w:val="21"/>
                      <w:szCs w:val="21"/>
                      <w:highlight w:val="none"/>
                      <w:lang w:val="en-US" w:eastAsia="zh-CN"/>
                    </w:rPr>
                    <w:t>铝、水</w:t>
                  </w:r>
                </w:p>
              </w:tc>
              <w:tc>
                <w:tcPr>
                  <w:tcW w:w="440" w:type="pct"/>
                  <w:vMerge w:val="continue"/>
                  <w:tcBorders>
                    <w:tl2br w:val="nil"/>
                    <w:tr2bl w:val="nil"/>
                  </w:tcBorders>
                  <w:noWrap w:val="0"/>
                  <w:vAlign w:val="center"/>
                </w:tcPr>
                <w:p w14:paraId="4D424329">
                  <w:pPr>
                    <w:jc w:val="center"/>
                    <w:rPr>
                      <w:rFonts w:hint="default" w:ascii="Times New Roman" w:hAnsi="Times New Roman" w:eastAsia="仿宋" w:cs="Times New Roman"/>
                      <w:color w:val="auto"/>
                      <w:sz w:val="21"/>
                      <w:szCs w:val="21"/>
                      <w:highlight w:val="none"/>
                      <w:lang w:val="en-US" w:eastAsia="zh-CN"/>
                    </w:rPr>
                  </w:pPr>
                </w:p>
              </w:tc>
              <w:tc>
                <w:tcPr>
                  <w:tcW w:w="546" w:type="pct"/>
                  <w:tcBorders>
                    <w:tl2br w:val="nil"/>
                    <w:tr2bl w:val="nil"/>
                  </w:tcBorders>
                  <w:noWrap w:val="0"/>
                  <w:vAlign w:val="center"/>
                </w:tcPr>
                <w:p w14:paraId="638D20D7">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SW17</w:t>
                  </w:r>
                </w:p>
              </w:tc>
              <w:tc>
                <w:tcPr>
                  <w:tcW w:w="786" w:type="pct"/>
                  <w:tcBorders>
                    <w:tl2br w:val="nil"/>
                    <w:tr2bl w:val="nil"/>
                  </w:tcBorders>
                  <w:noWrap w:val="0"/>
                  <w:vAlign w:val="center"/>
                </w:tcPr>
                <w:p w14:paraId="61674E0C">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900-00</w:t>
                  </w:r>
                  <w:r>
                    <w:rPr>
                      <w:rFonts w:hint="eastAsia"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lang w:val="en-US" w:eastAsia="zh-CN"/>
                    </w:rPr>
                    <w:t>-S17</w:t>
                  </w:r>
                </w:p>
              </w:tc>
              <w:tc>
                <w:tcPr>
                  <w:tcW w:w="593" w:type="pct"/>
                  <w:tcBorders>
                    <w:tl2br w:val="nil"/>
                    <w:tr2bl w:val="nil"/>
                  </w:tcBorders>
                  <w:shd w:val="clear" w:color="auto" w:fill="auto"/>
                  <w:noWrap w:val="0"/>
                  <w:vAlign w:val="center"/>
                </w:tcPr>
                <w:p w14:paraId="7AED6214">
                  <w:pPr>
                    <w:spacing w:line="240" w:lineRule="exact"/>
                    <w:jc w:val="center"/>
                    <w:rPr>
                      <w:rFonts w:hint="default"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0.34</w:t>
                  </w:r>
                </w:p>
              </w:tc>
            </w:tr>
            <w:tr w14:paraId="28D22B5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68" w:type="pct"/>
                  <w:vMerge w:val="restart"/>
                  <w:tcBorders>
                    <w:tl2br w:val="nil"/>
                    <w:tr2bl w:val="nil"/>
                  </w:tcBorders>
                  <w:noWrap w:val="0"/>
                  <w:vAlign w:val="center"/>
                </w:tcPr>
                <w:p w14:paraId="02BAB38A">
                  <w:pPr>
                    <w:spacing w:line="240" w:lineRule="exact"/>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3</w:t>
                  </w:r>
                </w:p>
              </w:tc>
              <w:tc>
                <w:tcPr>
                  <w:tcW w:w="502" w:type="pct"/>
                  <w:vMerge w:val="restart"/>
                  <w:tcBorders>
                    <w:tl2br w:val="nil"/>
                    <w:tr2bl w:val="nil"/>
                  </w:tcBorders>
                  <w:shd w:val="clear" w:color="auto" w:fill="auto"/>
                  <w:noWrap w:val="0"/>
                  <w:vAlign w:val="center"/>
                </w:tcPr>
                <w:p w14:paraId="2A004935">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废包装材料</w:t>
                  </w:r>
                </w:p>
              </w:tc>
              <w:tc>
                <w:tcPr>
                  <w:tcW w:w="268" w:type="pct"/>
                  <w:vMerge w:val="continue"/>
                  <w:tcBorders>
                    <w:tl2br w:val="nil"/>
                    <w:tr2bl w:val="nil"/>
                  </w:tcBorders>
                  <w:noWrap w:val="0"/>
                  <w:vAlign w:val="center"/>
                </w:tcPr>
                <w:p w14:paraId="72701C49">
                  <w:pPr>
                    <w:spacing w:line="240" w:lineRule="exact"/>
                    <w:jc w:val="center"/>
                    <w:rPr>
                      <w:rFonts w:hint="default" w:ascii="Times New Roman" w:hAnsi="Times New Roman" w:eastAsia="仿宋" w:cs="Times New Roman"/>
                      <w:color w:val="auto"/>
                      <w:sz w:val="21"/>
                      <w:szCs w:val="21"/>
                      <w:highlight w:val="none"/>
                    </w:rPr>
                  </w:pPr>
                </w:p>
              </w:tc>
              <w:tc>
                <w:tcPr>
                  <w:tcW w:w="621" w:type="pct"/>
                  <w:vMerge w:val="restart"/>
                  <w:tcBorders>
                    <w:tl2br w:val="nil"/>
                    <w:tr2bl w:val="nil"/>
                  </w:tcBorders>
                  <w:shd w:val="clear" w:color="auto" w:fill="auto"/>
                  <w:noWrap w:val="0"/>
                  <w:vAlign w:val="center"/>
                </w:tcPr>
                <w:p w14:paraId="64773293">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拆包、装包</w:t>
                  </w:r>
                </w:p>
              </w:tc>
              <w:tc>
                <w:tcPr>
                  <w:tcW w:w="268" w:type="pct"/>
                  <w:vMerge w:val="restart"/>
                  <w:tcBorders>
                    <w:tl2br w:val="nil"/>
                    <w:tr2bl w:val="nil"/>
                  </w:tcBorders>
                  <w:shd w:val="clear" w:color="auto" w:fill="auto"/>
                  <w:noWrap w:val="0"/>
                  <w:vAlign w:val="center"/>
                </w:tcPr>
                <w:p w14:paraId="58E0CAD9">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固态</w:t>
                  </w:r>
                </w:p>
              </w:tc>
              <w:tc>
                <w:tcPr>
                  <w:tcW w:w="703" w:type="pct"/>
                  <w:vMerge w:val="restart"/>
                  <w:tcBorders>
                    <w:tl2br w:val="nil"/>
                    <w:tr2bl w:val="nil"/>
                  </w:tcBorders>
                  <w:shd w:val="clear" w:color="auto" w:fill="auto"/>
                  <w:noWrap w:val="0"/>
                  <w:vAlign w:val="center"/>
                </w:tcPr>
                <w:p w14:paraId="138FDA4A">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塑料、纸箱</w:t>
                  </w:r>
                </w:p>
              </w:tc>
              <w:tc>
                <w:tcPr>
                  <w:tcW w:w="440" w:type="pct"/>
                  <w:vMerge w:val="continue"/>
                  <w:tcBorders>
                    <w:tl2br w:val="nil"/>
                    <w:tr2bl w:val="nil"/>
                  </w:tcBorders>
                  <w:noWrap w:val="0"/>
                  <w:vAlign w:val="center"/>
                </w:tcPr>
                <w:p w14:paraId="0630D139">
                  <w:pPr>
                    <w:jc w:val="center"/>
                    <w:rPr>
                      <w:rFonts w:hint="default" w:ascii="Times New Roman" w:hAnsi="Times New Roman" w:eastAsia="仿宋" w:cs="Times New Roman"/>
                      <w:color w:val="auto"/>
                      <w:sz w:val="21"/>
                      <w:szCs w:val="21"/>
                      <w:highlight w:val="none"/>
                      <w:lang w:val="en-US" w:eastAsia="zh-CN"/>
                    </w:rPr>
                  </w:pPr>
                </w:p>
              </w:tc>
              <w:tc>
                <w:tcPr>
                  <w:tcW w:w="546" w:type="pct"/>
                  <w:vMerge w:val="restart"/>
                  <w:tcBorders>
                    <w:tl2br w:val="nil"/>
                    <w:tr2bl w:val="nil"/>
                  </w:tcBorders>
                  <w:shd w:val="clear" w:color="auto" w:fill="auto"/>
                  <w:noWrap w:val="0"/>
                  <w:vAlign w:val="center"/>
                </w:tcPr>
                <w:p w14:paraId="79DB4F9D">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SW17</w:t>
                  </w:r>
                </w:p>
              </w:tc>
              <w:tc>
                <w:tcPr>
                  <w:tcW w:w="786" w:type="pct"/>
                  <w:tcBorders>
                    <w:tl2br w:val="nil"/>
                    <w:tr2bl w:val="nil"/>
                  </w:tcBorders>
                  <w:shd w:val="clear" w:color="auto" w:fill="auto"/>
                  <w:noWrap w:val="0"/>
                  <w:vAlign w:val="center"/>
                </w:tcPr>
                <w:p w14:paraId="5C90FFFC">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rPr>
                    <w:t>900-003-S17</w:t>
                  </w:r>
                </w:p>
              </w:tc>
              <w:tc>
                <w:tcPr>
                  <w:tcW w:w="593" w:type="pct"/>
                  <w:vMerge w:val="restart"/>
                  <w:tcBorders>
                    <w:tl2br w:val="nil"/>
                    <w:tr2bl w:val="nil"/>
                  </w:tcBorders>
                  <w:shd w:val="clear" w:color="auto" w:fill="auto"/>
                  <w:noWrap w:val="0"/>
                  <w:vAlign w:val="center"/>
                </w:tcPr>
                <w:p w14:paraId="09B3162E">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0.5</w:t>
                  </w:r>
                </w:p>
              </w:tc>
            </w:tr>
            <w:tr w14:paraId="7109B68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68" w:type="pct"/>
                  <w:vMerge w:val="continue"/>
                  <w:tcBorders>
                    <w:tl2br w:val="nil"/>
                    <w:tr2bl w:val="nil"/>
                  </w:tcBorders>
                  <w:noWrap w:val="0"/>
                  <w:vAlign w:val="center"/>
                </w:tcPr>
                <w:p w14:paraId="068E8AF4">
                  <w:pPr>
                    <w:jc w:val="center"/>
                    <w:rPr>
                      <w:rFonts w:hint="default" w:ascii="Times New Roman" w:hAnsi="Times New Roman" w:eastAsia="仿宋" w:cs="Times New Roman"/>
                      <w:color w:val="auto"/>
                      <w:sz w:val="21"/>
                      <w:szCs w:val="21"/>
                      <w:highlight w:val="none"/>
                    </w:rPr>
                  </w:pPr>
                </w:p>
              </w:tc>
              <w:tc>
                <w:tcPr>
                  <w:tcW w:w="502" w:type="pct"/>
                  <w:vMerge w:val="continue"/>
                  <w:tcBorders>
                    <w:tl2br w:val="nil"/>
                    <w:tr2bl w:val="nil"/>
                  </w:tcBorders>
                  <w:shd w:val="clear" w:color="auto" w:fill="auto"/>
                  <w:noWrap w:val="0"/>
                  <w:vAlign w:val="center"/>
                </w:tcPr>
                <w:p w14:paraId="65E6C3D0">
                  <w:pPr>
                    <w:jc w:val="center"/>
                    <w:rPr>
                      <w:rFonts w:hint="default" w:ascii="Times New Roman" w:hAnsi="Times New Roman" w:eastAsia="仿宋" w:cs="Times New Roman"/>
                      <w:color w:val="auto"/>
                      <w:sz w:val="21"/>
                      <w:szCs w:val="21"/>
                      <w:highlight w:val="none"/>
                    </w:rPr>
                  </w:pPr>
                </w:p>
              </w:tc>
              <w:tc>
                <w:tcPr>
                  <w:tcW w:w="268" w:type="pct"/>
                  <w:vMerge w:val="continue"/>
                  <w:tcBorders>
                    <w:tl2br w:val="nil"/>
                    <w:tr2bl w:val="nil"/>
                  </w:tcBorders>
                  <w:noWrap w:val="0"/>
                  <w:vAlign w:val="center"/>
                </w:tcPr>
                <w:p w14:paraId="1B3450AD">
                  <w:pPr>
                    <w:jc w:val="center"/>
                    <w:rPr>
                      <w:rFonts w:hint="default" w:ascii="Times New Roman" w:hAnsi="Times New Roman" w:eastAsia="仿宋" w:cs="Times New Roman"/>
                      <w:color w:val="auto"/>
                      <w:sz w:val="21"/>
                      <w:szCs w:val="21"/>
                      <w:highlight w:val="none"/>
                    </w:rPr>
                  </w:pPr>
                </w:p>
              </w:tc>
              <w:tc>
                <w:tcPr>
                  <w:tcW w:w="621" w:type="pct"/>
                  <w:vMerge w:val="continue"/>
                  <w:tcBorders>
                    <w:tl2br w:val="nil"/>
                    <w:tr2bl w:val="nil"/>
                  </w:tcBorders>
                  <w:shd w:val="clear" w:color="auto" w:fill="auto"/>
                  <w:noWrap w:val="0"/>
                  <w:vAlign w:val="center"/>
                </w:tcPr>
                <w:p w14:paraId="3297B7F3">
                  <w:pPr>
                    <w:jc w:val="center"/>
                    <w:rPr>
                      <w:rFonts w:hint="default" w:ascii="Times New Roman" w:hAnsi="Times New Roman" w:eastAsia="仿宋" w:cs="Times New Roman"/>
                      <w:color w:val="auto"/>
                      <w:sz w:val="21"/>
                      <w:szCs w:val="21"/>
                      <w:highlight w:val="none"/>
                    </w:rPr>
                  </w:pPr>
                </w:p>
              </w:tc>
              <w:tc>
                <w:tcPr>
                  <w:tcW w:w="268" w:type="pct"/>
                  <w:vMerge w:val="continue"/>
                  <w:tcBorders>
                    <w:tl2br w:val="nil"/>
                    <w:tr2bl w:val="nil"/>
                  </w:tcBorders>
                  <w:shd w:val="clear" w:color="auto" w:fill="auto"/>
                  <w:noWrap w:val="0"/>
                  <w:vAlign w:val="center"/>
                </w:tcPr>
                <w:p w14:paraId="64A44922">
                  <w:pPr>
                    <w:jc w:val="center"/>
                    <w:rPr>
                      <w:rFonts w:hint="default" w:ascii="Times New Roman" w:hAnsi="Times New Roman" w:eastAsia="仿宋" w:cs="Times New Roman"/>
                      <w:color w:val="auto"/>
                      <w:sz w:val="21"/>
                      <w:szCs w:val="21"/>
                      <w:highlight w:val="none"/>
                    </w:rPr>
                  </w:pPr>
                </w:p>
              </w:tc>
              <w:tc>
                <w:tcPr>
                  <w:tcW w:w="703" w:type="pct"/>
                  <w:vMerge w:val="continue"/>
                  <w:tcBorders>
                    <w:tl2br w:val="nil"/>
                    <w:tr2bl w:val="nil"/>
                  </w:tcBorders>
                  <w:shd w:val="clear" w:color="auto" w:fill="auto"/>
                  <w:noWrap w:val="0"/>
                  <w:vAlign w:val="center"/>
                </w:tcPr>
                <w:p w14:paraId="1A52CB29">
                  <w:pPr>
                    <w:jc w:val="center"/>
                    <w:rPr>
                      <w:rFonts w:hint="default" w:ascii="Times New Roman" w:hAnsi="Times New Roman" w:eastAsia="仿宋" w:cs="Times New Roman"/>
                      <w:color w:val="auto"/>
                      <w:sz w:val="21"/>
                      <w:szCs w:val="21"/>
                      <w:highlight w:val="none"/>
                    </w:rPr>
                  </w:pPr>
                </w:p>
              </w:tc>
              <w:tc>
                <w:tcPr>
                  <w:tcW w:w="440" w:type="pct"/>
                  <w:vMerge w:val="continue"/>
                  <w:tcBorders>
                    <w:tl2br w:val="nil"/>
                    <w:tr2bl w:val="nil"/>
                  </w:tcBorders>
                  <w:noWrap w:val="0"/>
                  <w:vAlign w:val="center"/>
                </w:tcPr>
                <w:p w14:paraId="79D8F758">
                  <w:pPr>
                    <w:jc w:val="center"/>
                    <w:rPr>
                      <w:rFonts w:hint="default" w:ascii="Times New Roman" w:hAnsi="Times New Roman" w:eastAsia="仿宋" w:cs="Times New Roman"/>
                      <w:color w:val="auto"/>
                      <w:sz w:val="21"/>
                      <w:szCs w:val="21"/>
                      <w:highlight w:val="none"/>
                    </w:rPr>
                  </w:pPr>
                </w:p>
              </w:tc>
              <w:tc>
                <w:tcPr>
                  <w:tcW w:w="546" w:type="pct"/>
                  <w:vMerge w:val="continue"/>
                  <w:tcBorders>
                    <w:tl2br w:val="nil"/>
                    <w:tr2bl w:val="nil"/>
                  </w:tcBorders>
                  <w:shd w:val="clear" w:color="auto" w:fill="auto"/>
                  <w:noWrap w:val="0"/>
                  <w:vAlign w:val="center"/>
                </w:tcPr>
                <w:p w14:paraId="3BABBAF9">
                  <w:pPr>
                    <w:jc w:val="center"/>
                    <w:rPr>
                      <w:rFonts w:hint="default" w:ascii="Times New Roman" w:hAnsi="Times New Roman" w:eastAsia="仿宋" w:cs="Times New Roman"/>
                      <w:color w:val="auto"/>
                      <w:kern w:val="2"/>
                      <w:sz w:val="21"/>
                      <w:szCs w:val="21"/>
                      <w:highlight w:val="none"/>
                      <w:lang w:val="en-US" w:eastAsia="zh-CN" w:bidi="ar-SA"/>
                    </w:rPr>
                  </w:pPr>
                </w:p>
              </w:tc>
              <w:tc>
                <w:tcPr>
                  <w:tcW w:w="786" w:type="pct"/>
                  <w:tcBorders>
                    <w:tl2br w:val="nil"/>
                    <w:tr2bl w:val="nil"/>
                  </w:tcBorders>
                  <w:shd w:val="clear" w:color="auto" w:fill="auto"/>
                  <w:noWrap w:val="0"/>
                  <w:vAlign w:val="center"/>
                </w:tcPr>
                <w:p w14:paraId="76D55D62">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rPr>
                    <w:t>900-005-S17</w:t>
                  </w:r>
                </w:p>
              </w:tc>
              <w:tc>
                <w:tcPr>
                  <w:tcW w:w="593" w:type="pct"/>
                  <w:vMerge w:val="continue"/>
                  <w:tcBorders>
                    <w:tl2br w:val="nil"/>
                    <w:tr2bl w:val="nil"/>
                  </w:tcBorders>
                  <w:shd w:val="clear" w:color="auto" w:fill="auto"/>
                  <w:noWrap w:val="0"/>
                  <w:vAlign w:val="center"/>
                </w:tcPr>
                <w:p w14:paraId="3ACE543C">
                  <w:pPr>
                    <w:jc w:val="center"/>
                    <w:rPr>
                      <w:rFonts w:hint="default" w:ascii="Times New Roman" w:hAnsi="Times New Roman" w:eastAsia="仿宋" w:cs="Times New Roman"/>
                      <w:color w:val="auto"/>
                      <w:kern w:val="2"/>
                      <w:sz w:val="21"/>
                      <w:szCs w:val="21"/>
                      <w:highlight w:val="none"/>
                      <w:lang w:val="en-US" w:eastAsia="zh-CN" w:bidi="ar-SA"/>
                    </w:rPr>
                  </w:pPr>
                </w:p>
              </w:tc>
            </w:tr>
            <w:tr w14:paraId="7C272A8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68" w:type="pct"/>
                  <w:tcBorders>
                    <w:tl2br w:val="nil"/>
                    <w:tr2bl w:val="nil"/>
                  </w:tcBorders>
                  <w:noWrap w:val="0"/>
                  <w:vAlign w:val="center"/>
                </w:tcPr>
                <w:p w14:paraId="3F6649ED">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4</w:t>
                  </w:r>
                </w:p>
              </w:tc>
              <w:tc>
                <w:tcPr>
                  <w:tcW w:w="502" w:type="pct"/>
                  <w:tcBorders>
                    <w:tl2br w:val="nil"/>
                    <w:tr2bl w:val="nil"/>
                  </w:tcBorders>
                  <w:shd w:val="clear" w:color="auto" w:fill="auto"/>
                  <w:noWrap w:val="0"/>
                  <w:vAlign w:val="center"/>
                </w:tcPr>
                <w:p w14:paraId="3844BD90">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叉车废电瓶</w:t>
                  </w:r>
                </w:p>
              </w:tc>
              <w:tc>
                <w:tcPr>
                  <w:tcW w:w="268" w:type="pct"/>
                  <w:vMerge w:val="continue"/>
                  <w:tcBorders>
                    <w:tl2br w:val="nil"/>
                    <w:tr2bl w:val="nil"/>
                  </w:tcBorders>
                  <w:noWrap w:val="0"/>
                  <w:vAlign w:val="center"/>
                </w:tcPr>
                <w:p w14:paraId="50AB1445">
                  <w:pPr>
                    <w:jc w:val="center"/>
                    <w:rPr>
                      <w:rFonts w:hint="default" w:ascii="Times New Roman" w:hAnsi="Times New Roman" w:eastAsia="仿宋" w:cs="Times New Roman"/>
                      <w:color w:val="auto"/>
                      <w:sz w:val="21"/>
                      <w:szCs w:val="21"/>
                      <w:highlight w:val="none"/>
                    </w:rPr>
                  </w:pPr>
                </w:p>
              </w:tc>
              <w:tc>
                <w:tcPr>
                  <w:tcW w:w="621" w:type="pct"/>
                  <w:tcBorders>
                    <w:tl2br w:val="nil"/>
                    <w:tr2bl w:val="nil"/>
                  </w:tcBorders>
                  <w:shd w:val="clear" w:color="auto" w:fill="auto"/>
                  <w:noWrap w:val="0"/>
                  <w:vAlign w:val="center"/>
                </w:tcPr>
                <w:p w14:paraId="2927E734">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叉车使用</w:t>
                  </w:r>
                </w:p>
              </w:tc>
              <w:tc>
                <w:tcPr>
                  <w:tcW w:w="268" w:type="pct"/>
                  <w:tcBorders>
                    <w:tl2br w:val="nil"/>
                    <w:tr2bl w:val="nil"/>
                  </w:tcBorders>
                  <w:shd w:val="clear" w:color="auto" w:fill="auto"/>
                  <w:noWrap w:val="0"/>
                  <w:vAlign w:val="center"/>
                </w:tcPr>
                <w:p w14:paraId="4BCF480B">
                  <w:pPr>
                    <w:jc w:val="center"/>
                    <w:rPr>
                      <w:rFonts w:hint="eastAsia"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固态</w:t>
                  </w:r>
                </w:p>
              </w:tc>
              <w:tc>
                <w:tcPr>
                  <w:tcW w:w="703" w:type="pct"/>
                  <w:tcBorders>
                    <w:tl2br w:val="nil"/>
                    <w:tr2bl w:val="nil"/>
                  </w:tcBorders>
                  <w:shd w:val="clear" w:color="auto" w:fill="auto"/>
                  <w:noWrap w:val="0"/>
                  <w:vAlign w:val="center"/>
                </w:tcPr>
                <w:p w14:paraId="2522E2E6">
                  <w:pPr>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锂电瓶</w:t>
                  </w:r>
                </w:p>
              </w:tc>
              <w:tc>
                <w:tcPr>
                  <w:tcW w:w="440" w:type="pct"/>
                  <w:vMerge w:val="continue"/>
                  <w:tcBorders>
                    <w:tl2br w:val="nil"/>
                    <w:tr2bl w:val="nil"/>
                  </w:tcBorders>
                  <w:noWrap w:val="0"/>
                  <w:vAlign w:val="center"/>
                </w:tcPr>
                <w:p w14:paraId="0D5B857D">
                  <w:pPr>
                    <w:jc w:val="center"/>
                    <w:rPr>
                      <w:rFonts w:hint="default" w:ascii="Times New Roman" w:hAnsi="Times New Roman" w:eastAsia="仿宋" w:cs="Times New Roman"/>
                      <w:color w:val="auto"/>
                      <w:sz w:val="21"/>
                      <w:szCs w:val="21"/>
                      <w:highlight w:val="none"/>
                    </w:rPr>
                  </w:pPr>
                </w:p>
              </w:tc>
              <w:tc>
                <w:tcPr>
                  <w:tcW w:w="546" w:type="pct"/>
                  <w:tcBorders>
                    <w:tl2br w:val="nil"/>
                    <w:tr2bl w:val="nil"/>
                  </w:tcBorders>
                  <w:shd w:val="clear" w:color="auto" w:fill="auto"/>
                  <w:noWrap w:val="0"/>
                  <w:vAlign w:val="center"/>
                </w:tcPr>
                <w:p w14:paraId="6B9A10D9">
                  <w:pPr>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SW17</w:t>
                  </w:r>
                </w:p>
              </w:tc>
              <w:tc>
                <w:tcPr>
                  <w:tcW w:w="786" w:type="pct"/>
                  <w:tcBorders>
                    <w:tl2br w:val="nil"/>
                    <w:tr2bl w:val="nil"/>
                  </w:tcBorders>
                  <w:shd w:val="clear" w:color="auto" w:fill="auto"/>
                  <w:noWrap w:val="0"/>
                  <w:vAlign w:val="center"/>
                </w:tcPr>
                <w:p w14:paraId="27867696">
                  <w:pPr>
                    <w:jc w:val="center"/>
                    <w:rPr>
                      <w:rFonts w:hint="default" w:ascii="Times New Roman" w:hAnsi="Times New Roman" w:eastAsia="仿宋" w:cs="Times New Roman"/>
                      <w:color w:val="auto"/>
                      <w:kern w:val="2"/>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900-0</w:t>
                  </w:r>
                  <w:r>
                    <w:rPr>
                      <w:rFonts w:hint="eastAsia" w:eastAsia="仿宋" w:cs="Times New Roman"/>
                      <w:color w:val="auto"/>
                      <w:sz w:val="21"/>
                      <w:szCs w:val="21"/>
                      <w:highlight w:val="none"/>
                      <w:lang w:val="en-US" w:eastAsia="zh-CN"/>
                    </w:rPr>
                    <w:t>12</w:t>
                  </w:r>
                  <w:r>
                    <w:rPr>
                      <w:rFonts w:hint="default" w:ascii="Times New Roman" w:hAnsi="Times New Roman" w:eastAsia="仿宋" w:cs="Times New Roman"/>
                      <w:color w:val="auto"/>
                      <w:sz w:val="21"/>
                      <w:szCs w:val="21"/>
                      <w:highlight w:val="none"/>
                      <w:lang w:val="en-US" w:eastAsia="zh-CN"/>
                    </w:rPr>
                    <w:t>-S17</w:t>
                  </w:r>
                </w:p>
              </w:tc>
              <w:tc>
                <w:tcPr>
                  <w:tcW w:w="593" w:type="pct"/>
                  <w:tcBorders>
                    <w:tl2br w:val="nil"/>
                    <w:tr2bl w:val="nil"/>
                  </w:tcBorders>
                  <w:shd w:val="clear" w:color="auto" w:fill="auto"/>
                  <w:noWrap w:val="0"/>
                  <w:vAlign w:val="center"/>
                </w:tcPr>
                <w:p w14:paraId="41408AB7">
                  <w:pPr>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0.1</w:t>
                  </w:r>
                </w:p>
              </w:tc>
            </w:tr>
            <w:tr w14:paraId="502F078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68" w:type="pct"/>
                  <w:tcBorders>
                    <w:tl2br w:val="nil"/>
                    <w:tr2bl w:val="nil"/>
                  </w:tcBorders>
                  <w:noWrap w:val="0"/>
                  <w:vAlign w:val="center"/>
                </w:tcPr>
                <w:p w14:paraId="6A99D1ED">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5</w:t>
                  </w:r>
                </w:p>
              </w:tc>
              <w:tc>
                <w:tcPr>
                  <w:tcW w:w="502" w:type="pct"/>
                  <w:tcBorders>
                    <w:tl2br w:val="nil"/>
                    <w:tr2bl w:val="nil"/>
                  </w:tcBorders>
                  <w:shd w:val="clear" w:color="auto" w:fill="auto"/>
                  <w:noWrap w:val="0"/>
                  <w:vAlign w:val="center"/>
                </w:tcPr>
                <w:p w14:paraId="2D93178E">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沾染切削液的废金属屑</w:t>
                  </w:r>
                </w:p>
              </w:tc>
              <w:tc>
                <w:tcPr>
                  <w:tcW w:w="268" w:type="pct"/>
                  <w:vMerge w:val="restart"/>
                  <w:tcBorders>
                    <w:tl2br w:val="nil"/>
                    <w:tr2bl w:val="nil"/>
                  </w:tcBorders>
                  <w:noWrap w:val="0"/>
                  <w:vAlign w:val="center"/>
                </w:tcPr>
                <w:p w14:paraId="76012AD1">
                  <w:pPr>
                    <w:ind w:right="-76" w:rightChars="-36"/>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621" w:type="pct"/>
                  <w:tcBorders>
                    <w:tl2br w:val="nil"/>
                    <w:tr2bl w:val="nil"/>
                  </w:tcBorders>
                  <w:shd w:val="clear" w:color="auto" w:fill="auto"/>
                  <w:noWrap w:val="0"/>
                  <w:vAlign w:val="center"/>
                </w:tcPr>
                <w:p w14:paraId="37E31585">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机加工</w:t>
                  </w:r>
                </w:p>
              </w:tc>
              <w:tc>
                <w:tcPr>
                  <w:tcW w:w="268" w:type="pct"/>
                  <w:tcBorders>
                    <w:tl2br w:val="nil"/>
                    <w:tr2bl w:val="nil"/>
                  </w:tcBorders>
                  <w:shd w:val="clear" w:color="auto" w:fill="auto"/>
                  <w:noWrap w:val="0"/>
                  <w:vAlign w:val="center"/>
                </w:tcPr>
                <w:p w14:paraId="456957FD">
                  <w:pPr>
                    <w:spacing w:line="240" w:lineRule="auto"/>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固态</w:t>
                  </w:r>
                </w:p>
              </w:tc>
              <w:tc>
                <w:tcPr>
                  <w:tcW w:w="703" w:type="pct"/>
                  <w:tcBorders>
                    <w:tl2br w:val="nil"/>
                    <w:tr2bl w:val="nil"/>
                  </w:tcBorders>
                  <w:shd w:val="clear" w:color="auto" w:fill="auto"/>
                  <w:noWrap w:val="0"/>
                  <w:vAlign w:val="center"/>
                </w:tcPr>
                <w:p w14:paraId="70A6CC8D">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切削液、铝屑</w:t>
                  </w:r>
                </w:p>
              </w:tc>
              <w:tc>
                <w:tcPr>
                  <w:tcW w:w="440" w:type="pct"/>
                  <w:tcBorders>
                    <w:tl2br w:val="nil"/>
                    <w:tr2bl w:val="nil"/>
                  </w:tcBorders>
                  <w:noWrap w:val="0"/>
                  <w:vAlign w:val="center"/>
                </w:tcPr>
                <w:p w14:paraId="5D0B0336">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T</w:t>
                  </w:r>
                </w:p>
              </w:tc>
              <w:tc>
                <w:tcPr>
                  <w:tcW w:w="546" w:type="pct"/>
                  <w:tcBorders>
                    <w:tl2br w:val="nil"/>
                    <w:tr2bl w:val="nil"/>
                  </w:tcBorders>
                  <w:noWrap w:val="0"/>
                  <w:vAlign w:val="center"/>
                </w:tcPr>
                <w:p w14:paraId="4B4C2F4B">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HW</w:t>
                  </w:r>
                  <w:r>
                    <w:rPr>
                      <w:rFonts w:hint="eastAsia" w:eastAsia="仿宋" w:cs="Times New Roman"/>
                      <w:color w:val="auto"/>
                      <w:sz w:val="21"/>
                      <w:szCs w:val="21"/>
                      <w:highlight w:val="none"/>
                      <w:lang w:val="en-US" w:eastAsia="zh-CN"/>
                    </w:rPr>
                    <w:t>0</w:t>
                  </w:r>
                  <w:r>
                    <w:rPr>
                      <w:rFonts w:hint="default" w:ascii="Times New Roman" w:hAnsi="Times New Roman" w:eastAsia="仿宋" w:cs="Times New Roman"/>
                      <w:color w:val="auto"/>
                      <w:sz w:val="21"/>
                      <w:szCs w:val="21"/>
                      <w:highlight w:val="none"/>
                      <w:lang w:val="en-US" w:eastAsia="zh-CN"/>
                    </w:rPr>
                    <w:t>9</w:t>
                  </w:r>
                </w:p>
              </w:tc>
              <w:tc>
                <w:tcPr>
                  <w:tcW w:w="786" w:type="pct"/>
                  <w:tcBorders>
                    <w:tl2br w:val="nil"/>
                    <w:tr2bl w:val="nil"/>
                  </w:tcBorders>
                  <w:noWrap w:val="0"/>
                  <w:vAlign w:val="center"/>
                </w:tcPr>
                <w:p w14:paraId="38D6DC77">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900-0</w:t>
                  </w:r>
                  <w:r>
                    <w:rPr>
                      <w:rFonts w:hint="eastAsia" w:eastAsia="仿宋" w:cs="Times New Roman"/>
                      <w:color w:val="auto"/>
                      <w:sz w:val="21"/>
                      <w:szCs w:val="21"/>
                      <w:highlight w:val="none"/>
                      <w:lang w:val="en-US" w:eastAsia="zh-CN"/>
                    </w:rPr>
                    <w:t>06-0</w:t>
                  </w:r>
                  <w:r>
                    <w:rPr>
                      <w:rFonts w:hint="default" w:ascii="Times New Roman" w:hAnsi="Times New Roman" w:eastAsia="仿宋" w:cs="Times New Roman"/>
                      <w:color w:val="auto"/>
                      <w:sz w:val="21"/>
                      <w:szCs w:val="21"/>
                      <w:highlight w:val="none"/>
                      <w:lang w:val="en-US" w:eastAsia="zh-CN"/>
                    </w:rPr>
                    <w:t>9</w:t>
                  </w:r>
                </w:p>
              </w:tc>
              <w:tc>
                <w:tcPr>
                  <w:tcW w:w="593" w:type="pct"/>
                  <w:tcBorders>
                    <w:tl2br w:val="nil"/>
                    <w:tr2bl w:val="nil"/>
                  </w:tcBorders>
                  <w:shd w:val="clear" w:color="auto" w:fill="auto"/>
                  <w:noWrap w:val="0"/>
                  <w:vAlign w:val="center"/>
                </w:tcPr>
                <w:p w14:paraId="05206423">
                  <w:pPr>
                    <w:spacing w:line="240" w:lineRule="auto"/>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5</w:t>
                  </w:r>
                </w:p>
              </w:tc>
            </w:tr>
            <w:tr w14:paraId="2F548E3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68" w:type="pct"/>
                  <w:tcBorders>
                    <w:tl2br w:val="nil"/>
                    <w:tr2bl w:val="nil"/>
                  </w:tcBorders>
                  <w:noWrap w:val="0"/>
                  <w:vAlign w:val="center"/>
                </w:tcPr>
                <w:p w14:paraId="70A9D58F">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6</w:t>
                  </w:r>
                </w:p>
              </w:tc>
              <w:tc>
                <w:tcPr>
                  <w:tcW w:w="502" w:type="pct"/>
                  <w:tcBorders>
                    <w:tl2br w:val="nil"/>
                    <w:tr2bl w:val="nil"/>
                  </w:tcBorders>
                  <w:shd w:val="clear" w:color="auto" w:fill="auto"/>
                  <w:noWrap w:val="0"/>
                  <w:vAlign w:val="center"/>
                </w:tcPr>
                <w:p w14:paraId="49C5513F">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废切削液</w:t>
                  </w:r>
                </w:p>
              </w:tc>
              <w:tc>
                <w:tcPr>
                  <w:tcW w:w="268" w:type="pct"/>
                  <w:vMerge w:val="continue"/>
                  <w:tcBorders>
                    <w:tl2br w:val="nil"/>
                    <w:tr2bl w:val="nil"/>
                  </w:tcBorders>
                  <w:noWrap w:val="0"/>
                  <w:vAlign w:val="center"/>
                </w:tcPr>
                <w:p w14:paraId="67909BC6">
                  <w:pPr>
                    <w:ind w:right="-76" w:rightChars="-36"/>
                    <w:rPr>
                      <w:rFonts w:hint="default" w:ascii="Times New Roman" w:hAnsi="Times New Roman" w:eastAsia="仿宋" w:cs="Times New Roman"/>
                      <w:color w:val="auto"/>
                      <w:sz w:val="21"/>
                      <w:szCs w:val="21"/>
                      <w:highlight w:val="none"/>
                    </w:rPr>
                  </w:pPr>
                </w:p>
              </w:tc>
              <w:tc>
                <w:tcPr>
                  <w:tcW w:w="621" w:type="pct"/>
                  <w:tcBorders>
                    <w:tl2br w:val="nil"/>
                    <w:tr2bl w:val="nil"/>
                  </w:tcBorders>
                  <w:shd w:val="clear" w:color="auto" w:fill="auto"/>
                  <w:noWrap w:val="0"/>
                  <w:vAlign w:val="center"/>
                </w:tcPr>
                <w:p w14:paraId="61760EB4">
                  <w:pPr>
                    <w:pStyle w:val="39"/>
                    <w:adjustRightInd w:val="0"/>
                    <w:snapToGrid w:val="0"/>
                    <w:jc w:val="center"/>
                    <w:rPr>
                      <w:rFonts w:hint="default" w:ascii="Times New Roman" w:hAnsi="Times New Roman" w:eastAsia="仿宋" w:cs="Times New Roman"/>
                      <w:b w:val="0"/>
                      <w:bCs w:val="0"/>
                      <w:color w:val="auto"/>
                      <w:kern w:val="0"/>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机加工</w:t>
                  </w:r>
                </w:p>
              </w:tc>
              <w:tc>
                <w:tcPr>
                  <w:tcW w:w="268" w:type="pct"/>
                  <w:tcBorders>
                    <w:tl2br w:val="nil"/>
                    <w:tr2bl w:val="nil"/>
                  </w:tcBorders>
                  <w:shd w:val="clear" w:color="auto" w:fill="auto"/>
                  <w:noWrap w:val="0"/>
                  <w:vAlign w:val="center"/>
                </w:tcPr>
                <w:p w14:paraId="12CCBEF4">
                  <w:pPr>
                    <w:spacing w:line="240" w:lineRule="exact"/>
                    <w:jc w:val="center"/>
                    <w:rPr>
                      <w:rFonts w:hint="default" w:ascii="Times New Roman" w:hAnsi="Times New Roman" w:eastAsia="仿宋" w:cs="Times New Roman"/>
                      <w:b w:val="0"/>
                      <w:bCs w:val="0"/>
                      <w:color w:val="auto"/>
                      <w:kern w:val="0"/>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液</w:t>
                  </w:r>
                  <w:r>
                    <w:rPr>
                      <w:rFonts w:hint="default" w:ascii="Times New Roman" w:hAnsi="Times New Roman" w:eastAsia="仿宋" w:cs="Times New Roman"/>
                      <w:color w:val="auto"/>
                      <w:sz w:val="21"/>
                      <w:szCs w:val="21"/>
                      <w:highlight w:val="none"/>
                    </w:rPr>
                    <w:t>态</w:t>
                  </w:r>
                </w:p>
              </w:tc>
              <w:tc>
                <w:tcPr>
                  <w:tcW w:w="703" w:type="pct"/>
                  <w:tcBorders>
                    <w:tl2br w:val="nil"/>
                    <w:tr2bl w:val="nil"/>
                  </w:tcBorders>
                  <w:shd w:val="clear" w:color="auto" w:fill="auto"/>
                  <w:noWrap w:val="0"/>
                  <w:vAlign w:val="center"/>
                </w:tcPr>
                <w:p w14:paraId="6EE93BF6">
                  <w:pPr>
                    <w:pStyle w:val="39"/>
                    <w:adjustRightInd w:val="0"/>
                    <w:snapToGrid w:val="0"/>
                    <w:jc w:val="center"/>
                    <w:rPr>
                      <w:rFonts w:hint="default" w:ascii="Times New Roman" w:hAnsi="Times New Roman" w:eastAsia="仿宋" w:cs="Times New Roman"/>
                      <w:b w:val="0"/>
                      <w:bCs w:val="0"/>
                      <w:color w:val="auto"/>
                      <w:kern w:val="0"/>
                      <w:sz w:val="21"/>
                      <w:szCs w:val="21"/>
                      <w:highlight w:val="none"/>
                      <w:lang w:val="en-US" w:eastAsia="zh-CN" w:bidi="ar-SA"/>
                    </w:rPr>
                  </w:pPr>
                  <w:r>
                    <w:rPr>
                      <w:rFonts w:hint="eastAsia" w:ascii="Times New Roman" w:hAnsi="Times New Roman" w:eastAsia="仿宋" w:cs="Times New Roman"/>
                      <w:b w:val="0"/>
                      <w:bCs w:val="0"/>
                      <w:color w:val="auto"/>
                      <w:kern w:val="0"/>
                      <w:sz w:val="21"/>
                      <w:szCs w:val="21"/>
                      <w:highlight w:val="none"/>
                      <w:lang w:val="en-US" w:eastAsia="zh-CN" w:bidi="ar-SA"/>
                    </w:rPr>
                    <w:t>切削液</w:t>
                  </w:r>
                </w:p>
              </w:tc>
              <w:tc>
                <w:tcPr>
                  <w:tcW w:w="440" w:type="pct"/>
                  <w:tcBorders>
                    <w:tl2br w:val="nil"/>
                    <w:tr2bl w:val="nil"/>
                  </w:tcBorders>
                  <w:noWrap w:val="0"/>
                  <w:vAlign w:val="center"/>
                </w:tcPr>
                <w:p w14:paraId="6A612BF3">
                  <w:pPr>
                    <w:spacing w:line="300" w:lineRule="exact"/>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T</w:t>
                  </w:r>
                </w:p>
              </w:tc>
              <w:tc>
                <w:tcPr>
                  <w:tcW w:w="546" w:type="pct"/>
                  <w:tcBorders>
                    <w:tl2br w:val="nil"/>
                    <w:tr2bl w:val="nil"/>
                  </w:tcBorders>
                  <w:shd w:val="clear" w:color="auto" w:fill="auto"/>
                  <w:noWrap w:val="0"/>
                  <w:vAlign w:val="center"/>
                </w:tcPr>
                <w:p w14:paraId="3B9D272F">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HW</w:t>
                  </w:r>
                  <w:r>
                    <w:rPr>
                      <w:rFonts w:hint="eastAsia" w:eastAsia="仿宋" w:cs="Times New Roman"/>
                      <w:color w:val="auto"/>
                      <w:sz w:val="21"/>
                      <w:szCs w:val="21"/>
                      <w:highlight w:val="none"/>
                      <w:lang w:val="en-US" w:eastAsia="zh-CN"/>
                    </w:rPr>
                    <w:t>0</w:t>
                  </w:r>
                  <w:r>
                    <w:rPr>
                      <w:rFonts w:hint="default" w:ascii="Times New Roman" w:hAnsi="Times New Roman" w:eastAsia="仿宋" w:cs="Times New Roman"/>
                      <w:color w:val="auto"/>
                      <w:sz w:val="21"/>
                      <w:szCs w:val="21"/>
                      <w:highlight w:val="none"/>
                      <w:lang w:val="en-US" w:eastAsia="zh-CN"/>
                    </w:rPr>
                    <w:t>9</w:t>
                  </w:r>
                </w:p>
              </w:tc>
              <w:tc>
                <w:tcPr>
                  <w:tcW w:w="786" w:type="pct"/>
                  <w:tcBorders>
                    <w:tl2br w:val="nil"/>
                    <w:tr2bl w:val="nil"/>
                  </w:tcBorders>
                  <w:shd w:val="clear" w:color="auto" w:fill="auto"/>
                  <w:noWrap w:val="0"/>
                  <w:vAlign w:val="center"/>
                </w:tcPr>
                <w:p w14:paraId="27EFF185">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900-0</w:t>
                  </w:r>
                  <w:r>
                    <w:rPr>
                      <w:rFonts w:hint="eastAsia" w:eastAsia="仿宋" w:cs="Times New Roman"/>
                      <w:color w:val="auto"/>
                      <w:sz w:val="21"/>
                      <w:szCs w:val="21"/>
                      <w:highlight w:val="none"/>
                      <w:lang w:val="en-US" w:eastAsia="zh-CN"/>
                    </w:rPr>
                    <w:t>06-0</w:t>
                  </w:r>
                  <w:r>
                    <w:rPr>
                      <w:rFonts w:hint="default" w:ascii="Times New Roman" w:hAnsi="Times New Roman" w:eastAsia="仿宋" w:cs="Times New Roman"/>
                      <w:color w:val="auto"/>
                      <w:sz w:val="21"/>
                      <w:szCs w:val="21"/>
                      <w:highlight w:val="none"/>
                      <w:lang w:val="en-US" w:eastAsia="zh-CN"/>
                    </w:rPr>
                    <w:t>9</w:t>
                  </w:r>
                </w:p>
              </w:tc>
              <w:tc>
                <w:tcPr>
                  <w:tcW w:w="593" w:type="pct"/>
                  <w:tcBorders>
                    <w:tl2br w:val="nil"/>
                    <w:tr2bl w:val="nil"/>
                  </w:tcBorders>
                  <w:shd w:val="clear" w:color="auto" w:fill="auto"/>
                  <w:noWrap w:val="0"/>
                  <w:vAlign w:val="center"/>
                </w:tcPr>
                <w:p w14:paraId="15892282">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5</w:t>
                  </w:r>
                </w:p>
              </w:tc>
            </w:tr>
            <w:tr w14:paraId="2AA7DC4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68" w:type="pct"/>
                  <w:tcBorders>
                    <w:tl2br w:val="nil"/>
                    <w:tr2bl w:val="nil"/>
                  </w:tcBorders>
                  <w:noWrap w:val="0"/>
                  <w:vAlign w:val="center"/>
                </w:tcPr>
                <w:p w14:paraId="512B0818">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7</w:t>
                  </w:r>
                </w:p>
              </w:tc>
              <w:tc>
                <w:tcPr>
                  <w:tcW w:w="502" w:type="pct"/>
                  <w:tcBorders>
                    <w:tl2br w:val="nil"/>
                    <w:tr2bl w:val="nil"/>
                  </w:tcBorders>
                  <w:shd w:val="clear" w:color="auto" w:fill="auto"/>
                  <w:noWrap w:val="0"/>
                  <w:vAlign w:val="center"/>
                </w:tcPr>
                <w:p w14:paraId="339E236F">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废</w:t>
                  </w:r>
                  <w:r>
                    <w:rPr>
                      <w:rFonts w:hint="eastAsia" w:ascii="Times New Roman" w:hAnsi="Times New Roman" w:eastAsia="仿宋" w:cs="Times New Roman"/>
                      <w:color w:val="auto"/>
                      <w:sz w:val="21"/>
                      <w:szCs w:val="21"/>
                      <w:highlight w:val="none"/>
                      <w:lang w:val="en-US" w:eastAsia="zh-CN"/>
                    </w:rPr>
                    <w:t>无尘纸</w:t>
                  </w:r>
                </w:p>
              </w:tc>
              <w:tc>
                <w:tcPr>
                  <w:tcW w:w="268" w:type="pct"/>
                  <w:vMerge w:val="continue"/>
                  <w:tcBorders>
                    <w:tl2br w:val="nil"/>
                    <w:tr2bl w:val="nil"/>
                  </w:tcBorders>
                  <w:noWrap w:val="0"/>
                  <w:vAlign w:val="center"/>
                </w:tcPr>
                <w:p w14:paraId="5BA838A7">
                  <w:pPr>
                    <w:ind w:right="-76" w:rightChars="-36"/>
                    <w:rPr>
                      <w:rFonts w:hint="default" w:ascii="Times New Roman" w:hAnsi="Times New Roman" w:eastAsia="仿宋" w:cs="Times New Roman"/>
                      <w:color w:val="auto"/>
                      <w:sz w:val="21"/>
                      <w:szCs w:val="21"/>
                      <w:highlight w:val="none"/>
                    </w:rPr>
                  </w:pPr>
                </w:p>
              </w:tc>
              <w:tc>
                <w:tcPr>
                  <w:tcW w:w="621" w:type="pct"/>
                  <w:tcBorders>
                    <w:tl2br w:val="nil"/>
                    <w:tr2bl w:val="nil"/>
                  </w:tcBorders>
                  <w:shd w:val="clear" w:color="auto" w:fill="auto"/>
                  <w:noWrap w:val="0"/>
                  <w:vAlign w:val="center"/>
                </w:tcPr>
                <w:p w14:paraId="6D630582">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过程检测</w:t>
                  </w:r>
                </w:p>
              </w:tc>
              <w:tc>
                <w:tcPr>
                  <w:tcW w:w="268" w:type="pct"/>
                  <w:tcBorders>
                    <w:tl2br w:val="nil"/>
                    <w:tr2bl w:val="nil"/>
                  </w:tcBorders>
                  <w:shd w:val="clear" w:color="auto" w:fill="auto"/>
                  <w:noWrap w:val="0"/>
                  <w:vAlign w:val="center"/>
                </w:tcPr>
                <w:p w14:paraId="7AE0D928">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固态</w:t>
                  </w:r>
                </w:p>
              </w:tc>
              <w:tc>
                <w:tcPr>
                  <w:tcW w:w="703" w:type="pct"/>
                  <w:tcBorders>
                    <w:tl2br w:val="nil"/>
                    <w:tr2bl w:val="nil"/>
                  </w:tcBorders>
                  <w:shd w:val="clear" w:color="auto" w:fill="auto"/>
                  <w:noWrap w:val="0"/>
                  <w:vAlign w:val="center"/>
                </w:tcPr>
                <w:p w14:paraId="0DFECFA2">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切削液、纸</w:t>
                  </w:r>
                </w:p>
              </w:tc>
              <w:tc>
                <w:tcPr>
                  <w:tcW w:w="440" w:type="pct"/>
                  <w:tcBorders>
                    <w:tl2br w:val="nil"/>
                    <w:tr2bl w:val="nil"/>
                  </w:tcBorders>
                  <w:noWrap w:val="0"/>
                  <w:vAlign w:val="center"/>
                </w:tcPr>
                <w:p w14:paraId="03C475E6">
                  <w:pPr>
                    <w:spacing w:line="300" w:lineRule="exact"/>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T/In</w:t>
                  </w:r>
                </w:p>
              </w:tc>
              <w:tc>
                <w:tcPr>
                  <w:tcW w:w="546" w:type="pct"/>
                  <w:tcBorders>
                    <w:tl2br w:val="nil"/>
                    <w:tr2bl w:val="nil"/>
                  </w:tcBorders>
                  <w:shd w:val="clear" w:color="auto" w:fill="auto"/>
                  <w:noWrap w:val="0"/>
                  <w:vAlign w:val="center"/>
                </w:tcPr>
                <w:p w14:paraId="028B653E">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HW49</w:t>
                  </w:r>
                </w:p>
              </w:tc>
              <w:tc>
                <w:tcPr>
                  <w:tcW w:w="786" w:type="pct"/>
                  <w:tcBorders>
                    <w:tl2br w:val="nil"/>
                    <w:tr2bl w:val="nil"/>
                  </w:tcBorders>
                  <w:shd w:val="clear" w:color="auto" w:fill="auto"/>
                  <w:noWrap w:val="0"/>
                  <w:vAlign w:val="center"/>
                </w:tcPr>
                <w:p w14:paraId="1DBACE40">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900-041-49</w:t>
                  </w:r>
                </w:p>
              </w:tc>
              <w:tc>
                <w:tcPr>
                  <w:tcW w:w="593" w:type="pct"/>
                  <w:tcBorders>
                    <w:tl2br w:val="nil"/>
                    <w:tr2bl w:val="nil"/>
                  </w:tcBorders>
                  <w:shd w:val="clear" w:color="auto" w:fill="auto"/>
                  <w:noWrap w:val="0"/>
                  <w:vAlign w:val="center"/>
                </w:tcPr>
                <w:p w14:paraId="35DA6973">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0.03</w:t>
                  </w:r>
                </w:p>
              </w:tc>
            </w:tr>
            <w:tr w14:paraId="33422E9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68" w:type="pct"/>
                  <w:tcBorders>
                    <w:tl2br w:val="nil"/>
                    <w:tr2bl w:val="nil"/>
                  </w:tcBorders>
                  <w:noWrap w:val="0"/>
                  <w:vAlign w:val="center"/>
                </w:tcPr>
                <w:p w14:paraId="0AEA02A0">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8</w:t>
                  </w:r>
                </w:p>
              </w:tc>
              <w:tc>
                <w:tcPr>
                  <w:tcW w:w="502" w:type="pct"/>
                  <w:tcBorders>
                    <w:tl2br w:val="nil"/>
                    <w:tr2bl w:val="nil"/>
                  </w:tcBorders>
                  <w:shd w:val="clear" w:color="auto" w:fill="auto"/>
                  <w:noWrap w:val="0"/>
                  <w:vAlign w:val="center"/>
                </w:tcPr>
                <w:p w14:paraId="4E233981">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废包装桶</w:t>
                  </w:r>
                </w:p>
              </w:tc>
              <w:tc>
                <w:tcPr>
                  <w:tcW w:w="268" w:type="pct"/>
                  <w:vMerge w:val="continue"/>
                  <w:tcBorders>
                    <w:tl2br w:val="nil"/>
                    <w:tr2bl w:val="nil"/>
                  </w:tcBorders>
                  <w:noWrap w:val="0"/>
                  <w:vAlign w:val="center"/>
                </w:tcPr>
                <w:p w14:paraId="574778D5">
                  <w:pPr>
                    <w:ind w:right="-76" w:rightChars="-36"/>
                    <w:rPr>
                      <w:rFonts w:hint="default" w:ascii="Times New Roman" w:hAnsi="Times New Roman" w:eastAsia="仿宋" w:cs="Times New Roman"/>
                      <w:color w:val="auto"/>
                      <w:sz w:val="21"/>
                      <w:szCs w:val="21"/>
                      <w:highlight w:val="none"/>
                    </w:rPr>
                  </w:pPr>
                </w:p>
              </w:tc>
              <w:tc>
                <w:tcPr>
                  <w:tcW w:w="621" w:type="pct"/>
                  <w:tcBorders>
                    <w:tl2br w:val="nil"/>
                    <w:tr2bl w:val="nil"/>
                  </w:tcBorders>
                  <w:shd w:val="clear" w:color="auto" w:fill="auto"/>
                  <w:noWrap w:val="0"/>
                  <w:vAlign w:val="center"/>
                </w:tcPr>
                <w:p w14:paraId="5D2C3EFC">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切削液使用</w:t>
                  </w:r>
                </w:p>
              </w:tc>
              <w:tc>
                <w:tcPr>
                  <w:tcW w:w="268" w:type="pct"/>
                  <w:tcBorders>
                    <w:tl2br w:val="nil"/>
                    <w:tr2bl w:val="nil"/>
                  </w:tcBorders>
                  <w:shd w:val="clear" w:color="auto" w:fill="auto"/>
                  <w:noWrap w:val="0"/>
                  <w:vAlign w:val="center"/>
                </w:tcPr>
                <w:p w14:paraId="4B34E3DD">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固态</w:t>
                  </w:r>
                </w:p>
              </w:tc>
              <w:tc>
                <w:tcPr>
                  <w:tcW w:w="703" w:type="pct"/>
                  <w:tcBorders>
                    <w:tl2br w:val="nil"/>
                    <w:tr2bl w:val="nil"/>
                  </w:tcBorders>
                  <w:shd w:val="clear" w:color="auto" w:fill="auto"/>
                  <w:noWrap w:val="0"/>
                  <w:vAlign w:val="center"/>
                </w:tcPr>
                <w:p w14:paraId="3C28360D">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切削液</w:t>
                  </w:r>
                </w:p>
              </w:tc>
              <w:tc>
                <w:tcPr>
                  <w:tcW w:w="440" w:type="pct"/>
                  <w:tcBorders>
                    <w:tl2br w:val="nil"/>
                    <w:tr2bl w:val="nil"/>
                  </w:tcBorders>
                  <w:noWrap w:val="0"/>
                  <w:vAlign w:val="center"/>
                </w:tcPr>
                <w:p w14:paraId="331207A0">
                  <w:pPr>
                    <w:spacing w:line="30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T/In</w:t>
                  </w:r>
                </w:p>
              </w:tc>
              <w:tc>
                <w:tcPr>
                  <w:tcW w:w="546" w:type="pct"/>
                  <w:tcBorders>
                    <w:tl2br w:val="nil"/>
                    <w:tr2bl w:val="nil"/>
                  </w:tcBorders>
                  <w:shd w:val="clear" w:color="auto" w:fill="auto"/>
                  <w:noWrap w:val="0"/>
                  <w:vAlign w:val="center"/>
                </w:tcPr>
                <w:p w14:paraId="7A46AD5E">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HW49</w:t>
                  </w:r>
                </w:p>
              </w:tc>
              <w:tc>
                <w:tcPr>
                  <w:tcW w:w="786" w:type="pct"/>
                  <w:tcBorders>
                    <w:tl2br w:val="nil"/>
                    <w:tr2bl w:val="nil"/>
                  </w:tcBorders>
                  <w:shd w:val="clear" w:color="auto" w:fill="auto"/>
                  <w:noWrap w:val="0"/>
                  <w:vAlign w:val="center"/>
                </w:tcPr>
                <w:p w14:paraId="26E49BE4">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900-041-49</w:t>
                  </w:r>
                </w:p>
              </w:tc>
              <w:tc>
                <w:tcPr>
                  <w:tcW w:w="593" w:type="pct"/>
                  <w:tcBorders>
                    <w:tl2br w:val="nil"/>
                    <w:tr2bl w:val="nil"/>
                  </w:tcBorders>
                  <w:shd w:val="clear" w:color="auto" w:fill="auto"/>
                  <w:noWrap w:val="0"/>
                  <w:vAlign w:val="center"/>
                </w:tcPr>
                <w:p w14:paraId="3CEF3723">
                  <w:pPr>
                    <w:spacing w:line="240" w:lineRule="exact"/>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0.15</w:t>
                  </w:r>
                </w:p>
              </w:tc>
            </w:tr>
            <w:tr w14:paraId="6ACBBA9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68" w:type="pct"/>
                  <w:tcBorders>
                    <w:tl2br w:val="nil"/>
                    <w:tr2bl w:val="nil"/>
                  </w:tcBorders>
                  <w:noWrap w:val="0"/>
                  <w:vAlign w:val="center"/>
                </w:tcPr>
                <w:p w14:paraId="6EBCA265">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9</w:t>
                  </w:r>
                </w:p>
              </w:tc>
              <w:tc>
                <w:tcPr>
                  <w:tcW w:w="502" w:type="pct"/>
                  <w:tcBorders>
                    <w:tl2br w:val="nil"/>
                    <w:tr2bl w:val="nil"/>
                  </w:tcBorders>
                  <w:shd w:val="clear" w:color="auto" w:fill="auto"/>
                  <w:noWrap w:val="0"/>
                  <w:vAlign w:val="center"/>
                </w:tcPr>
                <w:p w14:paraId="357CF582">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w:t>
                  </w:r>
                  <w:r>
                    <w:rPr>
                      <w:rFonts w:hint="eastAsia" w:ascii="Times New Roman" w:hAnsi="Times New Roman" w:eastAsia="仿宋" w:cs="Times New Roman"/>
                      <w:color w:val="auto"/>
                      <w:sz w:val="21"/>
                      <w:szCs w:val="21"/>
                      <w:highlight w:val="none"/>
                      <w:lang w:val="en-US" w:eastAsia="zh-CN"/>
                    </w:rPr>
                    <w:t>油</w:t>
                  </w:r>
                  <w:r>
                    <w:rPr>
                      <w:rFonts w:hint="default" w:ascii="Times New Roman" w:hAnsi="Times New Roman" w:eastAsia="仿宋" w:cs="Times New Roman"/>
                      <w:color w:val="auto"/>
                      <w:sz w:val="21"/>
                      <w:szCs w:val="21"/>
                      <w:highlight w:val="none"/>
                      <w:lang w:val="en-US" w:eastAsia="zh-CN"/>
                    </w:rPr>
                    <w:t>桶</w:t>
                  </w:r>
                </w:p>
              </w:tc>
              <w:tc>
                <w:tcPr>
                  <w:tcW w:w="268" w:type="pct"/>
                  <w:vMerge w:val="continue"/>
                  <w:tcBorders>
                    <w:tl2br w:val="nil"/>
                    <w:tr2bl w:val="nil"/>
                  </w:tcBorders>
                  <w:noWrap w:val="0"/>
                  <w:vAlign w:val="center"/>
                </w:tcPr>
                <w:p w14:paraId="3D49AD1B">
                  <w:pPr>
                    <w:ind w:right="-76" w:rightChars="-36"/>
                    <w:rPr>
                      <w:rFonts w:hint="default" w:ascii="Times New Roman" w:hAnsi="Times New Roman" w:eastAsia="仿宋" w:cs="Times New Roman"/>
                      <w:color w:val="auto"/>
                      <w:sz w:val="21"/>
                      <w:szCs w:val="21"/>
                      <w:highlight w:val="none"/>
                    </w:rPr>
                  </w:pPr>
                </w:p>
              </w:tc>
              <w:tc>
                <w:tcPr>
                  <w:tcW w:w="621" w:type="pct"/>
                  <w:tcBorders>
                    <w:tl2br w:val="nil"/>
                    <w:tr2bl w:val="nil"/>
                  </w:tcBorders>
                  <w:shd w:val="clear" w:color="auto" w:fill="auto"/>
                  <w:noWrap w:val="0"/>
                  <w:vAlign w:val="center"/>
                </w:tcPr>
                <w:p w14:paraId="1CF7546E">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设备维护</w:t>
                  </w:r>
                </w:p>
              </w:tc>
              <w:tc>
                <w:tcPr>
                  <w:tcW w:w="268" w:type="pct"/>
                  <w:tcBorders>
                    <w:tl2br w:val="nil"/>
                    <w:tr2bl w:val="nil"/>
                  </w:tcBorders>
                  <w:shd w:val="clear" w:color="auto" w:fill="auto"/>
                  <w:noWrap w:val="0"/>
                  <w:vAlign w:val="center"/>
                </w:tcPr>
                <w:p w14:paraId="471059FF">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固态</w:t>
                  </w:r>
                </w:p>
              </w:tc>
              <w:tc>
                <w:tcPr>
                  <w:tcW w:w="703" w:type="pct"/>
                  <w:tcBorders>
                    <w:tl2br w:val="nil"/>
                    <w:tr2bl w:val="nil"/>
                  </w:tcBorders>
                  <w:shd w:val="clear" w:color="auto" w:fill="auto"/>
                  <w:noWrap w:val="0"/>
                  <w:vAlign w:val="center"/>
                </w:tcPr>
                <w:p w14:paraId="51DDD254">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液压油</w:t>
                  </w:r>
                  <w:r>
                    <w:rPr>
                      <w:rFonts w:hint="default" w:ascii="Times New Roman" w:hAnsi="Times New Roman" w:eastAsia="仿宋" w:cs="Times New Roman"/>
                      <w:color w:val="auto"/>
                      <w:sz w:val="21"/>
                      <w:szCs w:val="21"/>
                      <w:highlight w:val="none"/>
                      <w:lang w:val="en-US" w:eastAsia="zh-CN"/>
                    </w:rPr>
                    <w:t>、包装桶</w:t>
                  </w:r>
                </w:p>
              </w:tc>
              <w:tc>
                <w:tcPr>
                  <w:tcW w:w="440" w:type="pct"/>
                  <w:tcBorders>
                    <w:tl2br w:val="nil"/>
                    <w:tr2bl w:val="nil"/>
                  </w:tcBorders>
                  <w:noWrap w:val="0"/>
                  <w:vAlign w:val="center"/>
                </w:tcPr>
                <w:p w14:paraId="39E898D2">
                  <w:pPr>
                    <w:spacing w:line="30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T，I</w:t>
                  </w:r>
                </w:p>
              </w:tc>
              <w:tc>
                <w:tcPr>
                  <w:tcW w:w="546" w:type="pct"/>
                  <w:tcBorders>
                    <w:tl2br w:val="nil"/>
                    <w:tr2bl w:val="nil"/>
                  </w:tcBorders>
                  <w:shd w:val="clear" w:color="auto" w:fill="auto"/>
                  <w:noWrap w:val="0"/>
                  <w:vAlign w:val="center"/>
                </w:tcPr>
                <w:p w14:paraId="2F7C833E">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HW08</w:t>
                  </w:r>
                </w:p>
              </w:tc>
              <w:tc>
                <w:tcPr>
                  <w:tcW w:w="786" w:type="pct"/>
                  <w:tcBorders>
                    <w:tl2br w:val="nil"/>
                    <w:tr2bl w:val="nil"/>
                  </w:tcBorders>
                  <w:shd w:val="clear" w:color="auto" w:fill="auto"/>
                  <w:noWrap w:val="0"/>
                  <w:vAlign w:val="center"/>
                </w:tcPr>
                <w:p w14:paraId="05D14521">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900-249-08</w:t>
                  </w:r>
                </w:p>
              </w:tc>
              <w:tc>
                <w:tcPr>
                  <w:tcW w:w="593" w:type="pct"/>
                  <w:tcBorders>
                    <w:tl2br w:val="nil"/>
                    <w:tr2bl w:val="nil"/>
                  </w:tcBorders>
                  <w:shd w:val="clear" w:color="auto" w:fill="auto"/>
                  <w:noWrap w:val="0"/>
                  <w:vAlign w:val="center"/>
                </w:tcPr>
                <w:p w14:paraId="0622BCE2">
                  <w:pPr>
                    <w:spacing w:line="24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w:t>
                  </w:r>
                  <w:r>
                    <w:rPr>
                      <w:rFonts w:hint="eastAsia" w:eastAsia="仿宋" w:cs="Times New Roman"/>
                      <w:color w:val="auto"/>
                      <w:sz w:val="21"/>
                      <w:szCs w:val="21"/>
                      <w:highlight w:val="none"/>
                      <w:lang w:val="en-US" w:eastAsia="zh-CN"/>
                    </w:rPr>
                    <w:t>11</w:t>
                  </w:r>
                </w:p>
              </w:tc>
            </w:tr>
            <w:tr w14:paraId="187B4FF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68" w:type="pct"/>
                  <w:tcBorders>
                    <w:tl2br w:val="nil"/>
                    <w:tr2bl w:val="nil"/>
                  </w:tcBorders>
                  <w:noWrap w:val="0"/>
                  <w:vAlign w:val="center"/>
                </w:tcPr>
                <w:p w14:paraId="18AE46CC">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10</w:t>
                  </w:r>
                </w:p>
              </w:tc>
              <w:tc>
                <w:tcPr>
                  <w:tcW w:w="502" w:type="pct"/>
                  <w:tcBorders>
                    <w:tl2br w:val="nil"/>
                    <w:tr2bl w:val="nil"/>
                  </w:tcBorders>
                  <w:shd w:val="clear" w:color="auto" w:fill="auto"/>
                  <w:noWrap w:val="0"/>
                  <w:vAlign w:val="center"/>
                </w:tcPr>
                <w:p w14:paraId="735CD383">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废液压油</w:t>
                  </w:r>
                </w:p>
              </w:tc>
              <w:tc>
                <w:tcPr>
                  <w:tcW w:w="268" w:type="pct"/>
                  <w:vMerge w:val="continue"/>
                  <w:tcBorders>
                    <w:tl2br w:val="nil"/>
                    <w:tr2bl w:val="nil"/>
                  </w:tcBorders>
                  <w:noWrap w:val="0"/>
                  <w:vAlign w:val="center"/>
                </w:tcPr>
                <w:p w14:paraId="6352B401">
                  <w:pPr>
                    <w:ind w:right="-76" w:rightChars="-36"/>
                    <w:rPr>
                      <w:rFonts w:hint="default" w:ascii="Times New Roman" w:hAnsi="Times New Roman" w:eastAsia="仿宋" w:cs="Times New Roman"/>
                      <w:color w:val="auto"/>
                      <w:sz w:val="21"/>
                      <w:szCs w:val="21"/>
                      <w:highlight w:val="none"/>
                    </w:rPr>
                  </w:pPr>
                </w:p>
              </w:tc>
              <w:tc>
                <w:tcPr>
                  <w:tcW w:w="621" w:type="pct"/>
                  <w:tcBorders>
                    <w:tl2br w:val="nil"/>
                    <w:tr2bl w:val="nil"/>
                  </w:tcBorders>
                  <w:shd w:val="clear" w:color="auto" w:fill="auto"/>
                  <w:noWrap w:val="0"/>
                  <w:vAlign w:val="center"/>
                </w:tcPr>
                <w:p w14:paraId="20B5EAEC">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设备维护</w:t>
                  </w:r>
                </w:p>
              </w:tc>
              <w:tc>
                <w:tcPr>
                  <w:tcW w:w="268" w:type="pct"/>
                  <w:tcBorders>
                    <w:tl2br w:val="nil"/>
                    <w:tr2bl w:val="nil"/>
                  </w:tcBorders>
                  <w:shd w:val="clear" w:color="auto" w:fill="auto"/>
                  <w:noWrap w:val="0"/>
                  <w:vAlign w:val="center"/>
                </w:tcPr>
                <w:p w14:paraId="3ECF2A27">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液态</w:t>
                  </w:r>
                </w:p>
              </w:tc>
              <w:tc>
                <w:tcPr>
                  <w:tcW w:w="703" w:type="pct"/>
                  <w:tcBorders>
                    <w:tl2br w:val="nil"/>
                    <w:tr2bl w:val="nil"/>
                  </w:tcBorders>
                  <w:shd w:val="clear" w:color="auto" w:fill="auto"/>
                  <w:noWrap w:val="0"/>
                  <w:vAlign w:val="center"/>
                </w:tcPr>
                <w:p w14:paraId="203DF7E0">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 w:val="21"/>
                      <w:szCs w:val="21"/>
                      <w:highlight w:val="none"/>
                      <w:lang w:val="en-US" w:eastAsia="zh-CN"/>
                    </w:rPr>
                    <w:t>液压油</w:t>
                  </w:r>
                </w:p>
              </w:tc>
              <w:tc>
                <w:tcPr>
                  <w:tcW w:w="440" w:type="pct"/>
                  <w:tcBorders>
                    <w:tl2br w:val="nil"/>
                    <w:tr2bl w:val="nil"/>
                  </w:tcBorders>
                  <w:noWrap w:val="0"/>
                  <w:vAlign w:val="center"/>
                </w:tcPr>
                <w:p w14:paraId="39E9EBC4">
                  <w:pPr>
                    <w:spacing w:line="30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T，I</w:t>
                  </w:r>
                </w:p>
              </w:tc>
              <w:tc>
                <w:tcPr>
                  <w:tcW w:w="546" w:type="pct"/>
                  <w:tcBorders>
                    <w:tl2br w:val="nil"/>
                    <w:tr2bl w:val="nil"/>
                  </w:tcBorders>
                  <w:shd w:val="clear" w:color="auto" w:fill="auto"/>
                  <w:noWrap w:val="0"/>
                  <w:vAlign w:val="center"/>
                </w:tcPr>
                <w:p w14:paraId="6D832100">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HW08</w:t>
                  </w:r>
                </w:p>
              </w:tc>
              <w:tc>
                <w:tcPr>
                  <w:tcW w:w="786" w:type="pct"/>
                  <w:tcBorders>
                    <w:tl2br w:val="nil"/>
                    <w:tr2bl w:val="nil"/>
                  </w:tcBorders>
                  <w:shd w:val="clear" w:color="auto" w:fill="auto"/>
                  <w:noWrap w:val="0"/>
                  <w:vAlign w:val="center"/>
                </w:tcPr>
                <w:p w14:paraId="5591DEE2">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900-2</w:t>
                  </w:r>
                  <w:r>
                    <w:rPr>
                      <w:rFonts w:hint="eastAsia" w:eastAsia="仿宋" w:cs="Times New Roman"/>
                      <w:color w:val="auto"/>
                      <w:sz w:val="21"/>
                      <w:szCs w:val="21"/>
                      <w:highlight w:val="none"/>
                      <w:lang w:val="en-US" w:eastAsia="zh-CN"/>
                    </w:rPr>
                    <w:t>18</w:t>
                  </w:r>
                  <w:r>
                    <w:rPr>
                      <w:rFonts w:hint="default" w:ascii="Times New Roman" w:hAnsi="Times New Roman" w:eastAsia="仿宋" w:cs="Times New Roman"/>
                      <w:color w:val="auto"/>
                      <w:sz w:val="21"/>
                      <w:szCs w:val="21"/>
                      <w:highlight w:val="none"/>
                      <w:lang w:val="en-US" w:eastAsia="zh-CN"/>
                    </w:rPr>
                    <w:t>-08</w:t>
                  </w:r>
                </w:p>
              </w:tc>
              <w:tc>
                <w:tcPr>
                  <w:tcW w:w="593" w:type="pct"/>
                  <w:tcBorders>
                    <w:tl2br w:val="nil"/>
                    <w:tr2bl w:val="nil"/>
                  </w:tcBorders>
                  <w:shd w:val="clear" w:color="auto" w:fill="auto"/>
                  <w:noWrap w:val="0"/>
                  <w:vAlign w:val="center"/>
                </w:tcPr>
                <w:p w14:paraId="6D62B6EA">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0.</w:t>
                  </w:r>
                  <w:r>
                    <w:rPr>
                      <w:rFonts w:hint="eastAsia" w:eastAsia="仿宋" w:cs="Times New Roman"/>
                      <w:color w:val="auto"/>
                      <w:sz w:val="21"/>
                      <w:szCs w:val="21"/>
                      <w:highlight w:val="none"/>
                      <w:lang w:val="en-US" w:eastAsia="zh-CN"/>
                    </w:rPr>
                    <w:t>136</w:t>
                  </w:r>
                </w:p>
              </w:tc>
            </w:tr>
            <w:tr w14:paraId="3210FB4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68" w:type="pct"/>
                  <w:tcBorders>
                    <w:tl2br w:val="nil"/>
                    <w:tr2bl w:val="nil"/>
                  </w:tcBorders>
                  <w:noWrap w:val="0"/>
                  <w:vAlign w:val="center"/>
                </w:tcPr>
                <w:p w14:paraId="37F91D30">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1</w:t>
                  </w:r>
                  <w:r>
                    <w:rPr>
                      <w:rFonts w:hint="eastAsia" w:eastAsia="仿宋" w:cs="Times New Roman"/>
                      <w:color w:val="auto"/>
                      <w:sz w:val="21"/>
                      <w:szCs w:val="21"/>
                      <w:highlight w:val="none"/>
                      <w:lang w:val="en-US" w:eastAsia="zh-CN"/>
                    </w:rPr>
                    <w:t>1</w:t>
                  </w:r>
                </w:p>
              </w:tc>
              <w:tc>
                <w:tcPr>
                  <w:tcW w:w="502" w:type="pct"/>
                  <w:tcBorders>
                    <w:tl2br w:val="nil"/>
                    <w:tr2bl w:val="nil"/>
                  </w:tcBorders>
                  <w:shd w:val="clear" w:color="auto" w:fill="auto"/>
                  <w:noWrap w:val="0"/>
                  <w:vAlign w:val="center"/>
                </w:tcPr>
                <w:p w14:paraId="58FE43AD">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w:t>
                  </w:r>
                  <w:r>
                    <w:rPr>
                      <w:rFonts w:hint="eastAsia" w:ascii="Times New Roman" w:hAnsi="Times New Roman" w:eastAsia="仿宋" w:cs="Times New Roman"/>
                      <w:color w:val="auto"/>
                      <w:sz w:val="21"/>
                      <w:szCs w:val="21"/>
                      <w:highlight w:val="none"/>
                      <w:lang w:val="en-US" w:eastAsia="zh-CN"/>
                    </w:rPr>
                    <w:t>过滤网</w:t>
                  </w:r>
                </w:p>
              </w:tc>
              <w:tc>
                <w:tcPr>
                  <w:tcW w:w="268" w:type="pct"/>
                  <w:vMerge w:val="continue"/>
                  <w:tcBorders>
                    <w:tl2br w:val="nil"/>
                    <w:tr2bl w:val="nil"/>
                  </w:tcBorders>
                  <w:noWrap w:val="0"/>
                  <w:vAlign w:val="center"/>
                </w:tcPr>
                <w:p w14:paraId="45399BF5">
                  <w:pPr>
                    <w:ind w:right="-76" w:rightChars="-36"/>
                    <w:rPr>
                      <w:rFonts w:hint="default" w:ascii="Times New Roman" w:hAnsi="Times New Roman" w:eastAsia="仿宋" w:cs="Times New Roman"/>
                      <w:color w:val="auto"/>
                      <w:sz w:val="21"/>
                      <w:szCs w:val="21"/>
                      <w:highlight w:val="none"/>
                    </w:rPr>
                  </w:pPr>
                </w:p>
              </w:tc>
              <w:tc>
                <w:tcPr>
                  <w:tcW w:w="621" w:type="pct"/>
                  <w:tcBorders>
                    <w:tl2br w:val="nil"/>
                    <w:tr2bl w:val="nil"/>
                  </w:tcBorders>
                  <w:shd w:val="clear" w:color="auto" w:fill="auto"/>
                  <w:noWrap w:val="0"/>
                  <w:vAlign w:val="center"/>
                </w:tcPr>
                <w:p w14:paraId="7405ED7E">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机加工</w:t>
                  </w:r>
                </w:p>
              </w:tc>
              <w:tc>
                <w:tcPr>
                  <w:tcW w:w="268" w:type="pct"/>
                  <w:tcBorders>
                    <w:tl2br w:val="nil"/>
                    <w:tr2bl w:val="nil"/>
                  </w:tcBorders>
                  <w:shd w:val="clear" w:color="auto" w:fill="auto"/>
                  <w:noWrap w:val="0"/>
                  <w:vAlign w:val="center"/>
                </w:tcPr>
                <w:p w14:paraId="50F2BAF7">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固态</w:t>
                  </w:r>
                </w:p>
              </w:tc>
              <w:tc>
                <w:tcPr>
                  <w:tcW w:w="703" w:type="pct"/>
                  <w:tcBorders>
                    <w:tl2br w:val="nil"/>
                    <w:tr2bl w:val="nil"/>
                  </w:tcBorders>
                  <w:shd w:val="clear" w:color="auto" w:fill="auto"/>
                  <w:noWrap w:val="0"/>
                  <w:vAlign w:val="center"/>
                </w:tcPr>
                <w:p w14:paraId="55FBFD6A">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滤网、切削液</w:t>
                  </w:r>
                </w:p>
              </w:tc>
              <w:tc>
                <w:tcPr>
                  <w:tcW w:w="440" w:type="pct"/>
                  <w:tcBorders>
                    <w:tl2br w:val="nil"/>
                    <w:tr2bl w:val="nil"/>
                  </w:tcBorders>
                  <w:noWrap w:val="0"/>
                  <w:vAlign w:val="center"/>
                </w:tcPr>
                <w:p w14:paraId="200A33AF">
                  <w:pPr>
                    <w:spacing w:line="30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T/In</w:t>
                  </w:r>
                </w:p>
              </w:tc>
              <w:tc>
                <w:tcPr>
                  <w:tcW w:w="546" w:type="pct"/>
                  <w:tcBorders>
                    <w:tl2br w:val="nil"/>
                    <w:tr2bl w:val="nil"/>
                  </w:tcBorders>
                  <w:shd w:val="clear" w:color="auto" w:fill="auto"/>
                  <w:noWrap w:val="0"/>
                  <w:vAlign w:val="center"/>
                </w:tcPr>
                <w:p w14:paraId="371F954B">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HW49</w:t>
                  </w:r>
                </w:p>
              </w:tc>
              <w:tc>
                <w:tcPr>
                  <w:tcW w:w="786" w:type="pct"/>
                  <w:tcBorders>
                    <w:tl2br w:val="nil"/>
                    <w:tr2bl w:val="nil"/>
                  </w:tcBorders>
                  <w:shd w:val="clear" w:color="auto" w:fill="auto"/>
                  <w:noWrap w:val="0"/>
                  <w:vAlign w:val="center"/>
                </w:tcPr>
                <w:p w14:paraId="0167DA86">
                  <w:pPr>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900-041-49</w:t>
                  </w:r>
                </w:p>
              </w:tc>
              <w:tc>
                <w:tcPr>
                  <w:tcW w:w="593" w:type="pct"/>
                  <w:tcBorders>
                    <w:tl2br w:val="nil"/>
                    <w:tr2bl w:val="nil"/>
                  </w:tcBorders>
                  <w:shd w:val="clear" w:color="auto" w:fill="auto"/>
                  <w:noWrap w:val="0"/>
                  <w:vAlign w:val="center"/>
                </w:tcPr>
                <w:p w14:paraId="101867E3">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1.5</w:t>
                  </w:r>
                </w:p>
              </w:tc>
            </w:tr>
            <w:tr w14:paraId="5353C21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68" w:type="pct"/>
                  <w:tcBorders>
                    <w:tl2br w:val="nil"/>
                    <w:tr2bl w:val="nil"/>
                  </w:tcBorders>
                  <w:noWrap w:val="0"/>
                  <w:vAlign w:val="center"/>
                </w:tcPr>
                <w:p w14:paraId="37DBC245">
                  <w:pPr>
                    <w:spacing w:line="240" w:lineRule="exact"/>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12</w:t>
                  </w:r>
                </w:p>
              </w:tc>
              <w:tc>
                <w:tcPr>
                  <w:tcW w:w="502" w:type="pct"/>
                  <w:tcBorders>
                    <w:tl2br w:val="nil"/>
                    <w:tr2bl w:val="nil"/>
                  </w:tcBorders>
                  <w:noWrap w:val="0"/>
                  <w:vAlign w:val="center"/>
                </w:tcPr>
                <w:p w14:paraId="511332B9">
                  <w:pPr>
                    <w:adjustRightInd w:val="0"/>
                    <w:snapToGrid w:val="0"/>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生活垃圾</w:t>
                  </w:r>
                </w:p>
              </w:tc>
              <w:tc>
                <w:tcPr>
                  <w:tcW w:w="268" w:type="pct"/>
                  <w:tcBorders>
                    <w:tl2br w:val="nil"/>
                    <w:tr2bl w:val="nil"/>
                  </w:tcBorders>
                  <w:noWrap w:val="0"/>
                  <w:vAlign w:val="center"/>
                </w:tcPr>
                <w:p w14:paraId="3B699437">
                  <w:pPr>
                    <w:ind w:left="-53" w:leftChars="-25" w:right="-76" w:rightChars="-36"/>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w:t>
                  </w:r>
                </w:p>
              </w:tc>
              <w:tc>
                <w:tcPr>
                  <w:tcW w:w="621" w:type="pct"/>
                  <w:tcBorders>
                    <w:tl2br w:val="nil"/>
                    <w:tr2bl w:val="nil"/>
                  </w:tcBorders>
                  <w:shd w:val="clear" w:color="auto" w:fill="auto"/>
                  <w:noWrap w:val="0"/>
                  <w:vAlign w:val="center"/>
                </w:tcPr>
                <w:p w14:paraId="46B2D486">
                  <w:pPr>
                    <w:pStyle w:val="39"/>
                    <w:adjustRightInd w:val="0"/>
                    <w:snapToGrid w:val="0"/>
                    <w:jc w:val="center"/>
                    <w:rPr>
                      <w:rFonts w:hint="default" w:ascii="Times New Roman" w:hAnsi="Times New Roman" w:eastAsia="仿宋" w:cs="Times New Roman"/>
                      <w:color w:val="auto"/>
                      <w:kern w:val="2"/>
                      <w:sz w:val="21"/>
                      <w:szCs w:val="21"/>
                      <w:highlight w:val="none"/>
                      <w:lang w:val="zh-CN" w:eastAsia="zh-CN" w:bidi="ar-SA"/>
                    </w:rPr>
                  </w:pPr>
                  <w:r>
                    <w:rPr>
                      <w:rFonts w:hint="default" w:ascii="Times New Roman" w:hAnsi="Times New Roman" w:eastAsia="仿宋" w:cs="Times New Roman"/>
                      <w:color w:val="auto"/>
                      <w:sz w:val="21"/>
                      <w:szCs w:val="21"/>
                      <w:highlight w:val="none"/>
                      <w:lang w:val="en-US" w:eastAsia="zh-CN"/>
                    </w:rPr>
                    <w:t>员工生活</w:t>
                  </w:r>
                </w:p>
              </w:tc>
              <w:tc>
                <w:tcPr>
                  <w:tcW w:w="268" w:type="pct"/>
                  <w:tcBorders>
                    <w:tl2br w:val="nil"/>
                    <w:tr2bl w:val="nil"/>
                  </w:tcBorders>
                  <w:shd w:val="clear" w:color="auto" w:fill="auto"/>
                  <w:noWrap w:val="0"/>
                  <w:vAlign w:val="center"/>
                </w:tcPr>
                <w:p w14:paraId="2B28D030">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固态</w:t>
                  </w:r>
                </w:p>
              </w:tc>
              <w:tc>
                <w:tcPr>
                  <w:tcW w:w="703" w:type="pct"/>
                  <w:tcBorders>
                    <w:tl2br w:val="nil"/>
                    <w:tr2bl w:val="nil"/>
                  </w:tcBorders>
                  <w:shd w:val="clear" w:color="auto" w:fill="auto"/>
                  <w:noWrap w:val="0"/>
                  <w:vAlign w:val="center"/>
                </w:tcPr>
                <w:p w14:paraId="09481689">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 w:val="21"/>
                      <w:szCs w:val="21"/>
                      <w:highlight w:val="none"/>
                      <w:lang w:val="en-US" w:eastAsia="zh-CN"/>
                    </w:rPr>
                    <w:t>果皮纸屑</w:t>
                  </w:r>
                </w:p>
              </w:tc>
              <w:tc>
                <w:tcPr>
                  <w:tcW w:w="440" w:type="pct"/>
                  <w:tcBorders>
                    <w:tl2br w:val="nil"/>
                    <w:tr2bl w:val="nil"/>
                  </w:tcBorders>
                  <w:noWrap w:val="0"/>
                  <w:vAlign w:val="center"/>
                </w:tcPr>
                <w:p w14:paraId="779A15F2">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w:t>
                  </w:r>
                </w:p>
              </w:tc>
              <w:tc>
                <w:tcPr>
                  <w:tcW w:w="546" w:type="pct"/>
                  <w:tcBorders>
                    <w:tl2br w:val="nil"/>
                    <w:tr2bl w:val="nil"/>
                  </w:tcBorders>
                  <w:noWrap w:val="0"/>
                  <w:vAlign w:val="center"/>
                </w:tcPr>
                <w:p w14:paraId="3A9D0FB7">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SW64</w:t>
                  </w:r>
                </w:p>
              </w:tc>
              <w:tc>
                <w:tcPr>
                  <w:tcW w:w="786" w:type="pct"/>
                  <w:tcBorders>
                    <w:tl2br w:val="nil"/>
                    <w:tr2bl w:val="nil"/>
                  </w:tcBorders>
                  <w:noWrap w:val="0"/>
                  <w:vAlign w:val="center"/>
                </w:tcPr>
                <w:p w14:paraId="5B922D54">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900-099-S64</w:t>
                  </w:r>
                </w:p>
              </w:tc>
              <w:tc>
                <w:tcPr>
                  <w:tcW w:w="593" w:type="pct"/>
                  <w:tcBorders>
                    <w:tl2br w:val="nil"/>
                    <w:tr2bl w:val="nil"/>
                  </w:tcBorders>
                  <w:shd w:val="clear" w:color="auto" w:fill="auto"/>
                  <w:noWrap w:val="0"/>
                  <w:vAlign w:val="center"/>
                </w:tcPr>
                <w:p w14:paraId="3F5DB8E7">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3.75</w:t>
                  </w:r>
                </w:p>
              </w:tc>
            </w:tr>
          </w:tbl>
          <w:p w14:paraId="3329468C">
            <w:pPr>
              <w:adjustRightInd w:val="0"/>
              <w:snapToGrid w:val="0"/>
              <w:spacing w:line="360" w:lineRule="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4.3  固体废物影响分析</w:t>
            </w:r>
          </w:p>
          <w:p w14:paraId="1EB3A9AA">
            <w:pPr>
              <w:adjustRightInd w:val="0"/>
              <w:snapToGrid w:val="0"/>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固废处置方式</w:t>
            </w:r>
          </w:p>
          <w:p w14:paraId="112A80E6">
            <w:pPr>
              <w:adjustRightInd w:val="0"/>
              <w:snapToGrid w:val="0"/>
              <w:jc w:val="center"/>
              <w:rPr>
                <w:b/>
                <w:bCs/>
                <w:color w:val="auto"/>
                <w:sz w:val="24"/>
                <w:szCs w:val="24"/>
                <w:highlight w:val="none"/>
              </w:rPr>
            </w:pPr>
            <w:r>
              <w:rPr>
                <w:b/>
                <w:bCs/>
                <w:color w:val="auto"/>
                <w:sz w:val="24"/>
                <w:szCs w:val="24"/>
                <w:highlight w:val="none"/>
              </w:rPr>
              <w:t>表4-</w:t>
            </w:r>
            <w:r>
              <w:rPr>
                <w:rFonts w:hint="eastAsia"/>
                <w:b/>
                <w:bCs/>
                <w:color w:val="auto"/>
                <w:sz w:val="24"/>
                <w:szCs w:val="24"/>
                <w:highlight w:val="none"/>
                <w:lang w:val="en-US" w:eastAsia="zh-CN"/>
              </w:rPr>
              <w:t>21</w:t>
            </w:r>
            <w:r>
              <w:rPr>
                <w:b/>
                <w:bCs/>
                <w:color w:val="auto"/>
                <w:sz w:val="24"/>
                <w:szCs w:val="24"/>
                <w:highlight w:val="none"/>
              </w:rPr>
              <w:t xml:space="preserve">  本项目固体废物利用处置方式</w:t>
            </w:r>
          </w:p>
          <w:tbl>
            <w:tblPr>
              <w:tblStyle w:val="22"/>
              <w:tblW w:w="4998"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359"/>
              <w:gridCol w:w="631"/>
              <w:gridCol w:w="1212"/>
              <w:gridCol w:w="691"/>
              <w:gridCol w:w="1382"/>
              <w:gridCol w:w="1028"/>
              <w:gridCol w:w="987"/>
            </w:tblGrid>
            <w:tr w14:paraId="0CB0C7D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409" w:type="pct"/>
                  <w:tcBorders>
                    <w:tl2br w:val="nil"/>
                    <w:tr2bl w:val="nil"/>
                  </w:tcBorders>
                  <w:noWrap w:val="0"/>
                  <w:vAlign w:val="center"/>
                </w:tcPr>
                <w:p w14:paraId="112CF4E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序号</w:t>
                  </w:r>
                </w:p>
              </w:tc>
              <w:tc>
                <w:tcPr>
                  <w:tcW w:w="855" w:type="pct"/>
                  <w:tcBorders>
                    <w:tl2br w:val="nil"/>
                    <w:tr2bl w:val="nil"/>
                  </w:tcBorders>
                  <w:noWrap w:val="0"/>
                  <w:vAlign w:val="center"/>
                </w:tcPr>
                <w:p w14:paraId="2BD28FE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固废名称</w:t>
                  </w:r>
                </w:p>
              </w:tc>
              <w:tc>
                <w:tcPr>
                  <w:tcW w:w="397" w:type="pct"/>
                  <w:tcBorders>
                    <w:tl2br w:val="nil"/>
                    <w:tr2bl w:val="nil"/>
                  </w:tcBorders>
                  <w:noWrap w:val="0"/>
                  <w:vAlign w:val="center"/>
                </w:tcPr>
                <w:p w14:paraId="1E7F22E5">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属性</w:t>
                  </w:r>
                </w:p>
              </w:tc>
              <w:tc>
                <w:tcPr>
                  <w:tcW w:w="763" w:type="pct"/>
                  <w:tcBorders>
                    <w:tl2br w:val="nil"/>
                    <w:tr2bl w:val="nil"/>
                  </w:tcBorders>
                  <w:noWrap w:val="0"/>
                  <w:vAlign w:val="center"/>
                </w:tcPr>
                <w:p w14:paraId="2FFC596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产生工序</w:t>
                  </w:r>
                </w:p>
              </w:tc>
              <w:tc>
                <w:tcPr>
                  <w:tcW w:w="435" w:type="pct"/>
                  <w:tcBorders>
                    <w:tl2br w:val="nil"/>
                    <w:tr2bl w:val="nil"/>
                  </w:tcBorders>
                  <w:noWrap w:val="0"/>
                  <w:vAlign w:val="center"/>
                </w:tcPr>
                <w:p w14:paraId="44096FF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形态</w:t>
                  </w:r>
                </w:p>
              </w:tc>
              <w:tc>
                <w:tcPr>
                  <w:tcW w:w="870" w:type="pct"/>
                  <w:tcBorders>
                    <w:tl2br w:val="nil"/>
                    <w:tr2bl w:val="nil"/>
                  </w:tcBorders>
                  <w:noWrap w:val="0"/>
                  <w:vAlign w:val="center"/>
                </w:tcPr>
                <w:p w14:paraId="79CCE5A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主要成分</w:t>
                  </w:r>
                </w:p>
              </w:tc>
              <w:tc>
                <w:tcPr>
                  <w:tcW w:w="647" w:type="pct"/>
                  <w:tcBorders>
                    <w:tl2br w:val="nil"/>
                    <w:tr2bl w:val="nil"/>
                  </w:tcBorders>
                  <w:noWrap w:val="0"/>
                  <w:vAlign w:val="center"/>
                </w:tcPr>
                <w:p w14:paraId="5806FF5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估算产生量t/a</w:t>
                  </w:r>
                </w:p>
              </w:tc>
              <w:tc>
                <w:tcPr>
                  <w:tcW w:w="621" w:type="pct"/>
                  <w:tcBorders>
                    <w:tl2br w:val="nil"/>
                    <w:tr2bl w:val="nil"/>
                  </w:tcBorders>
                  <w:noWrap w:val="0"/>
                  <w:vAlign w:val="center"/>
                </w:tcPr>
                <w:p w14:paraId="5F558AE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bCs/>
                      <w:color w:val="auto"/>
                      <w:sz w:val="21"/>
                      <w:szCs w:val="21"/>
                      <w:highlight w:val="none"/>
                      <w:lang w:eastAsia="zh-CN"/>
                    </w:rPr>
                  </w:pPr>
                  <w:r>
                    <w:rPr>
                      <w:rFonts w:hint="default" w:ascii="Times New Roman" w:hAnsi="Times New Roman" w:eastAsia="仿宋" w:cs="Times New Roman"/>
                      <w:b/>
                      <w:bCs/>
                      <w:color w:val="auto"/>
                      <w:sz w:val="21"/>
                      <w:szCs w:val="21"/>
                      <w:highlight w:val="none"/>
                      <w:lang w:val="en-US" w:eastAsia="zh-CN"/>
                    </w:rPr>
                    <w:t>利用处置方式</w:t>
                  </w:r>
                </w:p>
              </w:tc>
            </w:tr>
            <w:tr w14:paraId="7671B62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09" w:type="pct"/>
                  <w:tcBorders>
                    <w:tl2br w:val="nil"/>
                    <w:tr2bl w:val="nil"/>
                  </w:tcBorders>
                  <w:shd w:val="clear" w:color="auto" w:fill="auto"/>
                  <w:noWrap w:val="0"/>
                  <w:vAlign w:val="center"/>
                </w:tcPr>
                <w:p w14:paraId="605580E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1</w:t>
                  </w:r>
                </w:p>
              </w:tc>
              <w:tc>
                <w:tcPr>
                  <w:tcW w:w="855" w:type="pct"/>
                  <w:tcBorders>
                    <w:tl2br w:val="nil"/>
                    <w:tr2bl w:val="nil"/>
                  </w:tcBorders>
                  <w:shd w:val="clear" w:color="auto" w:fill="auto"/>
                  <w:noWrap w:val="0"/>
                  <w:vAlign w:val="center"/>
                </w:tcPr>
                <w:p w14:paraId="5BCB3FEB">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不合格品</w:t>
                  </w:r>
                </w:p>
              </w:tc>
              <w:tc>
                <w:tcPr>
                  <w:tcW w:w="397" w:type="pct"/>
                  <w:vMerge w:val="restart"/>
                  <w:tcBorders>
                    <w:tl2br w:val="nil"/>
                    <w:tr2bl w:val="nil"/>
                  </w:tcBorders>
                  <w:noWrap w:val="0"/>
                  <w:vAlign w:val="center"/>
                </w:tcPr>
                <w:p w14:paraId="1FEE8631">
                  <w:pPr>
                    <w:keepNext w:val="0"/>
                    <w:keepLines w:val="0"/>
                    <w:pageBreakBefore w:val="0"/>
                    <w:widowControl w:val="0"/>
                    <w:kinsoku/>
                    <w:wordWrap/>
                    <w:overflowPunct/>
                    <w:topLinePunct w:val="0"/>
                    <w:autoSpaceDE/>
                    <w:autoSpaceDN/>
                    <w:bidi w:val="0"/>
                    <w:spacing w:line="240" w:lineRule="auto"/>
                    <w:ind w:right="-76" w:rightChars="-36"/>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一般固废</w:t>
                  </w:r>
                </w:p>
              </w:tc>
              <w:tc>
                <w:tcPr>
                  <w:tcW w:w="763" w:type="pct"/>
                  <w:tcBorders>
                    <w:tl2br w:val="nil"/>
                    <w:tr2bl w:val="nil"/>
                  </w:tcBorders>
                  <w:shd w:val="clear" w:color="auto" w:fill="auto"/>
                  <w:noWrap w:val="0"/>
                  <w:vAlign w:val="center"/>
                </w:tcPr>
                <w:p w14:paraId="0CB24E1B">
                  <w:pPr>
                    <w:pStyle w:val="39"/>
                    <w:adjustRightInd w:val="0"/>
                    <w:snapToGrid w:val="0"/>
                    <w:jc w:val="center"/>
                    <w:rPr>
                      <w:rFonts w:hint="default" w:ascii="Times New Roman" w:hAnsi="Times New Roman" w:eastAsia="仿宋" w:cs="Times New Roman"/>
                      <w:color w:val="auto"/>
                      <w:kern w:val="2"/>
                      <w:sz w:val="21"/>
                      <w:szCs w:val="21"/>
                      <w:highlight w:val="none"/>
                      <w:lang w:val="zh-CN" w:eastAsia="zh-CN" w:bidi="ar-SA"/>
                    </w:rPr>
                  </w:pPr>
                  <w:r>
                    <w:rPr>
                      <w:rFonts w:hint="eastAsia" w:ascii="Times New Roman" w:hAnsi="Times New Roman" w:eastAsia="仿宋" w:cs="Times New Roman"/>
                      <w:color w:val="auto"/>
                      <w:kern w:val="2"/>
                      <w:sz w:val="21"/>
                      <w:szCs w:val="21"/>
                      <w:highlight w:val="none"/>
                      <w:lang w:val="en-US" w:eastAsia="zh-CN" w:bidi="ar-SA"/>
                    </w:rPr>
                    <w:t>来料检验、过程检测</w:t>
                  </w:r>
                </w:p>
              </w:tc>
              <w:tc>
                <w:tcPr>
                  <w:tcW w:w="435" w:type="pct"/>
                  <w:tcBorders>
                    <w:tl2br w:val="nil"/>
                    <w:tr2bl w:val="nil"/>
                  </w:tcBorders>
                  <w:shd w:val="clear" w:color="auto" w:fill="auto"/>
                  <w:noWrap w:val="0"/>
                  <w:vAlign w:val="center"/>
                </w:tcPr>
                <w:p w14:paraId="55776E56">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固态</w:t>
                  </w:r>
                </w:p>
              </w:tc>
              <w:tc>
                <w:tcPr>
                  <w:tcW w:w="870" w:type="pct"/>
                  <w:tcBorders>
                    <w:tl2br w:val="nil"/>
                    <w:tr2bl w:val="nil"/>
                  </w:tcBorders>
                  <w:shd w:val="clear" w:color="auto" w:fill="auto"/>
                  <w:noWrap w:val="0"/>
                  <w:vAlign w:val="center"/>
                </w:tcPr>
                <w:p w14:paraId="4AB3AE81">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铝</w:t>
                  </w:r>
                </w:p>
              </w:tc>
              <w:tc>
                <w:tcPr>
                  <w:tcW w:w="647" w:type="pct"/>
                  <w:tcBorders>
                    <w:tl2br w:val="nil"/>
                    <w:tr2bl w:val="nil"/>
                  </w:tcBorders>
                  <w:shd w:val="clear" w:color="auto" w:fill="auto"/>
                  <w:noWrap w:val="0"/>
                  <w:vAlign w:val="center"/>
                </w:tcPr>
                <w:p w14:paraId="29C4056A">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4.8</w:t>
                  </w:r>
                </w:p>
              </w:tc>
              <w:tc>
                <w:tcPr>
                  <w:tcW w:w="621" w:type="pct"/>
                  <w:vMerge w:val="restart"/>
                  <w:tcBorders>
                    <w:tl2br w:val="nil"/>
                    <w:tr2bl w:val="nil"/>
                  </w:tcBorders>
                  <w:noWrap w:val="0"/>
                  <w:vAlign w:val="center"/>
                </w:tcPr>
                <w:p w14:paraId="6CEF2F4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val="0"/>
                      <w:bCs w:val="0"/>
                      <w:color w:val="auto"/>
                      <w:sz w:val="21"/>
                      <w:szCs w:val="21"/>
                      <w:highlight w:val="none"/>
                      <w:lang w:val="en-US" w:eastAsia="zh-CN"/>
                    </w:rPr>
                  </w:pPr>
                  <w:r>
                    <w:rPr>
                      <w:rFonts w:hint="default" w:ascii="Times New Roman" w:hAnsi="Times New Roman" w:eastAsia="仿宋" w:cs="Times New Roman"/>
                      <w:b w:val="0"/>
                      <w:bCs w:val="0"/>
                      <w:color w:val="auto"/>
                      <w:sz w:val="21"/>
                      <w:szCs w:val="21"/>
                      <w:highlight w:val="none"/>
                      <w:lang w:val="en-US" w:eastAsia="zh-CN"/>
                    </w:rPr>
                    <w:t>分类收集后外售</w:t>
                  </w:r>
                </w:p>
              </w:tc>
            </w:tr>
            <w:tr w14:paraId="1E4E6F1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409" w:type="pct"/>
                  <w:tcBorders>
                    <w:tl2br w:val="nil"/>
                    <w:tr2bl w:val="nil"/>
                  </w:tcBorders>
                  <w:shd w:val="clear" w:color="auto" w:fill="auto"/>
                  <w:noWrap w:val="0"/>
                  <w:vAlign w:val="center"/>
                </w:tcPr>
                <w:p w14:paraId="7BB03CD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2</w:t>
                  </w:r>
                </w:p>
              </w:tc>
              <w:tc>
                <w:tcPr>
                  <w:tcW w:w="855" w:type="pct"/>
                  <w:tcBorders>
                    <w:tl2br w:val="nil"/>
                    <w:tr2bl w:val="nil"/>
                  </w:tcBorders>
                  <w:shd w:val="clear" w:color="auto" w:fill="auto"/>
                  <w:noWrap w:val="0"/>
                  <w:vAlign w:val="center"/>
                </w:tcPr>
                <w:p w14:paraId="3FCAEAAE">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 w:val="21"/>
                      <w:szCs w:val="21"/>
                      <w:highlight w:val="none"/>
                      <w:lang w:val="en-US" w:eastAsia="zh-CN"/>
                    </w:rPr>
                    <w:t>废渣</w:t>
                  </w:r>
                </w:p>
              </w:tc>
              <w:tc>
                <w:tcPr>
                  <w:tcW w:w="397" w:type="pct"/>
                  <w:vMerge w:val="continue"/>
                  <w:tcBorders>
                    <w:tl2br w:val="nil"/>
                    <w:tr2bl w:val="nil"/>
                  </w:tcBorders>
                  <w:noWrap w:val="0"/>
                  <w:vAlign w:val="center"/>
                </w:tcPr>
                <w:p w14:paraId="2DB1F9BA">
                  <w:pPr>
                    <w:keepNext w:val="0"/>
                    <w:keepLines w:val="0"/>
                    <w:pageBreakBefore w:val="0"/>
                    <w:widowControl w:val="0"/>
                    <w:kinsoku/>
                    <w:wordWrap/>
                    <w:overflowPunct/>
                    <w:topLinePunct w:val="0"/>
                    <w:autoSpaceDE/>
                    <w:autoSpaceDN/>
                    <w:bidi w:val="0"/>
                    <w:spacing w:line="240" w:lineRule="auto"/>
                    <w:ind w:right="-76" w:rightChars="-36"/>
                    <w:jc w:val="center"/>
                    <w:textAlignment w:val="auto"/>
                    <w:rPr>
                      <w:rFonts w:hint="default" w:ascii="Times New Roman" w:hAnsi="Times New Roman" w:eastAsia="仿宋" w:cs="Times New Roman"/>
                      <w:color w:val="auto"/>
                      <w:sz w:val="21"/>
                      <w:szCs w:val="21"/>
                      <w:highlight w:val="none"/>
                    </w:rPr>
                  </w:pPr>
                </w:p>
              </w:tc>
              <w:tc>
                <w:tcPr>
                  <w:tcW w:w="763" w:type="pct"/>
                  <w:tcBorders>
                    <w:tl2br w:val="nil"/>
                    <w:tr2bl w:val="nil"/>
                  </w:tcBorders>
                  <w:shd w:val="clear" w:color="auto" w:fill="auto"/>
                  <w:noWrap w:val="0"/>
                  <w:vAlign w:val="center"/>
                </w:tcPr>
                <w:p w14:paraId="18629A39">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 w:val="21"/>
                      <w:szCs w:val="21"/>
                      <w:highlight w:val="none"/>
                      <w:lang w:val="en-US" w:eastAsia="zh-CN"/>
                    </w:rPr>
                    <w:t>湿式去毛刺</w:t>
                  </w:r>
                </w:p>
              </w:tc>
              <w:tc>
                <w:tcPr>
                  <w:tcW w:w="435" w:type="pct"/>
                  <w:tcBorders>
                    <w:tl2br w:val="nil"/>
                    <w:tr2bl w:val="nil"/>
                  </w:tcBorders>
                  <w:shd w:val="clear" w:color="auto" w:fill="auto"/>
                  <w:noWrap w:val="0"/>
                  <w:vAlign w:val="center"/>
                </w:tcPr>
                <w:p w14:paraId="09533DA5">
                  <w:pPr>
                    <w:spacing w:line="240" w:lineRule="auto"/>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固态</w:t>
                  </w:r>
                </w:p>
              </w:tc>
              <w:tc>
                <w:tcPr>
                  <w:tcW w:w="870" w:type="pct"/>
                  <w:tcBorders>
                    <w:tl2br w:val="nil"/>
                    <w:tr2bl w:val="nil"/>
                  </w:tcBorders>
                  <w:shd w:val="clear" w:color="auto" w:fill="auto"/>
                  <w:noWrap w:val="0"/>
                  <w:vAlign w:val="center"/>
                </w:tcPr>
                <w:p w14:paraId="0B34CF3F">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 w:val="21"/>
                      <w:szCs w:val="21"/>
                      <w:highlight w:val="none"/>
                      <w:lang w:val="en-US" w:eastAsia="zh-CN"/>
                    </w:rPr>
                    <w:t>铝、水</w:t>
                  </w:r>
                </w:p>
              </w:tc>
              <w:tc>
                <w:tcPr>
                  <w:tcW w:w="647" w:type="pct"/>
                  <w:tcBorders>
                    <w:tl2br w:val="nil"/>
                    <w:tr2bl w:val="nil"/>
                  </w:tcBorders>
                  <w:shd w:val="clear" w:color="auto" w:fill="auto"/>
                  <w:noWrap w:val="0"/>
                  <w:vAlign w:val="center"/>
                </w:tcPr>
                <w:p w14:paraId="65ECE523">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0.34</w:t>
                  </w:r>
                </w:p>
              </w:tc>
              <w:tc>
                <w:tcPr>
                  <w:tcW w:w="621" w:type="pct"/>
                  <w:vMerge w:val="continue"/>
                  <w:tcBorders>
                    <w:tl2br w:val="nil"/>
                    <w:tr2bl w:val="nil"/>
                  </w:tcBorders>
                  <w:noWrap w:val="0"/>
                  <w:vAlign w:val="center"/>
                </w:tcPr>
                <w:p w14:paraId="641C6CC5">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val="0"/>
                      <w:bCs w:val="0"/>
                      <w:color w:val="auto"/>
                      <w:sz w:val="21"/>
                      <w:szCs w:val="21"/>
                      <w:highlight w:val="none"/>
                    </w:rPr>
                  </w:pPr>
                </w:p>
              </w:tc>
            </w:tr>
            <w:tr w14:paraId="5677332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409" w:type="pct"/>
                  <w:tcBorders>
                    <w:tl2br w:val="nil"/>
                    <w:tr2bl w:val="nil"/>
                  </w:tcBorders>
                  <w:shd w:val="clear" w:color="auto" w:fill="auto"/>
                  <w:noWrap w:val="0"/>
                  <w:vAlign w:val="center"/>
                </w:tcPr>
                <w:p w14:paraId="3A75CCA1">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3</w:t>
                  </w:r>
                </w:p>
              </w:tc>
              <w:tc>
                <w:tcPr>
                  <w:tcW w:w="855" w:type="pct"/>
                  <w:tcBorders>
                    <w:tl2br w:val="nil"/>
                    <w:tr2bl w:val="nil"/>
                  </w:tcBorders>
                  <w:shd w:val="clear" w:color="auto" w:fill="auto"/>
                  <w:noWrap w:val="0"/>
                  <w:vAlign w:val="center"/>
                </w:tcPr>
                <w:p w14:paraId="711E36EE">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废包装材料</w:t>
                  </w:r>
                </w:p>
              </w:tc>
              <w:tc>
                <w:tcPr>
                  <w:tcW w:w="397" w:type="pct"/>
                  <w:vMerge w:val="continue"/>
                  <w:tcBorders>
                    <w:tl2br w:val="nil"/>
                    <w:tr2bl w:val="nil"/>
                  </w:tcBorders>
                  <w:noWrap w:val="0"/>
                  <w:vAlign w:val="center"/>
                </w:tcPr>
                <w:p w14:paraId="53DE23B7">
                  <w:pPr>
                    <w:keepNext w:val="0"/>
                    <w:keepLines w:val="0"/>
                    <w:pageBreakBefore w:val="0"/>
                    <w:widowControl w:val="0"/>
                    <w:kinsoku/>
                    <w:wordWrap/>
                    <w:overflowPunct/>
                    <w:topLinePunct w:val="0"/>
                    <w:autoSpaceDE/>
                    <w:autoSpaceDN/>
                    <w:bidi w:val="0"/>
                    <w:spacing w:line="240" w:lineRule="auto"/>
                    <w:ind w:right="-76" w:rightChars="-36"/>
                    <w:jc w:val="center"/>
                    <w:textAlignment w:val="auto"/>
                    <w:rPr>
                      <w:rFonts w:hint="default" w:ascii="Times New Roman" w:hAnsi="Times New Roman" w:eastAsia="仿宋" w:cs="Times New Roman"/>
                      <w:color w:val="auto"/>
                      <w:sz w:val="21"/>
                      <w:szCs w:val="21"/>
                      <w:highlight w:val="none"/>
                    </w:rPr>
                  </w:pPr>
                </w:p>
              </w:tc>
              <w:tc>
                <w:tcPr>
                  <w:tcW w:w="763" w:type="pct"/>
                  <w:tcBorders>
                    <w:tl2br w:val="nil"/>
                    <w:tr2bl w:val="nil"/>
                  </w:tcBorders>
                  <w:shd w:val="clear" w:color="auto" w:fill="auto"/>
                  <w:noWrap w:val="0"/>
                  <w:vAlign w:val="center"/>
                </w:tcPr>
                <w:p w14:paraId="513AE1DC">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拆包、装包</w:t>
                  </w:r>
                </w:p>
              </w:tc>
              <w:tc>
                <w:tcPr>
                  <w:tcW w:w="435" w:type="pct"/>
                  <w:tcBorders>
                    <w:tl2br w:val="nil"/>
                    <w:tr2bl w:val="nil"/>
                  </w:tcBorders>
                  <w:shd w:val="clear" w:color="auto" w:fill="auto"/>
                  <w:noWrap w:val="0"/>
                  <w:vAlign w:val="center"/>
                </w:tcPr>
                <w:p w14:paraId="5D3C6694">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固态</w:t>
                  </w:r>
                </w:p>
              </w:tc>
              <w:tc>
                <w:tcPr>
                  <w:tcW w:w="870" w:type="pct"/>
                  <w:tcBorders>
                    <w:tl2br w:val="nil"/>
                    <w:tr2bl w:val="nil"/>
                  </w:tcBorders>
                  <w:shd w:val="clear" w:color="auto" w:fill="auto"/>
                  <w:noWrap w:val="0"/>
                  <w:vAlign w:val="center"/>
                </w:tcPr>
                <w:p w14:paraId="77841757">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塑料、纸箱</w:t>
                  </w:r>
                </w:p>
              </w:tc>
              <w:tc>
                <w:tcPr>
                  <w:tcW w:w="647" w:type="pct"/>
                  <w:tcBorders>
                    <w:tl2br w:val="nil"/>
                    <w:tr2bl w:val="nil"/>
                  </w:tcBorders>
                  <w:shd w:val="clear" w:color="auto" w:fill="auto"/>
                  <w:noWrap w:val="0"/>
                  <w:vAlign w:val="center"/>
                </w:tcPr>
                <w:p w14:paraId="3AEA0D8C">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0.5</w:t>
                  </w:r>
                </w:p>
              </w:tc>
              <w:tc>
                <w:tcPr>
                  <w:tcW w:w="621" w:type="pct"/>
                  <w:vMerge w:val="continue"/>
                  <w:tcBorders>
                    <w:tl2br w:val="nil"/>
                    <w:tr2bl w:val="nil"/>
                  </w:tcBorders>
                  <w:noWrap w:val="0"/>
                  <w:vAlign w:val="center"/>
                </w:tcPr>
                <w:p w14:paraId="4A0A622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val="0"/>
                      <w:bCs w:val="0"/>
                      <w:color w:val="auto"/>
                      <w:sz w:val="21"/>
                      <w:szCs w:val="21"/>
                      <w:highlight w:val="none"/>
                    </w:rPr>
                  </w:pPr>
                </w:p>
              </w:tc>
            </w:tr>
            <w:tr w14:paraId="2C35507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409" w:type="pct"/>
                  <w:tcBorders>
                    <w:tl2br w:val="nil"/>
                    <w:tr2bl w:val="nil"/>
                  </w:tcBorders>
                  <w:shd w:val="clear" w:color="auto" w:fill="auto"/>
                  <w:noWrap w:val="0"/>
                  <w:vAlign w:val="center"/>
                </w:tcPr>
                <w:p w14:paraId="64E3F30D">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4</w:t>
                  </w:r>
                </w:p>
              </w:tc>
              <w:tc>
                <w:tcPr>
                  <w:tcW w:w="855" w:type="pct"/>
                  <w:tcBorders>
                    <w:tl2br w:val="nil"/>
                    <w:tr2bl w:val="nil"/>
                  </w:tcBorders>
                  <w:shd w:val="clear" w:color="auto" w:fill="auto"/>
                  <w:noWrap w:val="0"/>
                  <w:vAlign w:val="center"/>
                </w:tcPr>
                <w:p w14:paraId="4D017375">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叉车废电瓶</w:t>
                  </w:r>
                </w:p>
              </w:tc>
              <w:tc>
                <w:tcPr>
                  <w:tcW w:w="397" w:type="pct"/>
                  <w:vMerge w:val="continue"/>
                  <w:tcBorders>
                    <w:tl2br w:val="nil"/>
                    <w:tr2bl w:val="nil"/>
                  </w:tcBorders>
                  <w:noWrap w:val="0"/>
                  <w:vAlign w:val="center"/>
                </w:tcPr>
                <w:p w14:paraId="4D5F66A9">
                  <w:pPr>
                    <w:keepNext w:val="0"/>
                    <w:keepLines w:val="0"/>
                    <w:pageBreakBefore w:val="0"/>
                    <w:widowControl w:val="0"/>
                    <w:kinsoku/>
                    <w:wordWrap/>
                    <w:overflowPunct/>
                    <w:topLinePunct w:val="0"/>
                    <w:autoSpaceDE/>
                    <w:autoSpaceDN/>
                    <w:bidi w:val="0"/>
                    <w:spacing w:line="240" w:lineRule="auto"/>
                    <w:ind w:right="-76" w:rightChars="-36"/>
                    <w:jc w:val="center"/>
                    <w:textAlignment w:val="auto"/>
                    <w:rPr>
                      <w:rFonts w:hint="default" w:ascii="Times New Roman" w:hAnsi="Times New Roman" w:eastAsia="仿宋" w:cs="Times New Roman"/>
                      <w:color w:val="auto"/>
                      <w:sz w:val="21"/>
                      <w:szCs w:val="21"/>
                      <w:highlight w:val="none"/>
                    </w:rPr>
                  </w:pPr>
                </w:p>
              </w:tc>
              <w:tc>
                <w:tcPr>
                  <w:tcW w:w="763" w:type="pct"/>
                  <w:tcBorders>
                    <w:tl2br w:val="nil"/>
                    <w:tr2bl w:val="nil"/>
                  </w:tcBorders>
                  <w:shd w:val="clear" w:color="auto" w:fill="auto"/>
                  <w:noWrap w:val="0"/>
                  <w:vAlign w:val="center"/>
                </w:tcPr>
                <w:p w14:paraId="4FE2BB3E">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叉车使用</w:t>
                  </w:r>
                </w:p>
              </w:tc>
              <w:tc>
                <w:tcPr>
                  <w:tcW w:w="435" w:type="pct"/>
                  <w:tcBorders>
                    <w:tl2br w:val="nil"/>
                    <w:tr2bl w:val="nil"/>
                  </w:tcBorders>
                  <w:shd w:val="clear" w:color="auto" w:fill="auto"/>
                  <w:noWrap w:val="0"/>
                  <w:vAlign w:val="center"/>
                </w:tcPr>
                <w:p w14:paraId="4DADA2F0">
                  <w:pPr>
                    <w:spacing w:line="240" w:lineRule="exact"/>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固态</w:t>
                  </w:r>
                </w:p>
              </w:tc>
              <w:tc>
                <w:tcPr>
                  <w:tcW w:w="870" w:type="pct"/>
                  <w:tcBorders>
                    <w:tl2br w:val="nil"/>
                    <w:tr2bl w:val="nil"/>
                  </w:tcBorders>
                  <w:shd w:val="clear" w:color="auto" w:fill="auto"/>
                  <w:noWrap w:val="0"/>
                  <w:vAlign w:val="center"/>
                </w:tcPr>
                <w:p w14:paraId="6716B7B4">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锂电池</w:t>
                  </w:r>
                </w:p>
              </w:tc>
              <w:tc>
                <w:tcPr>
                  <w:tcW w:w="647" w:type="pct"/>
                  <w:tcBorders>
                    <w:tl2br w:val="nil"/>
                    <w:tr2bl w:val="nil"/>
                  </w:tcBorders>
                  <w:shd w:val="clear" w:color="auto" w:fill="auto"/>
                  <w:noWrap w:val="0"/>
                  <w:vAlign w:val="center"/>
                </w:tcPr>
                <w:p w14:paraId="12521FAB">
                  <w:pPr>
                    <w:spacing w:line="240" w:lineRule="exact"/>
                    <w:jc w:val="center"/>
                    <w:rPr>
                      <w:rFonts w:hint="default"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0.1</w:t>
                  </w:r>
                </w:p>
              </w:tc>
              <w:tc>
                <w:tcPr>
                  <w:tcW w:w="621" w:type="pct"/>
                  <w:vMerge w:val="continue"/>
                  <w:tcBorders>
                    <w:tl2br w:val="nil"/>
                    <w:tr2bl w:val="nil"/>
                  </w:tcBorders>
                  <w:noWrap w:val="0"/>
                  <w:vAlign w:val="center"/>
                </w:tcPr>
                <w:p w14:paraId="19D455E6">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b w:val="0"/>
                      <w:bCs w:val="0"/>
                      <w:color w:val="auto"/>
                      <w:sz w:val="21"/>
                      <w:szCs w:val="21"/>
                      <w:highlight w:val="none"/>
                    </w:rPr>
                  </w:pPr>
                </w:p>
              </w:tc>
            </w:tr>
            <w:tr w14:paraId="1AB87A9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409" w:type="pct"/>
                  <w:tcBorders>
                    <w:tl2br w:val="nil"/>
                    <w:tr2bl w:val="nil"/>
                  </w:tcBorders>
                  <w:shd w:val="clear" w:color="auto" w:fill="auto"/>
                  <w:noWrap w:val="0"/>
                  <w:vAlign w:val="center"/>
                </w:tcPr>
                <w:p w14:paraId="721D81F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5</w:t>
                  </w:r>
                </w:p>
              </w:tc>
              <w:tc>
                <w:tcPr>
                  <w:tcW w:w="855" w:type="pct"/>
                  <w:tcBorders>
                    <w:tl2br w:val="nil"/>
                    <w:tr2bl w:val="nil"/>
                  </w:tcBorders>
                  <w:shd w:val="clear" w:color="auto" w:fill="auto"/>
                  <w:noWrap w:val="0"/>
                  <w:vAlign w:val="center"/>
                </w:tcPr>
                <w:p w14:paraId="159DB5CC">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沾染切削液的废金属屑</w:t>
                  </w:r>
                </w:p>
              </w:tc>
              <w:tc>
                <w:tcPr>
                  <w:tcW w:w="397" w:type="pct"/>
                  <w:vMerge w:val="restart"/>
                  <w:tcBorders>
                    <w:tl2br w:val="nil"/>
                    <w:tr2bl w:val="nil"/>
                  </w:tcBorders>
                  <w:noWrap w:val="0"/>
                  <w:vAlign w:val="center"/>
                </w:tcPr>
                <w:p w14:paraId="6EABBD54">
                  <w:pPr>
                    <w:keepNext w:val="0"/>
                    <w:keepLines w:val="0"/>
                    <w:pageBreakBefore w:val="0"/>
                    <w:widowControl w:val="0"/>
                    <w:kinsoku/>
                    <w:wordWrap/>
                    <w:overflowPunct/>
                    <w:topLinePunct w:val="0"/>
                    <w:autoSpaceDE/>
                    <w:autoSpaceDN/>
                    <w:bidi w:val="0"/>
                    <w:spacing w:line="240" w:lineRule="auto"/>
                    <w:ind w:right="-76" w:rightChars="-36"/>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危险废物</w:t>
                  </w:r>
                </w:p>
              </w:tc>
              <w:tc>
                <w:tcPr>
                  <w:tcW w:w="763" w:type="pct"/>
                  <w:tcBorders>
                    <w:tl2br w:val="nil"/>
                    <w:tr2bl w:val="nil"/>
                  </w:tcBorders>
                  <w:shd w:val="clear" w:color="auto" w:fill="auto"/>
                  <w:noWrap w:val="0"/>
                  <w:vAlign w:val="center"/>
                </w:tcPr>
                <w:p w14:paraId="3EE8EECD">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机加工</w:t>
                  </w:r>
                </w:p>
              </w:tc>
              <w:tc>
                <w:tcPr>
                  <w:tcW w:w="435" w:type="pct"/>
                  <w:tcBorders>
                    <w:tl2br w:val="nil"/>
                    <w:tr2bl w:val="nil"/>
                  </w:tcBorders>
                  <w:shd w:val="clear" w:color="auto" w:fill="auto"/>
                  <w:noWrap w:val="0"/>
                  <w:vAlign w:val="center"/>
                </w:tcPr>
                <w:p w14:paraId="1C6362CB">
                  <w:pPr>
                    <w:spacing w:line="240" w:lineRule="auto"/>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固态</w:t>
                  </w:r>
                </w:p>
              </w:tc>
              <w:tc>
                <w:tcPr>
                  <w:tcW w:w="870" w:type="pct"/>
                  <w:tcBorders>
                    <w:tl2br w:val="nil"/>
                    <w:tr2bl w:val="nil"/>
                  </w:tcBorders>
                  <w:shd w:val="clear" w:color="auto" w:fill="auto"/>
                  <w:noWrap w:val="0"/>
                  <w:vAlign w:val="center"/>
                </w:tcPr>
                <w:p w14:paraId="1866476A">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切削液、铝屑</w:t>
                  </w:r>
                </w:p>
              </w:tc>
              <w:tc>
                <w:tcPr>
                  <w:tcW w:w="647" w:type="pct"/>
                  <w:tcBorders>
                    <w:tl2br w:val="nil"/>
                    <w:tr2bl w:val="nil"/>
                  </w:tcBorders>
                  <w:shd w:val="clear" w:color="auto" w:fill="auto"/>
                  <w:noWrap w:val="0"/>
                  <w:vAlign w:val="center"/>
                </w:tcPr>
                <w:p w14:paraId="1C91C74B">
                  <w:pPr>
                    <w:spacing w:line="240" w:lineRule="auto"/>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5</w:t>
                  </w:r>
                </w:p>
              </w:tc>
              <w:tc>
                <w:tcPr>
                  <w:tcW w:w="621" w:type="pct"/>
                  <w:vMerge w:val="restart"/>
                  <w:tcBorders>
                    <w:tl2br w:val="nil"/>
                    <w:tr2bl w:val="nil"/>
                  </w:tcBorders>
                  <w:shd w:val="clear" w:color="auto" w:fill="auto"/>
                  <w:noWrap w:val="0"/>
                  <w:vAlign w:val="center"/>
                </w:tcPr>
                <w:p w14:paraId="090BAF7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委托有资质单位处置</w:t>
                  </w:r>
                </w:p>
              </w:tc>
            </w:tr>
            <w:tr w14:paraId="5A09D83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409" w:type="pct"/>
                  <w:tcBorders>
                    <w:tl2br w:val="nil"/>
                    <w:tr2bl w:val="nil"/>
                  </w:tcBorders>
                  <w:shd w:val="clear" w:color="auto" w:fill="auto"/>
                  <w:noWrap w:val="0"/>
                  <w:vAlign w:val="center"/>
                </w:tcPr>
                <w:p w14:paraId="0777181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6</w:t>
                  </w:r>
                </w:p>
              </w:tc>
              <w:tc>
                <w:tcPr>
                  <w:tcW w:w="855" w:type="pct"/>
                  <w:tcBorders>
                    <w:tl2br w:val="nil"/>
                    <w:tr2bl w:val="nil"/>
                  </w:tcBorders>
                  <w:shd w:val="clear" w:color="auto" w:fill="auto"/>
                  <w:noWrap w:val="0"/>
                  <w:vAlign w:val="center"/>
                </w:tcPr>
                <w:p w14:paraId="4326C956">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kern w:val="2"/>
                      <w:sz w:val="21"/>
                      <w:szCs w:val="21"/>
                      <w:highlight w:val="none"/>
                      <w:lang w:val="en-US" w:eastAsia="zh-CN" w:bidi="ar-SA"/>
                    </w:rPr>
                    <w:t>废切削液</w:t>
                  </w:r>
                </w:p>
              </w:tc>
              <w:tc>
                <w:tcPr>
                  <w:tcW w:w="397" w:type="pct"/>
                  <w:vMerge w:val="continue"/>
                  <w:tcBorders>
                    <w:tl2br w:val="nil"/>
                    <w:tr2bl w:val="nil"/>
                  </w:tcBorders>
                  <w:noWrap w:val="0"/>
                  <w:vAlign w:val="center"/>
                </w:tcPr>
                <w:p w14:paraId="1981CA24">
                  <w:pPr>
                    <w:keepNext w:val="0"/>
                    <w:keepLines w:val="0"/>
                    <w:pageBreakBefore w:val="0"/>
                    <w:widowControl w:val="0"/>
                    <w:kinsoku/>
                    <w:wordWrap/>
                    <w:overflowPunct/>
                    <w:topLinePunct w:val="0"/>
                    <w:autoSpaceDE/>
                    <w:autoSpaceDN/>
                    <w:bidi w:val="0"/>
                    <w:spacing w:line="240" w:lineRule="auto"/>
                    <w:ind w:right="-76" w:rightChars="-36"/>
                    <w:textAlignment w:val="auto"/>
                    <w:rPr>
                      <w:rFonts w:hint="default" w:ascii="Times New Roman" w:hAnsi="Times New Roman" w:eastAsia="仿宋" w:cs="Times New Roman"/>
                      <w:color w:val="auto"/>
                      <w:sz w:val="21"/>
                      <w:szCs w:val="21"/>
                      <w:highlight w:val="none"/>
                      <w:lang w:val="en-US" w:eastAsia="zh-CN"/>
                    </w:rPr>
                  </w:pPr>
                </w:p>
              </w:tc>
              <w:tc>
                <w:tcPr>
                  <w:tcW w:w="763" w:type="pct"/>
                  <w:tcBorders>
                    <w:tl2br w:val="nil"/>
                    <w:tr2bl w:val="nil"/>
                  </w:tcBorders>
                  <w:shd w:val="clear" w:color="auto" w:fill="auto"/>
                  <w:noWrap w:val="0"/>
                  <w:vAlign w:val="center"/>
                </w:tcPr>
                <w:p w14:paraId="71C344AF">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kern w:val="2"/>
                      <w:sz w:val="21"/>
                      <w:szCs w:val="21"/>
                      <w:highlight w:val="none"/>
                      <w:lang w:val="en-US" w:eastAsia="zh-CN" w:bidi="ar-SA"/>
                    </w:rPr>
                    <w:t>机加工</w:t>
                  </w:r>
                </w:p>
              </w:tc>
              <w:tc>
                <w:tcPr>
                  <w:tcW w:w="435" w:type="pct"/>
                  <w:tcBorders>
                    <w:tl2br w:val="nil"/>
                    <w:tr2bl w:val="nil"/>
                  </w:tcBorders>
                  <w:shd w:val="clear" w:color="auto" w:fill="auto"/>
                  <w:noWrap w:val="0"/>
                  <w:vAlign w:val="center"/>
                </w:tcPr>
                <w:p w14:paraId="6D5B9157">
                  <w:pPr>
                    <w:spacing w:line="24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液</w:t>
                  </w:r>
                  <w:r>
                    <w:rPr>
                      <w:rFonts w:hint="default" w:ascii="Times New Roman" w:hAnsi="Times New Roman" w:eastAsia="仿宋" w:cs="Times New Roman"/>
                      <w:color w:val="auto"/>
                      <w:sz w:val="21"/>
                      <w:szCs w:val="21"/>
                      <w:highlight w:val="none"/>
                    </w:rPr>
                    <w:t>态</w:t>
                  </w:r>
                </w:p>
              </w:tc>
              <w:tc>
                <w:tcPr>
                  <w:tcW w:w="870" w:type="pct"/>
                  <w:tcBorders>
                    <w:tl2br w:val="nil"/>
                    <w:tr2bl w:val="nil"/>
                  </w:tcBorders>
                  <w:shd w:val="clear" w:color="auto" w:fill="auto"/>
                  <w:noWrap w:val="0"/>
                  <w:vAlign w:val="center"/>
                </w:tcPr>
                <w:p w14:paraId="400B9799">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b w:val="0"/>
                      <w:bCs w:val="0"/>
                      <w:color w:val="auto"/>
                      <w:kern w:val="0"/>
                      <w:sz w:val="21"/>
                      <w:szCs w:val="21"/>
                      <w:highlight w:val="none"/>
                      <w:lang w:val="en-US" w:eastAsia="zh-CN" w:bidi="ar-SA"/>
                    </w:rPr>
                    <w:t>切削液</w:t>
                  </w:r>
                </w:p>
              </w:tc>
              <w:tc>
                <w:tcPr>
                  <w:tcW w:w="647" w:type="pct"/>
                  <w:tcBorders>
                    <w:tl2br w:val="nil"/>
                    <w:tr2bl w:val="nil"/>
                  </w:tcBorders>
                  <w:shd w:val="clear" w:color="auto" w:fill="auto"/>
                  <w:noWrap w:val="0"/>
                  <w:vAlign w:val="center"/>
                </w:tcPr>
                <w:p w14:paraId="58C55F56">
                  <w:pPr>
                    <w:spacing w:line="240" w:lineRule="exact"/>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5</w:t>
                  </w:r>
                </w:p>
              </w:tc>
              <w:tc>
                <w:tcPr>
                  <w:tcW w:w="621" w:type="pct"/>
                  <w:vMerge w:val="continue"/>
                  <w:tcBorders>
                    <w:tl2br w:val="nil"/>
                    <w:tr2bl w:val="nil"/>
                  </w:tcBorders>
                  <w:shd w:val="clear" w:color="auto" w:fill="auto"/>
                  <w:noWrap w:val="0"/>
                  <w:vAlign w:val="center"/>
                </w:tcPr>
                <w:p w14:paraId="432A932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7880CAF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09" w:type="pct"/>
                  <w:tcBorders>
                    <w:tl2br w:val="nil"/>
                    <w:tr2bl w:val="nil"/>
                  </w:tcBorders>
                  <w:shd w:val="clear" w:color="auto" w:fill="auto"/>
                  <w:noWrap w:val="0"/>
                  <w:vAlign w:val="center"/>
                </w:tcPr>
                <w:p w14:paraId="00AA7C5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7</w:t>
                  </w:r>
                </w:p>
              </w:tc>
              <w:tc>
                <w:tcPr>
                  <w:tcW w:w="855" w:type="pct"/>
                  <w:tcBorders>
                    <w:tl2br w:val="nil"/>
                    <w:tr2bl w:val="nil"/>
                  </w:tcBorders>
                  <w:shd w:val="clear" w:color="auto" w:fill="auto"/>
                  <w:noWrap w:val="0"/>
                  <w:vAlign w:val="center"/>
                </w:tcPr>
                <w:p w14:paraId="7CB4B377">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w:t>
                  </w:r>
                  <w:r>
                    <w:rPr>
                      <w:rFonts w:hint="eastAsia" w:ascii="Times New Roman" w:hAnsi="Times New Roman" w:eastAsia="仿宋" w:cs="Times New Roman"/>
                      <w:color w:val="auto"/>
                      <w:sz w:val="21"/>
                      <w:szCs w:val="21"/>
                      <w:highlight w:val="none"/>
                      <w:lang w:val="en-US" w:eastAsia="zh-CN"/>
                    </w:rPr>
                    <w:t>无尘纸</w:t>
                  </w:r>
                </w:p>
              </w:tc>
              <w:tc>
                <w:tcPr>
                  <w:tcW w:w="397" w:type="pct"/>
                  <w:vMerge w:val="continue"/>
                  <w:tcBorders>
                    <w:tl2br w:val="nil"/>
                    <w:tr2bl w:val="nil"/>
                  </w:tcBorders>
                  <w:noWrap w:val="0"/>
                  <w:vAlign w:val="center"/>
                </w:tcPr>
                <w:p w14:paraId="252DF0D6">
                  <w:pPr>
                    <w:keepNext w:val="0"/>
                    <w:keepLines w:val="0"/>
                    <w:pageBreakBefore w:val="0"/>
                    <w:widowControl w:val="0"/>
                    <w:kinsoku/>
                    <w:wordWrap/>
                    <w:overflowPunct/>
                    <w:topLinePunct w:val="0"/>
                    <w:autoSpaceDE/>
                    <w:autoSpaceDN/>
                    <w:bidi w:val="0"/>
                    <w:spacing w:line="240" w:lineRule="auto"/>
                    <w:ind w:right="-76" w:rightChars="-36"/>
                    <w:textAlignment w:val="auto"/>
                    <w:rPr>
                      <w:rFonts w:hint="default" w:ascii="Times New Roman" w:hAnsi="Times New Roman" w:eastAsia="仿宋" w:cs="Times New Roman"/>
                      <w:color w:val="auto"/>
                      <w:sz w:val="21"/>
                      <w:szCs w:val="21"/>
                      <w:highlight w:val="none"/>
                      <w:lang w:val="en-US" w:eastAsia="zh-CN"/>
                    </w:rPr>
                  </w:pPr>
                </w:p>
              </w:tc>
              <w:tc>
                <w:tcPr>
                  <w:tcW w:w="763" w:type="pct"/>
                  <w:tcBorders>
                    <w:tl2br w:val="nil"/>
                    <w:tr2bl w:val="nil"/>
                  </w:tcBorders>
                  <w:shd w:val="clear" w:color="auto" w:fill="auto"/>
                  <w:noWrap w:val="0"/>
                  <w:vAlign w:val="center"/>
                </w:tcPr>
                <w:p w14:paraId="51EE60C7">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kern w:val="2"/>
                      <w:sz w:val="21"/>
                      <w:szCs w:val="21"/>
                      <w:highlight w:val="none"/>
                      <w:lang w:val="en-US" w:eastAsia="zh-CN" w:bidi="ar-SA"/>
                    </w:rPr>
                    <w:t>过程检测</w:t>
                  </w:r>
                </w:p>
              </w:tc>
              <w:tc>
                <w:tcPr>
                  <w:tcW w:w="435" w:type="pct"/>
                  <w:tcBorders>
                    <w:tl2br w:val="nil"/>
                    <w:tr2bl w:val="nil"/>
                  </w:tcBorders>
                  <w:shd w:val="clear" w:color="auto" w:fill="auto"/>
                  <w:noWrap w:val="0"/>
                  <w:vAlign w:val="center"/>
                </w:tcPr>
                <w:p w14:paraId="4F882BAF">
                  <w:pPr>
                    <w:spacing w:line="24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kern w:val="2"/>
                      <w:sz w:val="21"/>
                      <w:szCs w:val="21"/>
                      <w:highlight w:val="none"/>
                      <w:lang w:val="en-US" w:eastAsia="zh-CN" w:bidi="ar-SA"/>
                    </w:rPr>
                    <w:t>固态</w:t>
                  </w:r>
                </w:p>
              </w:tc>
              <w:tc>
                <w:tcPr>
                  <w:tcW w:w="870" w:type="pct"/>
                  <w:tcBorders>
                    <w:tl2br w:val="nil"/>
                    <w:tr2bl w:val="nil"/>
                  </w:tcBorders>
                  <w:shd w:val="clear" w:color="auto" w:fill="auto"/>
                  <w:noWrap w:val="0"/>
                  <w:vAlign w:val="center"/>
                </w:tcPr>
                <w:p w14:paraId="3EC89A19">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kern w:val="2"/>
                      <w:sz w:val="21"/>
                      <w:szCs w:val="21"/>
                      <w:highlight w:val="none"/>
                      <w:lang w:val="en-US" w:eastAsia="zh-CN" w:bidi="ar-SA"/>
                    </w:rPr>
                    <w:t>酒精、纸</w:t>
                  </w:r>
                </w:p>
              </w:tc>
              <w:tc>
                <w:tcPr>
                  <w:tcW w:w="647" w:type="pct"/>
                  <w:tcBorders>
                    <w:tl2br w:val="nil"/>
                    <w:tr2bl w:val="nil"/>
                  </w:tcBorders>
                  <w:shd w:val="clear" w:color="auto" w:fill="auto"/>
                  <w:noWrap w:val="0"/>
                  <w:vAlign w:val="center"/>
                </w:tcPr>
                <w:p w14:paraId="4D33FA67">
                  <w:pPr>
                    <w:spacing w:line="240" w:lineRule="exact"/>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0.0304</w:t>
                  </w:r>
                </w:p>
              </w:tc>
              <w:tc>
                <w:tcPr>
                  <w:tcW w:w="621" w:type="pct"/>
                  <w:vMerge w:val="continue"/>
                  <w:tcBorders>
                    <w:tl2br w:val="nil"/>
                    <w:tr2bl w:val="nil"/>
                  </w:tcBorders>
                  <w:shd w:val="clear" w:color="auto" w:fill="auto"/>
                  <w:noWrap w:val="0"/>
                  <w:vAlign w:val="center"/>
                </w:tcPr>
                <w:p w14:paraId="7F68F1A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16F015D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409" w:type="pct"/>
                  <w:tcBorders>
                    <w:tl2br w:val="nil"/>
                    <w:tr2bl w:val="nil"/>
                  </w:tcBorders>
                  <w:shd w:val="clear" w:color="auto" w:fill="auto"/>
                  <w:noWrap w:val="0"/>
                  <w:vAlign w:val="center"/>
                </w:tcPr>
                <w:p w14:paraId="0DC4F75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8</w:t>
                  </w:r>
                </w:p>
              </w:tc>
              <w:tc>
                <w:tcPr>
                  <w:tcW w:w="855" w:type="pct"/>
                  <w:tcBorders>
                    <w:tl2br w:val="nil"/>
                    <w:tr2bl w:val="nil"/>
                  </w:tcBorders>
                  <w:shd w:val="clear" w:color="auto" w:fill="auto"/>
                  <w:noWrap w:val="0"/>
                  <w:vAlign w:val="center"/>
                </w:tcPr>
                <w:p w14:paraId="735E9029">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废包装桶</w:t>
                  </w:r>
                </w:p>
              </w:tc>
              <w:tc>
                <w:tcPr>
                  <w:tcW w:w="397" w:type="pct"/>
                  <w:vMerge w:val="continue"/>
                  <w:tcBorders>
                    <w:tl2br w:val="nil"/>
                    <w:tr2bl w:val="nil"/>
                  </w:tcBorders>
                  <w:noWrap w:val="0"/>
                  <w:vAlign w:val="center"/>
                </w:tcPr>
                <w:p w14:paraId="55726477">
                  <w:pPr>
                    <w:keepNext w:val="0"/>
                    <w:keepLines w:val="0"/>
                    <w:pageBreakBefore w:val="0"/>
                    <w:widowControl w:val="0"/>
                    <w:kinsoku/>
                    <w:wordWrap/>
                    <w:overflowPunct/>
                    <w:topLinePunct w:val="0"/>
                    <w:autoSpaceDE/>
                    <w:autoSpaceDN/>
                    <w:bidi w:val="0"/>
                    <w:spacing w:line="240" w:lineRule="auto"/>
                    <w:ind w:right="-76" w:rightChars="-36"/>
                    <w:textAlignment w:val="auto"/>
                    <w:rPr>
                      <w:rFonts w:hint="default" w:ascii="Times New Roman" w:hAnsi="Times New Roman" w:eastAsia="仿宋" w:cs="Times New Roman"/>
                      <w:color w:val="auto"/>
                      <w:sz w:val="21"/>
                      <w:szCs w:val="21"/>
                      <w:highlight w:val="none"/>
                      <w:lang w:val="en-US" w:eastAsia="zh-CN"/>
                    </w:rPr>
                  </w:pPr>
                </w:p>
              </w:tc>
              <w:tc>
                <w:tcPr>
                  <w:tcW w:w="763" w:type="pct"/>
                  <w:tcBorders>
                    <w:tl2br w:val="nil"/>
                    <w:tr2bl w:val="nil"/>
                  </w:tcBorders>
                  <w:shd w:val="clear" w:color="auto" w:fill="auto"/>
                  <w:noWrap w:val="0"/>
                  <w:vAlign w:val="center"/>
                </w:tcPr>
                <w:p w14:paraId="1D2C2AC8">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切削液使用</w:t>
                  </w:r>
                </w:p>
              </w:tc>
              <w:tc>
                <w:tcPr>
                  <w:tcW w:w="435" w:type="pct"/>
                  <w:tcBorders>
                    <w:tl2br w:val="nil"/>
                    <w:tr2bl w:val="nil"/>
                  </w:tcBorders>
                  <w:shd w:val="clear" w:color="auto" w:fill="auto"/>
                  <w:noWrap w:val="0"/>
                  <w:vAlign w:val="center"/>
                </w:tcPr>
                <w:p w14:paraId="3FE8B614">
                  <w:pPr>
                    <w:spacing w:line="240" w:lineRule="exact"/>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kern w:val="2"/>
                      <w:sz w:val="21"/>
                      <w:szCs w:val="21"/>
                      <w:highlight w:val="none"/>
                      <w:lang w:val="en-US" w:eastAsia="zh-CN" w:bidi="ar-SA"/>
                    </w:rPr>
                    <w:t>固态</w:t>
                  </w:r>
                </w:p>
              </w:tc>
              <w:tc>
                <w:tcPr>
                  <w:tcW w:w="870" w:type="pct"/>
                  <w:tcBorders>
                    <w:tl2br w:val="nil"/>
                    <w:tr2bl w:val="nil"/>
                  </w:tcBorders>
                  <w:shd w:val="clear" w:color="auto" w:fill="auto"/>
                  <w:noWrap w:val="0"/>
                  <w:vAlign w:val="center"/>
                </w:tcPr>
                <w:p w14:paraId="19C16E64">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切削液</w:t>
                  </w:r>
                </w:p>
              </w:tc>
              <w:tc>
                <w:tcPr>
                  <w:tcW w:w="647" w:type="pct"/>
                  <w:tcBorders>
                    <w:tl2br w:val="nil"/>
                    <w:tr2bl w:val="nil"/>
                  </w:tcBorders>
                  <w:shd w:val="clear" w:color="auto" w:fill="auto"/>
                  <w:noWrap w:val="0"/>
                  <w:vAlign w:val="center"/>
                </w:tcPr>
                <w:p w14:paraId="3A8A0938">
                  <w:pPr>
                    <w:spacing w:line="240" w:lineRule="exact"/>
                    <w:jc w:val="center"/>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0.15</w:t>
                  </w:r>
                </w:p>
              </w:tc>
              <w:tc>
                <w:tcPr>
                  <w:tcW w:w="621" w:type="pct"/>
                  <w:vMerge w:val="continue"/>
                  <w:tcBorders>
                    <w:tl2br w:val="nil"/>
                    <w:tr2bl w:val="nil"/>
                  </w:tcBorders>
                  <w:shd w:val="clear" w:color="auto" w:fill="auto"/>
                  <w:noWrap w:val="0"/>
                  <w:vAlign w:val="center"/>
                </w:tcPr>
                <w:p w14:paraId="38BCC671">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1DCCAEE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 w:type="pct"/>
                  <w:tcBorders>
                    <w:tl2br w:val="nil"/>
                    <w:tr2bl w:val="nil"/>
                  </w:tcBorders>
                  <w:shd w:val="clear" w:color="auto" w:fill="auto"/>
                  <w:noWrap w:val="0"/>
                  <w:vAlign w:val="center"/>
                </w:tcPr>
                <w:p w14:paraId="3669F3E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9</w:t>
                  </w:r>
                </w:p>
              </w:tc>
              <w:tc>
                <w:tcPr>
                  <w:tcW w:w="855" w:type="pct"/>
                  <w:tcBorders>
                    <w:tl2br w:val="nil"/>
                    <w:tr2bl w:val="nil"/>
                  </w:tcBorders>
                  <w:shd w:val="clear" w:color="auto" w:fill="auto"/>
                  <w:noWrap w:val="0"/>
                  <w:vAlign w:val="center"/>
                </w:tcPr>
                <w:p w14:paraId="7520EA1D">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w:t>
                  </w:r>
                  <w:r>
                    <w:rPr>
                      <w:rFonts w:hint="eastAsia" w:ascii="Times New Roman" w:hAnsi="Times New Roman" w:eastAsia="仿宋" w:cs="Times New Roman"/>
                      <w:color w:val="auto"/>
                      <w:sz w:val="21"/>
                      <w:szCs w:val="21"/>
                      <w:highlight w:val="none"/>
                      <w:lang w:val="en-US" w:eastAsia="zh-CN"/>
                    </w:rPr>
                    <w:t>油</w:t>
                  </w:r>
                  <w:r>
                    <w:rPr>
                      <w:rFonts w:hint="default" w:ascii="Times New Roman" w:hAnsi="Times New Roman" w:eastAsia="仿宋" w:cs="Times New Roman"/>
                      <w:color w:val="auto"/>
                      <w:sz w:val="21"/>
                      <w:szCs w:val="21"/>
                      <w:highlight w:val="none"/>
                      <w:lang w:val="en-US" w:eastAsia="zh-CN"/>
                    </w:rPr>
                    <w:t>桶</w:t>
                  </w:r>
                </w:p>
              </w:tc>
              <w:tc>
                <w:tcPr>
                  <w:tcW w:w="397" w:type="pct"/>
                  <w:vMerge w:val="continue"/>
                  <w:tcBorders>
                    <w:tl2br w:val="nil"/>
                    <w:tr2bl w:val="nil"/>
                  </w:tcBorders>
                  <w:noWrap w:val="0"/>
                  <w:vAlign w:val="center"/>
                </w:tcPr>
                <w:p w14:paraId="26AFC084">
                  <w:pPr>
                    <w:keepNext w:val="0"/>
                    <w:keepLines w:val="0"/>
                    <w:pageBreakBefore w:val="0"/>
                    <w:widowControl w:val="0"/>
                    <w:kinsoku/>
                    <w:wordWrap/>
                    <w:overflowPunct/>
                    <w:topLinePunct w:val="0"/>
                    <w:autoSpaceDE/>
                    <w:autoSpaceDN/>
                    <w:bidi w:val="0"/>
                    <w:spacing w:line="240" w:lineRule="auto"/>
                    <w:ind w:right="-76" w:rightChars="-36"/>
                    <w:textAlignment w:val="auto"/>
                    <w:rPr>
                      <w:rFonts w:hint="default" w:ascii="Times New Roman" w:hAnsi="Times New Roman" w:eastAsia="仿宋" w:cs="Times New Roman"/>
                      <w:color w:val="auto"/>
                      <w:sz w:val="21"/>
                      <w:szCs w:val="21"/>
                      <w:highlight w:val="none"/>
                      <w:lang w:val="en-US" w:eastAsia="zh-CN"/>
                    </w:rPr>
                  </w:pPr>
                </w:p>
              </w:tc>
              <w:tc>
                <w:tcPr>
                  <w:tcW w:w="763" w:type="pct"/>
                  <w:tcBorders>
                    <w:tl2br w:val="nil"/>
                    <w:tr2bl w:val="nil"/>
                  </w:tcBorders>
                  <w:shd w:val="clear" w:color="auto" w:fill="auto"/>
                  <w:noWrap w:val="0"/>
                  <w:vAlign w:val="center"/>
                </w:tcPr>
                <w:p w14:paraId="3E2548D1">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设备维护</w:t>
                  </w:r>
                </w:p>
              </w:tc>
              <w:tc>
                <w:tcPr>
                  <w:tcW w:w="435" w:type="pct"/>
                  <w:tcBorders>
                    <w:tl2br w:val="nil"/>
                    <w:tr2bl w:val="nil"/>
                  </w:tcBorders>
                  <w:shd w:val="clear" w:color="auto" w:fill="auto"/>
                  <w:noWrap w:val="0"/>
                  <w:vAlign w:val="center"/>
                </w:tcPr>
                <w:p w14:paraId="07C794CA">
                  <w:pPr>
                    <w:spacing w:line="24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kern w:val="2"/>
                      <w:sz w:val="21"/>
                      <w:szCs w:val="21"/>
                      <w:highlight w:val="none"/>
                      <w:lang w:val="en-US" w:eastAsia="zh-CN" w:bidi="ar-SA"/>
                    </w:rPr>
                    <w:t>固态</w:t>
                  </w:r>
                </w:p>
              </w:tc>
              <w:tc>
                <w:tcPr>
                  <w:tcW w:w="870" w:type="pct"/>
                  <w:tcBorders>
                    <w:tl2br w:val="nil"/>
                    <w:tr2bl w:val="nil"/>
                  </w:tcBorders>
                  <w:shd w:val="clear" w:color="auto" w:fill="auto"/>
                  <w:noWrap w:val="0"/>
                  <w:vAlign w:val="center"/>
                </w:tcPr>
                <w:p w14:paraId="30DA800F">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液压油</w:t>
                  </w:r>
                  <w:r>
                    <w:rPr>
                      <w:rFonts w:hint="default" w:ascii="Times New Roman" w:hAnsi="Times New Roman" w:eastAsia="仿宋" w:cs="Times New Roman"/>
                      <w:color w:val="auto"/>
                      <w:sz w:val="21"/>
                      <w:szCs w:val="21"/>
                      <w:highlight w:val="none"/>
                      <w:lang w:val="en-US" w:eastAsia="zh-CN"/>
                    </w:rPr>
                    <w:t>、包装桶</w:t>
                  </w:r>
                </w:p>
              </w:tc>
              <w:tc>
                <w:tcPr>
                  <w:tcW w:w="647" w:type="pct"/>
                  <w:tcBorders>
                    <w:tl2br w:val="nil"/>
                    <w:tr2bl w:val="nil"/>
                  </w:tcBorders>
                  <w:shd w:val="clear" w:color="auto" w:fill="auto"/>
                  <w:noWrap w:val="0"/>
                  <w:vAlign w:val="center"/>
                </w:tcPr>
                <w:p w14:paraId="16ADF2ED">
                  <w:pPr>
                    <w:spacing w:line="240" w:lineRule="exact"/>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w:t>
                  </w:r>
                  <w:r>
                    <w:rPr>
                      <w:rFonts w:hint="eastAsia" w:eastAsia="仿宋" w:cs="Times New Roman"/>
                      <w:color w:val="auto"/>
                      <w:sz w:val="21"/>
                      <w:szCs w:val="21"/>
                      <w:highlight w:val="none"/>
                      <w:lang w:val="en-US" w:eastAsia="zh-CN"/>
                    </w:rPr>
                    <w:t>11</w:t>
                  </w:r>
                </w:p>
              </w:tc>
              <w:tc>
                <w:tcPr>
                  <w:tcW w:w="621" w:type="pct"/>
                  <w:vMerge w:val="continue"/>
                  <w:tcBorders>
                    <w:tl2br w:val="nil"/>
                    <w:tr2bl w:val="nil"/>
                  </w:tcBorders>
                  <w:shd w:val="clear" w:color="auto" w:fill="auto"/>
                  <w:noWrap w:val="0"/>
                  <w:vAlign w:val="center"/>
                </w:tcPr>
                <w:p w14:paraId="188D712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5315DF2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409" w:type="pct"/>
                  <w:tcBorders>
                    <w:tl2br w:val="nil"/>
                    <w:tr2bl w:val="nil"/>
                  </w:tcBorders>
                  <w:shd w:val="clear" w:color="auto" w:fill="auto"/>
                  <w:noWrap w:val="0"/>
                  <w:vAlign w:val="center"/>
                </w:tcPr>
                <w:p w14:paraId="4251DB1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10</w:t>
                  </w:r>
                </w:p>
              </w:tc>
              <w:tc>
                <w:tcPr>
                  <w:tcW w:w="855" w:type="pct"/>
                  <w:tcBorders>
                    <w:tl2br w:val="nil"/>
                    <w:tr2bl w:val="nil"/>
                  </w:tcBorders>
                  <w:shd w:val="clear" w:color="auto" w:fill="auto"/>
                  <w:noWrap w:val="0"/>
                  <w:vAlign w:val="center"/>
                </w:tcPr>
                <w:p w14:paraId="318366CD">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废液压油</w:t>
                  </w:r>
                </w:p>
              </w:tc>
              <w:tc>
                <w:tcPr>
                  <w:tcW w:w="397" w:type="pct"/>
                  <w:vMerge w:val="continue"/>
                  <w:tcBorders>
                    <w:tl2br w:val="nil"/>
                    <w:tr2bl w:val="nil"/>
                  </w:tcBorders>
                  <w:noWrap w:val="0"/>
                  <w:vAlign w:val="center"/>
                </w:tcPr>
                <w:p w14:paraId="0C989929">
                  <w:pPr>
                    <w:keepNext w:val="0"/>
                    <w:keepLines w:val="0"/>
                    <w:pageBreakBefore w:val="0"/>
                    <w:widowControl w:val="0"/>
                    <w:kinsoku/>
                    <w:wordWrap/>
                    <w:overflowPunct/>
                    <w:topLinePunct w:val="0"/>
                    <w:autoSpaceDE/>
                    <w:autoSpaceDN/>
                    <w:bidi w:val="0"/>
                    <w:spacing w:line="240" w:lineRule="auto"/>
                    <w:ind w:right="-76" w:rightChars="-36"/>
                    <w:textAlignment w:val="auto"/>
                    <w:rPr>
                      <w:rFonts w:hint="default" w:ascii="Times New Roman" w:hAnsi="Times New Roman" w:eastAsia="仿宋" w:cs="Times New Roman"/>
                      <w:color w:val="auto"/>
                      <w:sz w:val="21"/>
                      <w:szCs w:val="21"/>
                      <w:highlight w:val="none"/>
                    </w:rPr>
                  </w:pPr>
                </w:p>
              </w:tc>
              <w:tc>
                <w:tcPr>
                  <w:tcW w:w="763" w:type="pct"/>
                  <w:tcBorders>
                    <w:tl2br w:val="nil"/>
                    <w:tr2bl w:val="nil"/>
                  </w:tcBorders>
                  <w:shd w:val="clear" w:color="auto" w:fill="auto"/>
                  <w:noWrap w:val="0"/>
                  <w:vAlign w:val="center"/>
                </w:tcPr>
                <w:p w14:paraId="4A341243">
                  <w:pPr>
                    <w:pStyle w:val="39"/>
                    <w:adjustRightInd w:val="0"/>
                    <w:snapToGrid w:val="0"/>
                    <w:jc w:val="center"/>
                    <w:rPr>
                      <w:rFonts w:hint="default" w:ascii="Times New Roman" w:hAnsi="Times New Roman" w:eastAsia="仿宋" w:cs="Times New Roman"/>
                      <w:b w:val="0"/>
                      <w:bCs w:val="0"/>
                      <w:color w:val="auto"/>
                      <w:kern w:val="0"/>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设备维护</w:t>
                  </w:r>
                </w:p>
              </w:tc>
              <w:tc>
                <w:tcPr>
                  <w:tcW w:w="435" w:type="pct"/>
                  <w:tcBorders>
                    <w:tl2br w:val="nil"/>
                    <w:tr2bl w:val="nil"/>
                  </w:tcBorders>
                  <w:shd w:val="clear" w:color="auto" w:fill="auto"/>
                  <w:noWrap w:val="0"/>
                  <w:vAlign w:val="center"/>
                </w:tcPr>
                <w:p w14:paraId="36107E47">
                  <w:pPr>
                    <w:spacing w:line="240" w:lineRule="exact"/>
                    <w:jc w:val="center"/>
                    <w:rPr>
                      <w:rFonts w:hint="default" w:ascii="Times New Roman" w:hAnsi="Times New Roman" w:eastAsia="仿宋" w:cs="Times New Roman"/>
                      <w:b w:val="0"/>
                      <w:bCs w:val="0"/>
                      <w:color w:val="auto"/>
                      <w:kern w:val="0"/>
                      <w:sz w:val="21"/>
                      <w:szCs w:val="21"/>
                      <w:highlight w:val="none"/>
                      <w:lang w:val="en-US" w:eastAsia="zh-CN" w:bidi="ar-SA"/>
                    </w:rPr>
                  </w:pPr>
                  <w:r>
                    <w:rPr>
                      <w:rFonts w:hint="eastAsia" w:eastAsia="仿宋" w:cs="Times New Roman"/>
                      <w:color w:val="auto"/>
                      <w:kern w:val="2"/>
                      <w:sz w:val="21"/>
                      <w:szCs w:val="21"/>
                      <w:highlight w:val="none"/>
                      <w:lang w:val="en-US" w:eastAsia="zh-CN" w:bidi="ar-SA"/>
                    </w:rPr>
                    <w:t>液态</w:t>
                  </w:r>
                </w:p>
              </w:tc>
              <w:tc>
                <w:tcPr>
                  <w:tcW w:w="870" w:type="pct"/>
                  <w:tcBorders>
                    <w:tl2br w:val="nil"/>
                    <w:tr2bl w:val="nil"/>
                  </w:tcBorders>
                  <w:shd w:val="clear" w:color="auto" w:fill="auto"/>
                  <w:noWrap w:val="0"/>
                  <w:vAlign w:val="center"/>
                </w:tcPr>
                <w:p w14:paraId="169A5F94">
                  <w:pPr>
                    <w:pStyle w:val="39"/>
                    <w:adjustRightInd w:val="0"/>
                    <w:snapToGrid w:val="0"/>
                    <w:jc w:val="center"/>
                    <w:rPr>
                      <w:rFonts w:hint="default" w:ascii="Times New Roman" w:hAnsi="Times New Roman" w:eastAsia="仿宋" w:cs="Times New Roman"/>
                      <w:b w:val="0"/>
                      <w:bCs w:val="0"/>
                      <w:color w:val="auto"/>
                      <w:kern w:val="0"/>
                      <w:sz w:val="21"/>
                      <w:szCs w:val="21"/>
                      <w:highlight w:val="none"/>
                      <w:lang w:val="en-US" w:eastAsia="zh-CN" w:bidi="ar-SA"/>
                    </w:rPr>
                  </w:pPr>
                  <w:r>
                    <w:rPr>
                      <w:rFonts w:hint="eastAsia" w:ascii="Times New Roman" w:hAnsi="Times New Roman" w:eastAsia="仿宋" w:cs="Times New Roman"/>
                      <w:color w:val="auto"/>
                      <w:sz w:val="21"/>
                      <w:szCs w:val="21"/>
                      <w:highlight w:val="none"/>
                      <w:lang w:val="en-US" w:eastAsia="zh-CN"/>
                    </w:rPr>
                    <w:t>液压油</w:t>
                  </w:r>
                </w:p>
              </w:tc>
              <w:tc>
                <w:tcPr>
                  <w:tcW w:w="647" w:type="pct"/>
                  <w:tcBorders>
                    <w:tl2br w:val="nil"/>
                    <w:tr2bl w:val="nil"/>
                  </w:tcBorders>
                  <w:shd w:val="clear" w:color="auto" w:fill="auto"/>
                  <w:noWrap w:val="0"/>
                  <w:vAlign w:val="center"/>
                </w:tcPr>
                <w:p w14:paraId="321E33AF">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0.</w:t>
                  </w:r>
                  <w:r>
                    <w:rPr>
                      <w:rFonts w:hint="eastAsia" w:eastAsia="仿宋" w:cs="Times New Roman"/>
                      <w:color w:val="auto"/>
                      <w:sz w:val="21"/>
                      <w:szCs w:val="21"/>
                      <w:highlight w:val="none"/>
                      <w:lang w:val="en-US" w:eastAsia="zh-CN"/>
                    </w:rPr>
                    <w:t>136</w:t>
                  </w:r>
                </w:p>
              </w:tc>
              <w:tc>
                <w:tcPr>
                  <w:tcW w:w="621" w:type="pct"/>
                  <w:vMerge w:val="continue"/>
                  <w:tcBorders>
                    <w:tl2br w:val="nil"/>
                    <w:tr2bl w:val="nil"/>
                  </w:tcBorders>
                  <w:shd w:val="clear" w:color="auto" w:fill="auto"/>
                  <w:noWrap w:val="0"/>
                  <w:vAlign w:val="center"/>
                </w:tcPr>
                <w:p w14:paraId="0A45A51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395C813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09" w:type="pct"/>
                  <w:tcBorders>
                    <w:tl2br w:val="nil"/>
                    <w:tr2bl w:val="nil"/>
                  </w:tcBorders>
                  <w:shd w:val="clear" w:color="auto" w:fill="auto"/>
                  <w:noWrap w:val="0"/>
                  <w:vAlign w:val="center"/>
                </w:tcPr>
                <w:p w14:paraId="5157015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1</w:t>
                  </w:r>
                  <w:r>
                    <w:rPr>
                      <w:rFonts w:hint="eastAsia" w:eastAsia="仿宋" w:cs="Times New Roman"/>
                      <w:color w:val="auto"/>
                      <w:kern w:val="2"/>
                      <w:sz w:val="21"/>
                      <w:szCs w:val="21"/>
                      <w:highlight w:val="none"/>
                      <w:lang w:val="en-US" w:eastAsia="zh-CN" w:bidi="ar-SA"/>
                    </w:rPr>
                    <w:t>1</w:t>
                  </w:r>
                </w:p>
              </w:tc>
              <w:tc>
                <w:tcPr>
                  <w:tcW w:w="855" w:type="pct"/>
                  <w:tcBorders>
                    <w:tl2br w:val="nil"/>
                    <w:tr2bl w:val="nil"/>
                  </w:tcBorders>
                  <w:shd w:val="clear" w:color="auto" w:fill="auto"/>
                  <w:noWrap w:val="0"/>
                  <w:vAlign w:val="center"/>
                </w:tcPr>
                <w:p w14:paraId="649C3F77">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废</w:t>
                  </w:r>
                  <w:r>
                    <w:rPr>
                      <w:rFonts w:hint="eastAsia" w:ascii="Times New Roman" w:hAnsi="Times New Roman" w:eastAsia="仿宋" w:cs="Times New Roman"/>
                      <w:color w:val="auto"/>
                      <w:sz w:val="21"/>
                      <w:szCs w:val="21"/>
                      <w:highlight w:val="none"/>
                      <w:lang w:val="en-US" w:eastAsia="zh-CN"/>
                    </w:rPr>
                    <w:t>过滤网</w:t>
                  </w:r>
                </w:p>
              </w:tc>
              <w:tc>
                <w:tcPr>
                  <w:tcW w:w="397" w:type="pct"/>
                  <w:vMerge w:val="continue"/>
                  <w:tcBorders>
                    <w:tl2br w:val="nil"/>
                    <w:tr2bl w:val="nil"/>
                  </w:tcBorders>
                  <w:noWrap w:val="0"/>
                  <w:vAlign w:val="center"/>
                </w:tcPr>
                <w:p w14:paraId="4E78EBBE">
                  <w:pPr>
                    <w:keepNext w:val="0"/>
                    <w:keepLines w:val="0"/>
                    <w:pageBreakBefore w:val="0"/>
                    <w:widowControl w:val="0"/>
                    <w:kinsoku/>
                    <w:wordWrap/>
                    <w:overflowPunct/>
                    <w:topLinePunct w:val="0"/>
                    <w:autoSpaceDE/>
                    <w:autoSpaceDN/>
                    <w:bidi w:val="0"/>
                    <w:spacing w:line="240" w:lineRule="auto"/>
                    <w:ind w:right="-76" w:rightChars="-36"/>
                    <w:textAlignment w:val="auto"/>
                    <w:rPr>
                      <w:rFonts w:hint="default" w:ascii="Times New Roman" w:hAnsi="Times New Roman" w:eastAsia="仿宋" w:cs="Times New Roman"/>
                      <w:color w:val="auto"/>
                      <w:sz w:val="21"/>
                      <w:szCs w:val="21"/>
                      <w:highlight w:val="none"/>
                    </w:rPr>
                  </w:pPr>
                </w:p>
              </w:tc>
              <w:tc>
                <w:tcPr>
                  <w:tcW w:w="763" w:type="pct"/>
                  <w:tcBorders>
                    <w:tl2br w:val="nil"/>
                    <w:tr2bl w:val="nil"/>
                  </w:tcBorders>
                  <w:shd w:val="clear" w:color="auto" w:fill="auto"/>
                  <w:noWrap w:val="0"/>
                  <w:vAlign w:val="center"/>
                </w:tcPr>
                <w:p w14:paraId="0A4A4788">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 w:val="21"/>
                      <w:szCs w:val="21"/>
                      <w:highlight w:val="none"/>
                      <w:lang w:val="en-US" w:eastAsia="zh-CN"/>
                    </w:rPr>
                    <w:t>机加工</w:t>
                  </w:r>
                </w:p>
              </w:tc>
              <w:tc>
                <w:tcPr>
                  <w:tcW w:w="435" w:type="pct"/>
                  <w:tcBorders>
                    <w:tl2br w:val="nil"/>
                    <w:tr2bl w:val="nil"/>
                  </w:tcBorders>
                  <w:shd w:val="clear" w:color="auto" w:fill="auto"/>
                  <w:noWrap w:val="0"/>
                  <w:vAlign w:val="center"/>
                </w:tcPr>
                <w:p w14:paraId="40CB0093">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固态</w:t>
                  </w:r>
                </w:p>
              </w:tc>
              <w:tc>
                <w:tcPr>
                  <w:tcW w:w="870" w:type="pct"/>
                  <w:tcBorders>
                    <w:tl2br w:val="nil"/>
                    <w:tr2bl w:val="nil"/>
                  </w:tcBorders>
                  <w:shd w:val="clear" w:color="auto" w:fill="auto"/>
                  <w:noWrap w:val="0"/>
                  <w:vAlign w:val="center"/>
                </w:tcPr>
                <w:p w14:paraId="0CED71AB">
                  <w:pPr>
                    <w:pStyle w:val="39"/>
                    <w:adjustRightInd w:val="0"/>
                    <w:snapToGrid w:val="0"/>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 w:val="21"/>
                      <w:szCs w:val="21"/>
                      <w:highlight w:val="none"/>
                      <w:lang w:val="en-US" w:eastAsia="zh-CN"/>
                    </w:rPr>
                    <w:t>滤网、切削液</w:t>
                  </w:r>
                </w:p>
              </w:tc>
              <w:tc>
                <w:tcPr>
                  <w:tcW w:w="647" w:type="pct"/>
                  <w:tcBorders>
                    <w:tl2br w:val="nil"/>
                    <w:tr2bl w:val="nil"/>
                  </w:tcBorders>
                  <w:shd w:val="clear" w:color="auto" w:fill="auto"/>
                  <w:noWrap w:val="0"/>
                  <w:vAlign w:val="center"/>
                </w:tcPr>
                <w:p w14:paraId="3FC178C4">
                  <w:pPr>
                    <w:spacing w:line="240" w:lineRule="exact"/>
                    <w:jc w:val="center"/>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1.5</w:t>
                  </w:r>
                </w:p>
              </w:tc>
              <w:tc>
                <w:tcPr>
                  <w:tcW w:w="621" w:type="pct"/>
                  <w:vMerge w:val="continue"/>
                  <w:tcBorders>
                    <w:tl2br w:val="nil"/>
                    <w:tr2bl w:val="nil"/>
                  </w:tcBorders>
                  <w:shd w:val="clear" w:color="auto" w:fill="auto"/>
                  <w:noWrap w:val="0"/>
                  <w:vAlign w:val="center"/>
                </w:tcPr>
                <w:p w14:paraId="5D5ED14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p>
              </w:tc>
            </w:tr>
            <w:tr w14:paraId="05F9C61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409" w:type="pct"/>
                  <w:tcBorders>
                    <w:tl2br w:val="nil"/>
                    <w:tr2bl w:val="nil"/>
                  </w:tcBorders>
                  <w:shd w:val="clear" w:color="auto" w:fill="auto"/>
                  <w:noWrap w:val="0"/>
                  <w:vAlign w:val="center"/>
                </w:tcPr>
                <w:p w14:paraId="4D9A52F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12</w:t>
                  </w:r>
                </w:p>
              </w:tc>
              <w:tc>
                <w:tcPr>
                  <w:tcW w:w="855" w:type="pct"/>
                  <w:tcBorders>
                    <w:tl2br w:val="nil"/>
                    <w:tr2bl w:val="nil"/>
                  </w:tcBorders>
                  <w:shd w:val="clear" w:color="auto" w:fill="auto"/>
                  <w:noWrap w:val="0"/>
                  <w:vAlign w:val="center"/>
                </w:tcPr>
                <w:p w14:paraId="630EED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生活垃圾</w:t>
                  </w:r>
                </w:p>
              </w:tc>
              <w:tc>
                <w:tcPr>
                  <w:tcW w:w="397" w:type="pct"/>
                  <w:tcBorders>
                    <w:tl2br w:val="nil"/>
                    <w:tr2bl w:val="nil"/>
                  </w:tcBorders>
                  <w:noWrap w:val="0"/>
                  <w:vAlign w:val="center"/>
                </w:tcPr>
                <w:p w14:paraId="2473F2E0">
                  <w:pPr>
                    <w:keepNext w:val="0"/>
                    <w:keepLines w:val="0"/>
                    <w:pageBreakBefore w:val="0"/>
                    <w:widowControl w:val="0"/>
                    <w:kinsoku/>
                    <w:wordWrap/>
                    <w:overflowPunct/>
                    <w:topLinePunct w:val="0"/>
                    <w:autoSpaceDE/>
                    <w:autoSpaceDN/>
                    <w:bidi w:val="0"/>
                    <w:spacing w:line="240" w:lineRule="auto"/>
                    <w:ind w:right="-76" w:rightChars="-36"/>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w:t>
                  </w:r>
                </w:p>
              </w:tc>
              <w:tc>
                <w:tcPr>
                  <w:tcW w:w="763" w:type="pct"/>
                  <w:tcBorders>
                    <w:tl2br w:val="nil"/>
                    <w:tr2bl w:val="nil"/>
                  </w:tcBorders>
                  <w:shd w:val="clear" w:color="auto" w:fill="auto"/>
                  <w:noWrap w:val="0"/>
                  <w:vAlign w:val="center"/>
                </w:tcPr>
                <w:p w14:paraId="3AAC533D">
                  <w:pPr>
                    <w:pStyle w:val="3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kern w:val="2"/>
                      <w:sz w:val="21"/>
                      <w:szCs w:val="21"/>
                      <w:highlight w:val="none"/>
                      <w:lang w:val="zh-CN" w:eastAsia="zh-CN" w:bidi="ar-SA"/>
                    </w:rPr>
                  </w:pPr>
                  <w:r>
                    <w:rPr>
                      <w:rFonts w:hint="default" w:ascii="Times New Roman" w:hAnsi="Times New Roman" w:eastAsia="仿宋" w:cs="Times New Roman"/>
                      <w:color w:val="auto"/>
                      <w:sz w:val="21"/>
                      <w:szCs w:val="21"/>
                      <w:highlight w:val="none"/>
                      <w:lang w:val="en-US" w:eastAsia="zh-CN"/>
                    </w:rPr>
                    <w:t>员工生活</w:t>
                  </w:r>
                </w:p>
              </w:tc>
              <w:tc>
                <w:tcPr>
                  <w:tcW w:w="435" w:type="pct"/>
                  <w:tcBorders>
                    <w:tl2br w:val="nil"/>
                    <w:tr2bl w:val="nil"/>
                  </w:tcBorders>
                  <w:shd w:val="clear" w:color="auto" w:fill="auto"/>
                  <w:noWrap w:val="0"/>
                  <w:vAlign w:val="center"/>
                </w:tcPr>
                <w:p w14:paraId="3FD359C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w:t>
                  </w:r>
                </w:p>
              </w:tc>
              <w:tc>
                <w:tcPr>
                  <w:tcW w:w="870" w:type="pct"/>
                  <w:tcBorders>
                    <w:tl2br w:val="nil"/>
                    <w:tr2bl w:val="nil"/>
                  </w:tcBorders>
                  <w:shd w:val="clear" w:color="auto" w:fill="auto"/>
                  <w:noWrap w:val="0"/>
                  <w:vAlign w:val="center"/>
                </w:tcPr>
                <w:p w14:paraId="38D3763D">
                  <w:pPr>
                    <w:pStyle w:val="3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w:t>
                  </w:r>
                </w:p>
              </w:tc>
              <w:tc>
                <w:tcPr>
                  <w:tcW w:w="647" w:type="pct"/>
                  <w:tcBorders>
                    <w:tl2br w:val="nil"/>
                    <w:tr2bl w:val="nil"/>
                  </w:tcBorders>
                  <w:shd w:val="clear" w:color="auto" w:fill="auto"/>
                  <w:noWrap w:val="0"/>
                  <w:vAlign w:val="center"/>
                </w:tcPr>
                <w:p w14:paraId="43B8F68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sz w:val="21"/>
                      <w:szCs w:val="21"/>
                      <w:highlight w:val="none"/>
                      <w:lang w:val="en-US" w:eastAsia="zh-CN"/>
                    </w:rPr>
                    <w:t>3.75</w:t>
                  </w:r>
                </w:p>
              </w:tc>
              <w:tc>
                <w:tcPr>
                  <w:tcW w:w="621" w:type="pct"/>
                  <w:tcBorders>
                    <w:tl2br w:val="nil"/>
                    <w:tr2bl w:val="nil"/>
                  </w:tcBorders>
                  <w:shd w:val="clear" w:color="auto" w:fill="auto"/>
                  <w:noWrap w:val="0"/>
                  <w:vAlign w:val="center"/>
                </w:tcPr>
                <w:p w14:paraId="141C52A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环卫清运</w:t>
                  </w:r>
                </w:p>
              </w:tc>
            </w:tr>
          </w:tbl>
          <w:p w14:paraId="04EE000C">
            <w:pPr>
              <w:adjustRightInd w:val="0"/>
              <w:snapToGrid w:val="0"/>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eastAsia="zh-CN"/>
              </w:rPr>
              <w:t>（</w:t>
            </w: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贮存场所污染防治措施及环境影响分析</w:t>
            </w:r>
          </w:p>
          <w:p w14:paraId="4BB541C9">
            <w:pPr>
              <w:adjustRightInd w:val="0"/>
              <w:snapToGrid w:val="0"/>
              <w:spacing w:line="360" w:lineRule="auto"/>
              <w:ind w:firstLine="482" w:firstLineChars="200"/>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1）一般工业固废</w:t>
            </w:r>
            <w:r>
              <w:rPr>
                <w:rFonts w:hint="eastAsia" w:cs="Times New Roman"/>
                <w:b/>
                <w:bCs w:val="0"/>
                <w:color w:val="auto"/>
                <w:sz w:val="24"/>
                <w:szCs w:val="24"/>
                <w:highlight w:val="none"/>
                <w:lang w:val="en-US" w:eastAsia="zh-CN"/>
              </w:rPr>
              <w:t>贮存场所</w:t>
            </w:r>
          </w:p>
          <w:p w14:paraId="01A04D7D">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本项目设置一</w:t>
            </w:r>
            <w:r>
              <w:rPr>
                <w:rFonts w:hint="eastAsia" w:ascii="Times New Roman" w:hAnsi="Times New Roman" w:eastAsia="宋体" w:cs="Times New Roman"/>
                <w:color w:val="auto"/>
                <w:sz w:val="24"/>
                <w:szCs w:val="24"/>
                <w:highlight w:val="none"/>
                <w:lang w:val="en-US" w:eastAsia="zh-CN"/>
              </w:rPr>
              <w:t>间</w:t>
            </w:r>
            <w:r>
              <w:rPr>
                <w:rFonts w:hint="eastAsia" w:cs="Times New Roman"/>
                <w:color w:val="auto"/>
                <w:sz w:val="24"/>
                <w:szCs w:val="24"/>
                <w:highlight w:val="none"/>
                <w:lang w:val="en-US" w:eastAsia="zh-CN"/>
              </w:rPr>
              <w:t>8.3</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一般</w:t>
            </w:r>
            <w:r>
              <w:rPr>
                <w:rFonts w:hint="default" w:ascii="Times New Roman" w:hAnsi="Times New Roman" w:eastAsia="宋体" w:cs="Times New Roman"/>
                <w:color w:val="auto"/>
                <w:sz w:val="24"/>
                <w:szCs w:val="24"/>
                <w:highlight w:val="none"/>
                <w:lang w:eastAsia="zh-CN"/>
              </w:rPr>
              <w:t>工业</w:t>
            </w:r>
            <w:r>
              <w:rPr>
                <w:rFonts w:hint="default" w:ascii="Times New Roman" w:hAnsi="Times New Roman" w:eastAsia="宋体" w:cs="Times New Roman"/>
                <w:color w:val="auto"/>
                <w:sz w:val="24"/>
                <w:szCs w:val="24"/>
                <w:highlight w:val="none"/>
              </w:rPr>
              <w:t>固废仓库，</w:t>
            </w:r>
            <w:r>
              <w:rPr>
                <w:rFonts w:hint="default" w:ascii="Times New Roman" w:hAnsi="Times New Roman" w:eastAsia="宋体" w:cs="Times New Roman"/>
                <w:color w:val="auto"/>
                <w:sz w:val="24"/>
                <w:szCs w:val="24"/>
                <w:highlight w:val="none"/>
                <w:lang w:eastAsia="zh-CN"/>
              </w:rPr>
              <w:t>一般固废仓库</w:t>
            </w:r>
            <w:r>
              <w:rPr>
                <w:rFonts w:hint="eastAsia" w:ascii="Times New Roman" w:hAnsi="Times New Roman" w:eastAsia="宋体" w:cs="Times New Roman"/>
                <w:color w:val="auto"/>
                <w:sz w:val="24"/>
                <w:szCs w:val="24"/>
                <w:highlight w:val="none"/>
                <w:lang w:val="en-US" w:eastAsia="zh-CN"/>
              </w:rPr>
              <w:t>符合</w:t>
            </w:r>
            <w:r>
              <w:rPr>
                <w:rFonts w:hint="default" w:ascii="Times New Roman" w:hAnsi="Times New Roman" w:eastAsia="宋体" w:cs="Times New Roman"/>
                <w:color w:val="auto"/>
                <w:sz w:val="24"/>
                <w:szCs w:val="24"/>
                <w:highlight w:val="none"/>
              </w:rPr>
              <w:t>《一般工业固体废物贮存和填埋污染控制标准》（GB</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18599-2020）</w:t>
            </w:r>
            <w:r>
              <w:rPr>
                <w:rFonts w:hint="default" w:ascii="Times New Roman" w:hAnsi="Times New Roman" w:eastAsia="宋体" w:cs="Times New Roman"/>
                <w:color w:val="auto"/>
                <w:sz w:val="24"/>
                <w:szCs w:val="24"/>
                <w:highlight w:val="none"/>
                <w:lang w:eastAsia="zh-CN"/>
              </w:rPr>
              <w:t>的要求规范建设和维护使用，贮存过程中需做到</w:t>
            </w:r>
            <w:r>
              <w:rPr>
                <w:rFonts w:hint="default" w:ascii="Times New Roman" w:hAnsi="Times New Roman" w:eastAsia="宋体" w:cs="Times New Roman"/>
                <w:color w:val="auto"/>
                <w:sz w:val="24"/>
                <w:szCs w:val="24"/>
                <w:highlight w:val="none"/>
              </w:rPr>
              <w:t>防</w:t>
            </w:r>
            <w:r>
              <w:rPr>
                <w:rFonts w:hint="default" w:ascii="Times New Roman" w:hAnsi="Times New Roman" w:eastAsia="宋体" w:cs="Times New Roman"/>
                <w:color w:val="auto"/>
                <w:sz w:val="24"/>
                <w:szCs w:val="24"/>
                <w:highlight w:val="none"/>
                <w:lang w:eastAsia="zh-CN"/>
              </w:rPr>
              <w:t>渗漏</w:t>
            </w:r>
            <w:r>
              <w:rPr>
                <w:rFonts w:hint="default" w:ascii="Times New Roman" w:hAnsi="Times New Roman" w:eastAsia="宋体" w:cs="Times New Roman"/>
                <w:color w:val="auto"/>
                <w:sz w:val="24"/>
                <w:szCs w:val="24"/>
                <w:highlight w:val="none"/>
              </w:rPr>
              <w:t>、防雨淋、防扬尘等环境保护要求。一般工业固废仓库禁止危险废物和生活垃圾混入</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并按照《</w:t>
            </w:r>
            <w:r>
              <w:rPr>
                <w:rFonts w:hint="eastAsia" w:ascii="Times New Roman" w:hAnsi="Times New Roman" w:eastAsia="宋体" w:cs="Times New Roman"/>
                <w:color w:val="auto"/>
                <w:sz w:val="24"/>
                <w:szCs w:val="24"/>
                <w:highlight w:val="none"/>
                <w:lang w:eastAsia="zh-CN"/>
              </w:rPr>
              <w:t>环境保护图形标志固体废物贮存（处置）场</w:t>
            </w:r>
            <w:r>
              <w:rPr>
                <w:rFonts w:hint="default" w:ascii="Times New Roman" w:hAnsi="Times New Roman" w:eastAsia="宋体" w:cs="Times New Roman"/>
                <w:color w:val="auto"/>
                <w:sz w:val="24"/>
                <w:szCs w:val="24"/>
                <w:highlight w:val="none"/>
              </w:rPr>
              <w:t>》（GB</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15562.2-1995）</w:t>
            </w:r>
            <w:r>
              <w:rPr>
                <w:rFonts w:hint="eastAsia" w:ascii="Times New Roman" w:hAnsi="Times New Roman" w:cs="Times New Roman"/>
                <w:color w:val="auto"/>
                <w:sz w:val="24"/>
                <w:szCs w:val="24"/>
                <w:highlight w:val="none"/>
                <w:lang w:val="en-US" w:eastAsia="zh-CN"/>
              </w:rPr>
              <w:t>及其</w:t>
            </w:r>
            <w:r>
              <w:rPr>
                <w:rFonts w:hint="eastAsia" w:ascii="Times New Roman" w:hAnsi="Times New Roman" w:eastAsia="宋体" w:cs="Times New Roman"/>
                <w:color w:val="auto"/>
                <w:sz w:val="24"/>
                <w:szCs w:val="24"/>
                <w:highlight w:val="none"/>
                <w:lang w:eastAsia="zh-CN"/>
              </w:rPr>
              <w:t>修改单</w:t>
            </w:r>
            <w:r>
              <w:rPr>
                <w:rFonts w:hint="default" w:ascii="Times New Roman" w:hAnsi="Times New Roman" w:eastAsia="宋体" w:cs="Times New Roman"/>
                <w:color w:val="auto"/>
                <w:sz w:val="24"/>
                <w:szCs w:val="24"/>
                <w:highlight w:val="none"/>
                <w:lang w:eastAsia="zh-CN"/>
              </w:rPr>
              <w:t>的</w:t>
            </w:r>
            <w:r>
              <w:rPr>
                <w:rFonts w:hint="default" w:ascii="Times New Roman" w:hAnsi="Times New Roman" w:eastAsia="宋体" w:cs="Times New Roman"/>
                <w:color w:val="auto"/>
                <w:sz w:val="24"/>
                <w:szCs w:val="24"/>
                <w:highlight w:val="none"/>
              </w:rPr>
              <w:t>要求张贴环保标志</w:t>
            </w:r>
            <w:r>
              <w:rPr>
                <w:rFonts w:hint="default" w:ascii="Times New Roman" w:hAnsi="Times New Roman" w:eastAsia="宋体" w:cs="Times New Roman"/>
                <w:color w:val="auto"/>
                <w:sz w:val="24"/>
                <w:szCs w:val="24"/>
                <w:highlight w:val="none"/>
                <w:lang w:eastAsia="zh-CN"/>
              </w:rPr>
              <w:t>。一般工业固废</w:t>
            </w:r>
            <w:r>
              <w:rPr>
                <w:rFonts w:hint="default" w:ascii="Times New Roman" w:hAnsi="Times New Roman" w:eastAsia="宋体" w:cs="Times New Roman"/>
                <w:color w:val="auto"/>
                <w:sz w:val="24"/>
                <w:szCs w:val="24"/>
                <w:highlight w:val="none"/>
              </w:rPr>
              <w:t>收集后</w:t>
            </w:r>
            <w:r>
              <w:rPr>
                <w:rFonts w:hint="default" w:ascii="Times New Roman" w:hAnsi="Times New Roman" w:eastAsia="宋体" w:cs="Times New Roman"/>
                <w:color w:val="auto"/>
                <w:sz w:val="24"/>
                <w:szCs w:val="24"/>
                <w:highlight w:val="none"/>
                <w:lang w:eastAsia="zh-CN"/>
              </w:rPr>
              <w:t>委托</w:t>
            </w:r>
            <w:r>
              <w:rPr>
                <w:rFonts w:hint="default" w:ascii="Times New Roman" w:hAnsi="Times New Roman" w:eastAsia="宋体" w:cs="Times New Roman"/>
                <w:color w:val="auto"/>
                <w:sz w:val="24"/>
                <w:szCs w:val="24"/>
                <w:highlight w:val="none"/>
              </w:rPr>
              <w:t>一般</w:t>
            </w:r>
            <w:r>
              <w:rPr>
                <w:rFonts w:hint="default" w:ascii="Times New Roman" w:hAnsi="Times New Roman" w:eastAsia="宋体" w:cs="Times New Roman"/>
                <w:color w:val="auto"/>
                <w:sz w:val="24"/>
                <w:szCs w:val="24"/>
                <w:highlight w:val="none"/>
                <w:lang w:eastAsia="zh-CN"/>
              </w:rPr>
              <w:t>工业</w:t>
            </w:r>
            <w:r>
              <w:rPr>
                <w:rFonts w:hint="default" w:ascii="Times New Roman" w:hAnsi="Times New Roman" w:eastAsia="宋体" w:cs="Times New Roman"/>
                <w:color w:val="auto"/>
                <w:sz w:val="24"/>
                <w:szCs w:val="24"/>
                <w:highlight w:val="none"/>
              </w:rPr>
              <w:t>固废</w:t>
            </w:r>
            <w:r>
              <w:rPr>
                <w:rFonts w:hint="default" w:ascii="Times New Roman" w:hAnsi="Times New Roman" w:eastAsia="宋体" w:cs="Times New Roman"/>
                <w:color w:val="auto"/>
                <w:sz w:val="24"/>
                <w:szCs w:val="24"/>
                <w:highlight w:val="none"/>
                <w:lang w:eastAsia="zh-CN"/>
              </w:rPr>
              <w:t>处置单位处置。按照《省生态环境厅关于进一步完善一般工业固体废物环境管理的通知》</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苏环办</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2023</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327号</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的要求，企业应强化主体责任落实，建立健全一般固废全过程管理台账，落实转运转移制度，规范利用处置过程。</w:t>
            </w:r>
          </w:p>
          <w:p w14:paraId="78780825">
            <w:pPr>
              <w:keepNext w:val="0"/>
              <w:keepLines w:val="0"/>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rPr>
                <w:rFonts w:hint="default" w:ascii="Times New Roman" w:hAnsi="Times New Roman" w:cs="Times New Roman"/>
                <w:color w:val="auto"/>
                <w:sz w:val="24"/>
                <w:szCs w:val="24"/>
                <w:highlight w:val="none"/>
                <w:lang w:val="en-US"/>
              </w:rPr>
            </w:pPr>
            <w:r>
              <w:rPr>
                <w:rFonts w:hint="eastAsia" w:ascii="Times New Roman" w:hAnsi="Times New Roman" w:eastAsia="宋体" w:cs="Times New Roman"/>
                <w:color w:val="auto"/>
                <w:sz w:val="24"/>
                <w:szCs w:val="24"/>
                <w:highlight w:val="none"/>
                <w:lang w:val="en-US" w:eastAsia="zh-CN"/>
              </w:rPr>
              <w:t>本项目与</w:t>
            </w:r>
            <w:r>
              <w:rPr>
                <w:rFonts w:hint="default" w:ascii="Times New Roman" w:hAnsi="Times New Roman" w:eastAsia="宋体" w:cs="Times New Roman"/>
                <w:color w:val="auto"/>
                <w:sz w:val="24"/>
                <w:szCs w:val="24"/>
                <w:highlight w:val="none"/>
                <w:lang w:eastAsia="zh-CN"/>
              </w:rPr>
              <w:t>《省生态环境厅关于进一步完善一般工业固体废物环境管理的通知》</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苏环办</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2023</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327号</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的</w:t>
            </w:r>
            <w:r>
              <w:rPr>
                <w:rFonts w:hint="eastAsia" w:ascii="Times New Roman" w:hAnsi="Times New Roman" w:eastAsia="宋体" w:cs="Times New Roman"/>
                <w:color w:val="auto"/>
                <w:sz w:val="24"/>
                <w:szCs w:val="24"/>
                <w:highlight w:val="none"/>
                <w:lang w:val="en-US" w:eastAsia="zh-CN"/>
              </w:rPr>
              <w:t>相符性见下表。</w:t>
            </w:r>
          </w:p>
          <w:p w14:paraId="37A54F3B">
            <w:pPr>
              <w:adjustRightInd w:val="0"/>
              <w:snapToGrid w:val="0"/>
              <w:jc w:val="center"/>
              <w:rPr>
                <w:rFonts w:hint="default"/>
                <w:b/>
                <w:bCs/>
                <w:color w:val="auto"/>
                <w:sz w:val="24"/>
                <w:szCs w:val="24"/>
                <w:highlight w:val="none"/>
                <w:lang w:val="en-US" w:eastAsia="zh-CN"/>
              </w:rPr>
            </w:pPr>
            <w:r>
              <w:rPr>
                <w:rFonts w:hint="default"/>
                <w:b/>
                <w:bCs/>
                <w:color w:val="auto"/>
                <w:sz w:val="24"/>
                <w:szCs w:val="24"/>
                <w:highlight w:val="none"/>
              </w:rPr>
              <w:t>表4-</w:t>
            </w:r>
            <w:r>
              <w:rPr>
                <w:rFonts w:hint="eastAsia"/>
                <w:b/>
                <w:bCs/>
                <w:color w:val="auto"/>
                <w:sz w:val="24"/>
                <w:szCs w:val="24"/>
                <w:highlight w:val="none"/>
                <w:lang w:val="en-US" w:eastAsia="zh-CN"/>
              </w:rPr>
              <w:t xml:space="preserve">22  </w:t>
            </w:r>
            <w:r>
              <w:rPr>
                <w:rFonts w:hint="default"/>
                <w:b/>
                <w:bCs/>
                <w:color w:val="auto"/>
                <w:sz w:val="24"/>
                <w:szCs w:val="24"/>
                <w:highlight w:val="none"/>
              </w:rPr>
              <w:t>与《省生态环境厅关于进一步完善一般工业固体废物环境管理的通知》（苏环办〔2023〕327号）的相符性分析</w:t>
            </w:r>
          </w:p>
          <w:tbl>
            <w:tblPr>
              <w:tblStyle w:val="23"/>
              <w:tblW w:w="0" w:type="auto"/>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444"/>
              <w:gridCol w:w="356"/>
              <w:gridCol w:w="4440"/>
              <w:gridCol w:w="1990"/>
              <w:gridCol w:w="707"/>
            </w:tblGrid>
            <w:tr w14:paraId="6ED86D8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444" w:type="dxa"/>
                  <w:tcBorders>
                    <w:tl2br w:val="nil"/>
                    <w:tr2bl w:val="nil"/>
                  </w:tcBorders>
                  <w:noWrap w:val="0"/>
                  <w:vAlign w:val="center"/>
                </w:tcPr>
                <w:p w14:paraId="1AF5172E">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kern w:val="0"/>
                      <w:sz w:val="21"/>
                      <w:szCs w:val="21"/>
                      <w:highlight w:val="none"/>
                      <w:lang w:val="en-US" w:eastAsia="zh-CN"/>
                    </w:rPr>
                  </w:pPr>
                  <w:r>
                    <w:rPr>
                      <w:rFonts w:hint="default" w:ascii="Times New Roman" w:hAnsi="Times New Roman" w:eastAsia="仿宋" w:cs="Times New Roman"/>
                      <w:b/>
                      <w:bCs/>
                      <w:color w:val="auto"/>
                      <w:kern w:val="0"/>
                      <w:sz w:val="21"/>
                      <w:szCs w:val="21"/>
                      <w:highlight w:val="none"/>
                      <w:lang w:val="en-US" w:eastAsia="zh-CN"/>
                    </w:rPr>
                    <w:t>序号</w:t>
                  </w:r>
                </w:p>
              </w:tc>
              <w:tc>
                <w:tcPr>
                  <w:tcW w:w="4796" w:type="dxa"/>
                  <w:gridSpan w:val="2"/>
                  <w:tcBorders>
                    <w:tl2br w:val="nil"/>
                    <w:tr2bl w:val="nil"/>
                  </w:tcBorders>
                  <w:noWrap w:val="0"/>
                  <w:vAlign w:val="center"/>
                </w:tcPr>
                <w:p w14:paraId="38DAEA42">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kern w:val="0"/>
                      <w:sz w:val="21"/>
                      <w:szCs w:val="21"/>
                      <w:highlight w:val="none"/>
                      <w:lang w:val="en-US" w:eastAsia="zh-CN"/>
                    </w:rPr>
                  </w:pPr>
                  <w:r>
                    <w:rPr>
                      <w:rFonts w:hint="default" w:ascii="Times New Roman" w:hAnsi="Times New Roman" w:eastAsia="仿宋" w:cs="Times New Roman"/>
                      <w:b/>
                      <w:bCs/>
                      <w:color w:val="auto"/>
                      <w:kern w:val="0"/>
                      <w:sz w:val="21"/>
                      <w:szCs w:val="21"/>
                      <w:highlight w:val="none"/>
                      <w:lang w:val="en-US" w:eastAsia="zh-CN"/>
                    </w:rPr>
                    <w:t>规范设置要求</w:t>
                  </w:r>
                </w:p>
              </w:tc>
              <w:tc>
                <w:tcPr>
                  <w:tcW w:w="1990" w:type="dxa"/>
                  <w:tcBorders>
                    <w:tl2br w:val="nil"/>
                    <w:tr2bl w:val="nil"/>
                  </w:tcBorders>
                  <w:noWrap w:val="0"/>
                  <w:vAlign w:val="center"/>
                </w:tcPr>
                <w:p w14:paraId="43A0B42B">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kern w:val="0"/>
                      <w:sz w:val="21"/>
                      <w:szCs w:val="21"/>
                      <w:highlight w:val="none"/>
                      <w:lang w:val="en-US" w:eastAsia="zh-CN"/>
                    </w:rPr>
                  </w:pPr>
                  <w:r>
                    <w:rPr>
                      <w:rFonts w:hint="default" w:ascii="Times New Roman" w:hAnsi="Times New Roman" w:eastAsia="仿宋" w:cs="Times New Roman"/>
                      <w:b/>
                      <w:bCs/>
                      <w:color w:val="auto"/>
                      <w:kern w:val="0"/>
                      <w:sz w:val="21"/>
                      <w:szCs w:val="21"/>
                      <w:highlight w:val="none"/>
                    </w:rPr>
                    <w:t>拟设置情况</w:t>
                  </w:r>
                </w:p>
              </w:tc>
              <w:tc>
                <w:tcPr>
                  <w:tcW w:w="707" w:type="dxa"/>
                  <w:tcBorders>
                    <w:tl2br w:val="nil"/>
                    <w:tr2bl w:val="nil"/>
                  </w:tcBorders>
                  <w:noWrap w:val="0"/>
                  <w:vAlign w:val="center"/>
                </w:tcPr>
                <w:p w14:paraId="4F227623">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kern w:val="0"/>
                      <w:sz w:val="21"/>
                      <w:szCs w:val="21"/>
                      <w:highlight w:val="none"/>
                      <w:lang w:val="en-US" w:eastAsia="zh-CN"/>
                    </w:rPr>
                  </w:pPr>
                  <w:r>
                    <w:rPr>
                      <w:rFonts w:hint="default" w:ascii="Times New Roman" w:hAnsi="Times New Roman" w:eastAsia="仿宋" w:cs="Times New Roman"/>
                      <w:b/>
                      <w:bCs/>
                      <w:color w:val="auto"/>
                      <w:kern w:val="0"/>
                      <w:sz w:val="21"/>
                      <w:szCs w:val="21"/>
                      <w:highlight w:val="none"/>
                    </w:rPr>
                    <w:t>相符性</w:t>
                  </w:r>
                </w:p>
              </w:tc>
            </w:tr>
            <w:tr w14:paraId="31230BE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444" w:type="dxa"/>
                  <w:tcBorders>
                    <w:tl2br w:val="nil"/>
                    <w:tr2bl w:val="nil"/>
                  </w:tcBorders>
                  <w:noWrap w:val="0"/>
                  <w:vAlign w:val="center"/>
                </w:tcPr>
                <w:p w14:paraId="6724CF36">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1</w:t>
                  </w:r>
                </w:p>
              </w:tc>
              <w:tc>
                <w:tcPr>
                  <w:tcW w:w="356" w:type="dxa"/>
                  <w:tcBorders>
                    <w:tl2br w:val="nil"/>
                    <w:tr2bl w:val="nil"/>
                  </w:tcBorders>
                  <w:noWrap w:val="0"/>
                  <w:vAlign w:val="center"/>
                </w:tcPr>
                <w:p w14:paraId="1E3BC08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建立健全管理台账</w:t>
                  </w:r>
                </w:p>
              </w:tc>
              <w:tc>
                <w:tcPr>
                  <w:tcW w:w="4440" w:type="dxa"/>
                  <w:tcBorders>
                    <w:tl2br w:val="nil"/>
                    <w:tr2bl w:val="nil"/>
                  </w:tcBorders>
                  <w:noWrap w:val="0"/>
                  <w:vAlign w:val="center"/>
                </w:tcPr>
                <w:p w14:paraId="1C31E00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rPr>
                    <w:t>一般工业固体废物产生单位要严格按照环评文件、排污许可等明确固体废物属性，做好不同属性固体废物分类管理。按照《中华人民共和国固体废物污染环境防治法》《一般工业固体废物管理台账制定指南（试行）》的要求，建立健全全过程管理台账，如实记录一般工业固体废物种类、数量、流向、贮存、利用、处置等信息。推动产生单位建立电子台账，并直接与江苏省固体废物管理信息系统（以下简称固废系统）数据对接。</w:t>
                  </w:r>
                </w:p>
              </w:tc>
              <w:tc>
                <w:tcPr>
                  <w:tcW w:w="1990" w:type="dxa"/>
                  <w:tcBorders>
                    <w:tl2br w:val="nil"/>
                    <w:tr2bl w:val="nil"/>
                  </w:tcBorders>
                  <w:noWrap w:val="0"/>
                  <w:vAlign w:val="center"/>
                </w:tcPr>
                <w:p w14:paraId="3987DE2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rPr>
                    <w:t>本项目一般工业固废按照不同属性进行分类管理，建立健全全过程管理台账，如实记录一般工业固体废物种类、数量、流向、贮存、利用、处置等信息。</w:t>
                  </w:r>
                </w:p>
              </w:tc>
              <w:tc>
                <w:tcPr>
                  <w:tcW w:w="707" w:type="dxa"/>
                  <w:tcBorders>
                    <w:tl2br w:val="nil"/>
                    <w:tr2bl w:val="nil"/>
                  </w:tcBorders>
                  <w:noWrap w:val="0"/>
                  <w:vAlign w:val="center"/>
                </w:tcPr>
                <w:p w14:paraId="79EBF05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相符</w:t>
                  </w:r>
                </w:p>
              </w:tc>
            </w:tr>
            <w:tr w14:paraId="4E5AB35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444" w:type="dxa"/>
                  <w:tcBorders>
                    <w:tl2br w:val="nil"/>
                    <w:tr2bl w:val="nil"/>
                  </w:tcBorders>
                  <w:noWrap w:val="0"/>
                  <w:vAlign w:val="center"/>
                </w:tcPr>
                <w:p w14:paraId="33865447">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2</w:t>
                  </w:r>
                </w:p>
              </w:tc>
              <w:tc>
                <w:tcPr>
                  <w:tcW w:w="356" w:type="dxa"/>
                  <w:tcBorders>
                    <w:tl2br w:val="nil"/>
                    <w:tr2bl w:val="nil"/>
                  </w:tcBorders>
                  <w:noWrap w:val="0"/>
                  <w:vAlign w:val="center"/>
                </w:tcPr>
                <w:p w14:paraId="031226A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建立健全管理台账</w:t>
                  </w:r>
                </w:p>
              </w:tc>
              <w:tc>
                <w:tcPr>
                  <w:tcW w:w="4440" w:type="dxa"/>
                  <w:tcBorders>
                    <w:tl2br w:val="nil"/>
                    <w:tr2bl w:val="nil"/>
                  </w:tcBorders>
                  <w:noWrap w:val="0"/>
                  <w:vAlign w:val="center"/>
                </w:tcPr>
                <w:p w14:paraId="58A351E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rPr>
                    <w:t>一般工业固体废物产生、收集、贮存、利用处置单位应建设满足防扬散、防流失、防渗漏或者其他防止污染环境措施要求的贮存设施，在显著位置设立符合《环境保护图形标志固体废物贮存（处置）场》（GB15562.2）要求的环境保护图形标志。</w:t>
                  </w:r>
                </w:p>
              </w:tc>
              <w:tc>
                <w:tcPr>
                  <w:tcW w:w="1990" w:type="dxa"/>
                  <w:tcBorders>
                    <w:tl2br w:val="nil"/>
                    <w:tr2bl w:val="nil"/>
                  </w:tcBorders>
                  <w:noWrap w:val="0"/>
                  <w:vAlign w:val="center"/>
                </w:tcPr>
                <w:p w14:paraId="0B42949F">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rPr>
                    <w:t>本项目一般固废仓库满足防扬散、防流失、防渗漏或者其他防止污染环境措施要求，且严格按照《环境保护图形标志固体废物贮存（处置）场》（GB</w:t>
                  </w:r>
                  <w:r>
                    <w:rPr>
                      <w:rFonts w:hint="eastAsia" w:ascii="Times New Roman" w:hAnsi="Times New Roman" w:eastAsia="仿宋" w:cs="Times New Roman"/>
                      <w:b w:val="0"/>
                      <w:bCs/>
                      <w:color w:val="auto"/>
                      <w:sz w:val="21"/>
                      <w:szCs w:val="21"/>
                      <w:highlight w:val="none"/>
                      <w:lang w:val="en-US" w:eastAsia="zh-CN"/>
                    </w:rPr>
                    <w:t xml:space="preserve"> </w:t>
                  </w:r>
                  <w:r>
                    <w:rPr>
                      <w:rFonts w:hint="default" w:ascii="Times New Roman" w:hAnsi="Times New Roman" w:eastAsia="仿宋" w:cs="Times New Roman"/>
                      <w:b w:val="0"/>
                      <w:bCs/>
                      <w:color w:val="auto"/>
                      <w:sz w:val="21"/>
                      <w:szCs w:val="21"/>
                      <w:highlight w:val="none"/>
                    </w:rPr>
                    <w:t>15562.2）的要求设置环境保护图形标志。</w:t>
                  </w:r>
                </w:p>
              </w:tc>
              <w:tc>
                <w:tcPr>
                  <w:tcW w:w="707" w:type="dxa"/>
                  <w:tcBorders>
                    <w:tl2br w:val="nil"/>
                    <w:tr2bl w:val="nil"/>
                  </w:tcBorders>
                  <w:noWrap w:val="0"/>
                  <w:vAlign w:val="center"/>
                </w:tcPr>
                <w:p w14:paraId="1EB3157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相符</w:t>
                  </w:r>
                </w:p>
              </w:tc>
            </w:tr>
            <w:tr w14:paraId="48EE17C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444" w:type="dxa"/>
                  <w:tcBorders>
                    <w:tl2br w:val="nil"/>
                    <w:tr2bl w:val="nil"/>
                  </w:tcBorders>
                  <w:noWrap w:val="0"/>
                  <w:vAlign w:val="center"/>
                </w:tcPr>
                <w:p w14:paraId="35252497">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3</w:t>
                  </w:r>
                </w:p>
              </w:tc>
              <w:tc>
                <w:tcPr>
                  <w:tcW w:w="356" w:type="dxa"/>
                  <w:tcBorders>
                    <w:tl2br w:val="nil"/>
                    <w:tr2bl w:val="nil"/>
                  </w:tcBorders>
                  <w:noWrap w:val="0"/>
                  <w:vAlign w:val="center"/>
                </w:tcPr>
                <w:p w14:paraId="1E934E2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rPr>
                    <w:t>落实转运转移制度</w:t>
                  </w:r>
                </w:p>
              </w:tc>
              <w:tc>
                <w:tcPr>
                  <w:tcW w:w="4440" w:type="dxa"/>
                  <w:tcBorders>
                    <w:tl2br w:val="nil"/>
                    <w:tr2bl w:val="nil"/>
                  </w:tcBorders>
                  <w:noWrap w:val="0"/>
                  <w:vAlign w:val="center"/>
                </w:tcPr>
                <w:p w14:paraId="1032E1E6">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rPr>
                    <w:t>产生单位委托运输、利用、处置一般工业固体废物的，要对受托方的主体资格和技术能力进行核实，依法签订书面合同，在合同中约定污染防治要求，并跟踪最终利用处置去向，严禁委托给无利用处置能力的单位和个人，收集单位应落实并跟踪最终利用处置去向。省内转移污泥要严格执行电子转运联单制度，转移其他一般工业固体废物的逐步执行。原则上污泥以设区市为范围就近利用处置。跨省转移贮存、处置一般工业固体废物的，严格执行审批程序。跨省转出利用一般工业固体废物的，执行备案流程，严禁未备先转。接受跨省移入利用一般工业固体废物的单位，应在接受前向属地生态环境部门提供种类、数量、贮存</w:t>
                  </w:r>
                  <w:r>
                    <w:rPr>
                      <w:rFonts w:hint="default" w:ascii="Times New Roman" w:hAnsi="Times New Roman" w:eastAsia="仿宋" w:cs="Times New Roman"/>
                      <w:b w:val="0"/>
                      <w:bCs/>
                      <w:color w:val="auto"/>
                      <w:sz w:val="21"/>
                      <w:szCs w:val="21"/>
                      <w:highlight w:val="none"/>
                      <w:lang w:eastAsia="zh-CN"/>
                    </w:rPr>
                    <w:t>、</w:t>
                  </w:r>
                  <w:r>
                    <w:rPr>
                      <w:rFonts w:hint="default" w:ascii="Times New Roman" w:hAnsi="Times New Roman" w:eastAsia="仿宋" w:cs="Times New Roman"/>
                      <w:b w:val="0"/>
                      <w:bCs/>
                      <w:color w:val="auto"/>
                      <w:sz w:val="21"/>
                      <w:szCs w:val="21"/>
                      <w:highlight w:val="none"/>
                    </w:rPr>
                    <w:t>利用处置等有关资料，防范污染二次转移。对接</w:t>
                  </w:r>
                  <w:r>
                    <w:rPr>
                      <w:rFonts w:hint="default" w:ascii="Times New Roman" w:hAnsi="Times New Roman" w:eastAsia="仿宋" w:cs="Times New Roman"/>
                      <w:b w:val="0"/>
                      <w:bCs/>
                      <w:color w:val="auto"/>
                      <w:sz w:val="21"/>
                      <w:szCs w:val="21"/>
                      <w:highlight w:val="none"/>
                      <w:lang w:val="en-US" w:eastAsia="zh-CN"/>
                    </w:rPr>
                    <w:t>收</w:t>
                  </w:r>
                  <w:r>
                    <w:rPr>
                      <w:rFonts w:hint="default" w:ascii="Times New Roman" w:hAnsi="Times New Roman" w:eastAsia="仿宋" w:cs="Times New Roman"/>
                      <w:b w:val="0"/>
                      <w:bCs/>
                      <w:color w:val="auto"/>
                      <w:sz w:val="21"/>
                      <w:szCs w:val="21"/>
                      <w:highlight w:val="none"/>
                    </w:rPr>
                    <w:t>的一般工业固体废物与合同约定内容不相符的，应予退回，同时向属地生态环境部门报告。</w:t>
                  </w:r>
                </w:p>
              </w:tc>
              <w:tc>
                <w:tcPr>
                  <w:tcW w:w="1990" w:type="dxa"/>
                  <w:tcBorders>
                    <w:tl2br w:val="nil"/>
                    <w:tr2bl w:val="nil"/>
                  </w:tcBorders>
                  <w:noWrap w:val="0"/>
                  <w:vAlign w:val="center"/>
                </w:tcPr>
                <w:p w14:paraId="534924D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rPr>
                    <w:t>本项目</w:t>
                  </w:r>
                  <w:r>
                    <w:rPr>
                      <w:rFonts w:hint="default" w:ascii="Times New Roman" w:hAnsi="Times New Roman" w:eastAsia="仿宋" w:cs="Times New Roman"/>
                      <w:b w:val="0"/>
                      <w:bCs/>
                      <w:color w:val="auto"/>
                      <w:sz w:val="21"/>
                      <w:szCs w:val="21"/>
                      <w:highlight w:val="none"/>
                      <w:lang w:val="en-US" w:eastAsia="zh-CN"/>
                    </w:rPr>
                    <w:t>在运营期产生的一般固废</w:t>
                  </w:r>
                  <w:r>
                    <w:rPr>
                      <w:rFonts w:hint="default" w:ascii="Times New Roman" w:hAnsi="Times New Roman" w:eastAsia="仿宋" w:cs="Times New Roman"/>
                      <w:b w:val="0"/>
                      <w:bCs/>
                      <w:color w:val="auto"/>
                      <w:sz w:val="21"/>
                      <w:szCs w:val="21"/>
                      <w:highlight w:val="none"/>
                    </w:rPr>
                    <w:t>与一般工业固废处置单位签订书面合同，并在合同中约定污染防治要求，并跟踪最终利用处置去向。</w:t>
                  </w:r>
                </w:p>
              </w:tc>
              <w:tc>
                <w:tcPr>
                  <w:tcW w:w="707" w:type="dxa"/>
                  <w:tcBorders>
                    <w:tl2br w:val="nil"/>
                    <w:tr2bl w:val="nil"/>
                  </w:tcBorders>
                  <w:noWrap w:val="0"/>
                  <w:vAlign w:val="center"/>
                </w:tcPr>
                <w:p w14:paraId="0887EBE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相符</w:t>
                  </w:r>
                </w:p>
              </w:tc>
            </w:tr>
            <w:tr w14:paraId="56969D5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444" w:type="dxa"/>
                  <w:tcBorders>
                    <w:tl2br w:val="nil"/>
                    <w:tr2bl w:val="nil"/>
                  </w:tcBorders>
                  <w:noWrap w:val="0"/>
                  <w:vAlign w:val="center"/>
                </w:tcPr>
                <w:p w14:paraId="7BBB1E6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4</w:t>
                  </w:r>
                </w:p>
              </w:tc>
              <w:tc>
                <w:tcPr>
                  <w:tcW w:w="356" w:type="dxa"/>
                  <w:tcBorders>
                    <w:tl2br w:val="nil"/>
                    <w:tr2bl w:val="nil"/>
                  </w:tcBorders>
                  <w:noWrap w:val="0"/>
                  <w:vAlign w:val="center"/>
                </w:tcPr>
                <w:p w14:paraId="19F7FE8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全面开展信息申报</w:t>
                  </w:r>
                </w:p>
              </w:tc>
              <w:tc>
                <w:tcPr>
                  <w:tcW w:w="4440" w:type="dxa"/>
                  <w:tcBorders>
                    <w:tl2br w:val="nil"/>
                    <w:tr2bl w:val="nil"/>
                  </w:tcBorders>
                  <w:noWrap w:val="0"/>
                  <w:vAlign w:val="center"/>
                </w:tcPr>
                <w:p w14:paraId="5DC7BDA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rPr>
                    <w:t>排污许可中涉及一般工业固体废物的单位均应进入固废系统申报，污染</w:t>
                  </w:r>
                  <w:r>
                    <w:rPr>
                      <w:rFonts w:hint="eastAsia" w:ascii="仿宋" w:hAnsi="仿宋" w:eastAsia="仿宋" w:cs="仿宋"/>
                      <w:b w:val="0"/>
                      <w:bCs/>
                      <w:color w:val="auto"/>
                      <w:sz w:val="21"/>
                      <w:szCs w:val="21"/>
                      <w:highlight w:val="none"/>
                    </w:rPr>
                    <w:t>源</w:t>
                  </w: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rPr>
                    <w:t>一企一档</w:t>
                  </w: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rPr>
                    <w:t>管理系统（企业</w:t>
                  </w: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rPr>
                    <w:t>环保脸谱</w:t>
                  </w: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rPr>
                    <w:t>）自</w:t>
                  </w:r>
                  <w:r>
                    <w:rPr>
                      <w:rFonts w:hint="default" w:ascii="Times New Roman" w:hAnsi="Times New Roman" w:eastAsia="仿宋" w:cs="Times New Roman"/>
                      <w:b w:val="0"/>
                      <w:bCs/>
                      <w:color w:val="auto"/>
                      <w:sz w:val="21"/>
                      <w:szCs w:val="21"/>
                      <w:highlight w:val="none"/>
                    </w:rPr>
                    <w:t>动向相关单位及其属地生态环境部门推送提醒申报信息。无排污许可证或排污许可证未涉及固体废物，但实际涉及一般工业固体废物的，也可通过固废系统进行申报。固废系统内单位分为产生单位和收集贮存利用处置单位。产生固体废物（次生固体废物除外）的单位属于产生单位，如还涉及收集、贮存、利用、处置活动的，可在业务下同时选择产生固体废物和收集、贮存、利用、处置固体废物。收集贮存利用处置单位不涉及固体废物产生（次生固体废物除外）。一般工业固体废物产生单位根据年产废量大于100吨（含100吨）、小于100吨且大于10吨（含10吨）、小于10吨分别按月度、季度和年度申报，涉及一般工业污泥产生的单位按月度申报。一般工业固体废物收集贮存利用处置单位按月度申报，涉及一般污泥收集贮存利用处置的单位按日申报。原通过江苏省危险废物动态管理系统申报的一般污泥产生和利用处置单位，要按固废系统要求继续申报，补充完善基本信息和一般污泥代码。对未按要求申报的，固废系统自动限制电子转运联单功能。</w:t>
                  </w:r>
                </w:p>
              </w:tc>
              <w:tc>
                <w:tcPr>
                  <w:tcW w:w="1990" w:type="dxa"/>
                  <w:tcBorders>
                    <w:tl2br w:val="nil"/>
                    <w:tr2bl w:val="nil"/>
                  </w:tcBorders>
                  <w:noWrap w:val="0"/>
                  <w:vAlign w:val="center"/>
                </w:tcPr>
                <w:p w14:paraId="5EA32D0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rPr>
                    <w:t>本项目建成后，产生的一般工业固体废物通过固</w:t>
                  </w:r>
                  <w:r>
                    <w:rPr>
                      <w:rFonts w:hint="default" w:ascii="Times New Roman" w:hAnsi="Times New Roman" w:eastAsia="仿宋" w:cs="Times New Roman"/>
                      <w:b w:val="0"/>
                      <w:bCs/>
                      <w:color w:val="auto"/>
                      <w:sz w:val="21"/>
                      <w:szCs w:val="21"/>
                      <w:highlight w:val="none"/>
                      <w:lang w:val="en-US" w:eastAsia="zh-CN"/>
                    </w:rPr>
                    <w:t>废系统进行申报。</w:t>
                  </w:r>
                </w:p>
              </w:tc>
              <w:tc>
                <w:tcPr>
                  <w:tcW w:w="707" w:type="dxa"/>
                  <w:tcBorders>
                    <w:tl2br w:val="nil"/>
                    <w:tr2bl w:val="nil"/>
                  </w:tcBorders>
                  <w:noWrap w:val="0"/>
                  <w:vAlign w:val="center"/>
                </w:tcPr>
                <w:p w14:paraId="05458FF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default" w:ascii="Times New Roman" w:hAnsi="Times New Roman" w:eastAsia="仿宋" w:cs="Times New Roman"/>
                      <w:b w:val="0"/>
                      <w:bCs/>
                      <w:color w:val="auto"/>
                      <w:sz w:val="21"/>
                      <w:szCs w:val="21"/>
                      <w:highlight w:val="none"/>
                      <w:vertAlign w:val="baseline"/>
                      <w:lang w:val="en-US" w:eastAsia="zh-CN"/>
                    </w:rPr>
                  </w:pPr>
                  <w:r>
                    <w:rPr>
                      <w:rFonts w:hint="default" w:ascii="Times New Roman" w:hAnsi="Times New Roman" w:eastAsia="仿宋" w:cs="Times New Roman"/>
                      <w:b w:val="0"/>
                      <w:bCs/>
                      <w:color w:val="auto"/>
                      <w:sz w:val="21"/>
                      <w:szCs w:val="21"/>
                      <w:highlight w:val="none"/>
                      <w:vertAlign w:val="baseline"/>
                      <w:lang w:val="en-US" w:eastAsia="zh-CN"/>
                    </w:rPr>
                    <w:t>相符</w:t>
                  </w:r>
                </w:p>
              </w:tc>
            </w:tr>
          </w:tbl>
          <w:p w14:paraId="73C2CAB3">
            <w:pPr>
              <w:adjustRightInd w:val="0"/>
              <w:snapToGrid w:val="0"/>
              <w:spacing w:line="360" w:lineRule="auto"/>
              <w:ind w:firstLine="482" w:firstLineChars="200"/>
              <w:rPr>
                <w:rFonts w:hint="eastAsia" w:eastAsia="宋体"/>
                <w:b/>
                <w:bCs/>
                <w:color w:val="auto"/>
                <w:sz w:val="24"/>
                <w:szCs w:val="24"/>
                <w:highlight w:val="none"/>
                <w:lang w:val="en-US" w:eastAsia="zh-CN"/>
              </w:rPr>
            </w:pPr>
            <w:r>
              <w:rPr>
                <w:b/>
                <w:bCs/>
                <w:color w:val="auto"/>
                <w:sz w:val="24"/>
                <w:szCs w:val="24"/>
                <w:highlight w:val="none"/>
              </w:rPr>
              <w:t>2）危险废物</w:t>
            </w:r>
            <w:r>
              <w:rPr>
                <w:rFonts w:hint="eastAsia"/>
                <w:b/>
                <w:bCs/>
                <w:color w:val="auto"/>
                <w:sz w:val="24"/>
                <w:szCs w:val="24"/>
                <w:highlight w:val="none"/>
                <w:lang w:val="en-US" w:eastAsia="zh-CN"/>
              </w:rPr>
              <w:t>贮存场所</w:t>
            </w:r>
          </w:p>
          <w:p w14:paraId="45C055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szCs w:val="24"/>
                <w:highlight w:val="none"/>
              </w:rPr>
              <w:t>本项目</w:t>
            </w:r>
            <w:r>
              <w:rPr>
                <w:rFonts w:hint="eastAsia" w:cs="Times New Roman"/>
                <w:bCs/>
                <w:color w:val="auto"/>
                <w:sz w:val="24"/>
                <w:szCs w:val="24"/>
                <w:highlight w:val="none"/>
                <w:lang w:val="en-US" w:eastAsia="zh-CN"/>
              </w:rPr>
              <w:t>设置38</w:t>
            </w:r>
            <w:r>
              <w:rPr>
                <w:rFonts w:hint="default" w:ascii="Times New Roman" w:hAnsi="Times New Roman" w:eastAsia="宋体" w:cs="Times New Roman"/>
                <w:bCs/>
                <w:color w:val="auto"/>
                <w:sz w:val="24"/>
                <w:szCs w:val="24"/>
                <w:highlight w:val="none"/>
              </w:rPr>
              <w:t>m</w:t>
            </w:r>
            <w:r>
              <w:rPr>
                <w:rFonts w:hint="default" w:ascii="Times New Roman" w:hAnsi="Times New Roman" w:eastAsia="宋体" w:cs="Times New Roman"/>
                <w:bCs/>
                <w:color w:val="auto"/>
                <w:sz w:val="24"/>
                <w:szCs w:val="24"/>
                <w:highlight w:val="none"/>
                <w:vertAlign w:val="superscript"/>
              </w:rPr>
              <w:t>2</w:t>
            </w:r>
            <w:r>
              <w:rPr>
                <w:rFonts w:hint="eastAsia" w:cs="Times New Roman"/>
                <w:bCs/>
                <w:color w:val="auto"/>
                <w:sz w:val="24"/>
                <w:szCs w:val="24"/>
                <w:highlight w:val="none"/>
                <w:vertAlign w:val="baseline"/>
                <w:lang w:val="en-US" w:eastAsia="zh-CN"/>
              </w:rPr>
              <w:t>的</w:t>
            </w:r>
            <w:r>
              <w:rPr>
                <w:rFonts w:hint="default" w:ascii="Times New Roman" w:hAnsi="Times New Roman" w:eastAsia="宋体" w:cs="Times New Roman"/>
                <w:bCs/>
                <w:color w:val="auto"/>
                <w:sz w:val="24"/>
                <w:szCs w:val="24"/>
                <w:highlight w:val="none"/>
              </w:rPr>
              <w:t>危废</w:t>
            </w:r>
            <w:r>
              <w:rPr>
                <w:rFonts w:hint="eastAsia" w:cs="Times New Roman"/>
                <w:bCs/>
                <w:color w:val="auto"/>
                <w:sz w:val="24"/>
                <w:szCs w:val="24"/>
                <w:highlight w:val="none"/>
                <w:lang w:eastAsia="zh-CN"/>
              </w:rPr>
              <w:t>仓库</w:t>
            </w:r>
            <w:r>
              <w:rPr>
                <w:rFonts w:hint="default" w:ascii="Times New Roman" w:hAnsi="Times New Roman" w:eastAsia="宋体" w:cs="Times New Roman"/>
                <w:bCs/>
                <w:color w:val="auto"/>
                <w:sz w:val="24"/>
                <w:szCs w:val="24"/>
                <w:highlight w:val="none"/>
              </w:rPr>
              <w:t>，</w:t>
            </w:r>
            <w:r>
              <w:rPr>
                <w:rFonts w:hint="eastAsia" w:ascii="Times New Roman" w:hAnsi="Times New Roman" w:cs="Times New Roman"/>
                <w:color w:val="auto"/>
                <w:sz w:val="24"/>
                <w:szCs w:val="24"/>
                <w:highlight w:val="none"/>
                <w:lang w:val="en-US" w:eastAsia="zh-CN"/>
              </w:rPr>
              <w:t>危废仓库位于</w:t>
            </w:r>
            <w:r>
              <w:rPr>
                <w:rFonts w:hint="eastAsia" w:cs="Times New Roman"/>
                <w:color w:val="auto"/>
                <w:sz w:val="24"/>
                <w:szCs w:val="24"/>
                <w:highlight w:val="none"/>
                <w:lang w:val="en-US" w:eastAsia="zh-CN"/>
              </w:rPr>
              <w:t>车间西北角</w:t>
            </w:r>
            <w:r>
              <w:rPr>
                <w:rFonts w:hint="eastAsia" w:ascii="Times New Roman" w:hAnsi="Times New Roman" w:cs="Times New Roman"/>
                <w:color w:val="auto"/>
                <w:sz w:val="24"/>
                <w:szCs w:val="24"/>
                <w:highlight w:val="none"/>
                <w:lang w:val="en-US" w:eastAsia="zh-CN"/>
              </w:rPr>
              <w:t>。危废仓库严格</w:t>
            </w:r>
            <w:r>
              <w:rPr>
                <w:rFonts w:hint="default" w:ascii="Times New Roman" w:hAnsi="Times New Roman" w:eastAsia="宋体" w:cs="Times New Roman"/>
                <w:color w:val="auto"/>
                <w:sz w:val="24"/>
                <w:szCs w:val="24"/>
                <w:highlight w:val="none"/>
                <w:lang w:val="en-US" w:eastAsia="zh-CN"/>
              </w:rPr>
              <w:t>按照《危险废物贮存污染控制标准》（GB</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18597-2023）、</w:t>
            </w:r>
            <w:r>
              <w:rPr>
                <w:rFonts w:hint="default" w:ascii="Times New Roman" w:hAnsi="Times New Roman" w:eastAsia="宋体" w:cs="Times New Roman"/>
                <w:color w:val="auto"/>
                <w:sz w:val="24"/>
                <w:szCs w:val="24"/>
                <w:highlight w:val="none"/>
              </w:rPr>
              <w:t>《省生态环境厅关于</w:t>
            </w:r>
            <w:r>
              <w:rPr>
                <w:rFonts w:hint="eastAsia" w:ascii="Times New Roman" w:hAnsi="Times New Roman" w:cs="Times New Roman"/>
                <w:color w:val="auto"/>
                <w:sz w:val="24"/>
                <w:szCs w:val="24"/>
                <w:highlight w:val="none"/>
                <w:lang w:val="en-US" w:eastAsia="zh-CN"/>
              </w:rPr>
              <w:t>印发〈</w:t>
            </w:r>
            <w:r>
              <w:rPr>
                <w:rFonts w:ascii="宋体" w:hAnsi="宋体" w:eastAsia="宋体" w:cs="宋体"/>
                <w:color w:val="auto"/>
                <w:sz w:val="24"/>
                <w:szCs w:val="24"/>
                <w:highlight w:val="none"/>
              </w:rPr>
              <w:t>江苏省固体废物全过程环境监管工作意见</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》（苏环办</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20</w:t>
            </w:r>
            <w:r>
              <w:rPr>
                <w:rFonts w:hint="eastAsia" w:ascii="Times New Roman" w:hAnsi="Times New Roman" w:cs="Times New Roman"/>
                <w:color w:val="auto"/>
                <w:sz w:val="24"/>
                <w:szCs w:val="24"/>
                <w:highlight w:val="none"/>
                <w:lang w:val="en-US" w:eastAsia="zh-CN"/>
              </w:rPr>
              <w:t>24</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16</w:t>
            </w:r>
            <w:r>
              <w:rPr>
                <w:rFonts w:hint="default" w:ascii="Times New Roman" w:hAnsi="Times New Roman" w:eastAsia="宋体" w:cs="Times New Roman"/>
                <w:color w:val="auto"/>
                <w:sz w:val="24"/>
                <w:szCs w:val="24"/>
                <w:highlight w:val="none"/>
              </w:rPr>
              <w:t>号）</w:t>
            </w:r>
            <w:r>
              <w:rPr>
                <w:rFonts w:hint="eastAsia" w:ascii="Times New Roman" w:hAnsi="Times New Roman" w:cs="Times New Roman"/>
                <w:color w:val="auto"/>
                <w:sz w:val="24"/>
                <w:szCs w:val="24"/>
                <w:highlight w:val="none"/>
                <w:lang w:eastAsia="zh-CN"/>
              </w:rPr>
              <w:t>、《江苏省危险废物集中收集体系建设工作方案（试行）</w:t>
            </w:r>
            <w:r>
              <w:rPr>
                <w:rFonts w:hint="eastAsia"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eastAsia="zh-CN"/>
              </w:rPr>
              <w:t>苏环办</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eastAsia="zh-CN"/>
              </w:rPr>
              <w:t>2021</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eastAsia="zh-CN"/>
              </w:rPr>
              <w:t>290号</w:t>
            </w:r>
            <w:r>
              <w:rPr>
                <w:rFonts w:hint="eastAsia"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eastAsia="zh-CN"/>
              </w:rPr>
              <w:t>中关于贮</w:t>
            </w:r>
            <w:r>
              <w:rPr>
                <w:rFonts w:hint="default" w:ascii="Times New Roman" w:hAnsi="Times New Roman" w:eastAsia="宋体" w:cs="Times New Roman"/>
                <w:color w:val="auto"/>
                <w:sz w:val="24"/>
                <w:szCs w:val="24"/>
                <w:highlight w:val="none"/>
                <w:lang w:eastAsia="zh-CN"/>
              </w:rPr>
              <w:t>等相关</w:t>
            </w:r>
            <w:r>
              <w:rPr>
                <w:rFonts w:hint="eastAsia" w:ascii="Times New Roman" w:hAnsi="Times New Roman" w:cs="Times New Roman"/>
                <w:color w:val="auto"/>
                <w:sz w:val="24"/>
                <w:szCs w:val="24"/>
                <w:highlight w:val="none"/>
                <w:lang w:val="en-US" w:eastAsia="zh-CN"/>
              </w:rPr>
              <w:t>文件的</w:t>
            </w:r>
            <w:r>
              <w:rPr>
                <w:rFonts w:hint="default" w:ascii="Times New Roman" w:hAnsi="Times New Roman" w:eastAsia="宋体" w:cs="Times New Roman"/>
                <w:color w:val="auto"/>
                <w:sz w:val="24"/>
                <w:szCs w:val="24"/>
                <w:highlight w:val="none"/>
                <w:lang w:eastAsia="zh-CN"/>
              </w:rPr>
              <w:t>要求进行</w:t>
            </w:r>
            <w:r>
              <w:rPr>
                <w:rFonts w:hint="default" w:ascii="Times New Roman" w:hAnsi="Times New Roman" w:eastAsia="宋体" w:cs="Times New Roman"/>
                <w:color w:val="auto"/>
                <w:sz w:val="24"/>
                <w:szCs w:val="24"/>
                <w:highlight w:val="none"/>
              </w:rPr>
              <w:t>规范</w:t>
            </w:r>
            <w:r>
              <w:rPr>
                <w:rFonts w:hint="default" w:ascii="Times New Roman" w:hAnsi="Times New Roman" w:eastAsia="宋体" w:cs="Times New Roman"/>
                <w:color w:val="auto"/>
                <w:sz w:val="24"/>
                <w:szCs w:val="24"/>
                <w:highlight w:val="none"/>
                <w:lang w:eastAsia="zh-CN"/>
              </w:rPr>
              <w:t>化</w:t>
            </w:r>
            <w:r>
              <w:rPr>
                <w:rFonts w:hint="default" w:ascii="Times New Roman" w:hAnsi="Times New Roman" w:eastAsia="宋体" w:cs="Times New Roman"/>
                <w:color w:val="auto"/>
                <w:sz w:val="24"/>
                <w:szCs w:val="24"/>
                <w:highlight w:val="none"/>
              </w:rPr>
              <w:t>建设和维护使用。具体情况如下：</w:t>
            </w:r>
          </w:p>
          <w:p w14:paraId="3E264E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lang w:val="en-US" w:eastAsia="zh-CN"/>
              </w:rPr>
              <w:t>①</w:t>
            </w:r>
            <w:r>
              <w:rPr>
                <w:rFonts w:ascii="宋体" w:hAnsi="宋体" w:eastAsia="宋体" w:cs="宋体"/>
                <w:color w:val="auto"/>
                <w:sz w:val="24"/>
                <w:szCs w:val="24"/>
                <w:highlight w:val="none"/>
              </w:rPr>
              <w:t>危废仓库要独立、密闭</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上锁防盗，仓库内要有安全照明设施和观察窗口，危废仓库管理责任制要上墙；</w:t>
            </w:r>
          </w:p>
          <w:p w14:paraId="459D24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②</w:t>
            </w:r>
            <w:r>
              <w:rPr>
                <w:rFonts w:hint="default" w:ascii="Times New Roman" w:hAnsi="Times New Roman" w:eastAsia="宋体" w:cs="Times New Roman"/>
                <w:color w:val="auto"/>
                <w:sz w:val="24"/>
                <w:szCs w:val="24"/>
                <w:highlight w:val="none"/>
              </w:rPr>
              <w:t>危废仓库不得存放除危险废物以外的其他废弃物</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不同危废分开存放并设</w:t>
            </w:r>
            <w:r>
              <w:rPr>
                <w:rFonts w:hint="eastAsia" w:ascii="Times New Roman" w:hAnsi="Times New Roman" w:cs="Times New Roman"/>
                <w:color w:val="auto"/>
                <w:sz w:val="24"/>
                <w:szCs w:val="24"/>
                <w:highlight w:val="none"/>
                <w:lang w:val="en-US" w:eastAsia="zh-CN"/>
              </w:rPr>
              <w:t>置</w:t>
            </w:r>
            <w:r>
              <w:rPr>
                <w:rFonts w:hint="default" w:ascii="Times New Roman" w:hAnsi="Times New Roman" w:eastAsia="宋体" w:cs="Times New Roman"/>
                <w:color w:val="auto"/>
                <w:sz w:val="24"/>
                <w:szCs w:val="24"/>
                <w:highlight w:val="none"/>
              </w:rPr>
              <w:t>隔断隔离</w:t>
            </w:r>
            <w:r>
              <w:rPr>
                <w:rFonts w:ascii="宋体" w:hAnsi="宋体" w:eastAsia="宋体" w:cs="宋体"/>
                <w:color w:val="auto"/>
                <w:sz w:val="24"/>
                <w:szCs w:val="24"/>
                <w:highlight w:val="none"/>
              </w:rPr>
              <w:t>；</w:t>
            </w:r>
          </w:p>
          <w:p w14:paraId="4B2783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szCs w:val="24"/>
                <w:highlight w:val="none"/>
              </w:rPr>
            </w:pPr>
            <w:r>
              <w:rPr>
                <w:rFonts w:hint="eastAsia" w:ascii="Times New Roman" w:hAnsi="Times New Roman"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rPr>
              <w:t>仓库现场要有危废产生台账和转移联单，在危险废物回取后应继续保留三年</w:t>
            </w:r>
            <w:r>
              <w:rPr>
                <w:rFonts w:ascii="宋体" w:hAnsi="宋体" w:eastAsia="宋体" w:cs="宋体"/>
                <w:color w:val="auto"/>
                <w:sz w:val="24"/>
                <w:szCs w:val="24"/>
                <w:highlight w:val="none"/>
              </w:rPr>
              <w:t>；</w:t>
            </w:r>
          </w:p>
          <w:p w14:paraId="16379A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lang w:val="en-US" w:eastAsia="zh-CN"/>
              </w:rPr>
              <w:t>④</w:t>
            </w:r>
            <w:r>
              <w:rPr>
                <w:rFonts w:hint="default" w:ascii="Times New Roman" w:hAnsi="Times New Roman" w:eastAsia="宋体" w:cs="Times New Roman"/>
                <w:color w:val="auto"/>
                <w:sz w:val="24"/>
                <w:szCs w:val="24"/>
                <w:highlight w:val="none"/>
              </w:rPr>
              <w:t>配备通讯设备、照明设施和消防设施；在出入口、设施内部、危险废物运输车辆通道等关键位置按照危险废物贮存设施视频监控布设要求设置视频监控，并与中控室联网；</w:t>
            </w:r>
          </w:p>
          <w:p w14:paraId="0E37E2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⑤</w:t>
            </w:r>
            <w:r>
              <w:rPr>
                <w:rFonts w:hint="default" w:ascii="Times New Roman" w:hAnsi="Times New Roman" w:eastAsia="宋体" w:cs="Times New Roman"/>
                <w:color w:val="auto"/>
                <w:sz w:val="24"/>
                <w:szCs w:val="24"/>
                <w:highlight w:val="none"/>
              </w:rPr>
              <w:t>危废仓库派专人管理，其他人未经允许不得入内；</w:t>
            </w:r>
          </w:p>
          <w:p w14:paraId="72CF17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⑥</w:t>
            </w:r>
            <w:r>
              <w:rPr>
                <w:rFonts w:hint="default" w:ascii="Times New Roman" w:hAnsi="Times New Roman" w:eastAsia="宋体" w:cs="Times New Roman"/>
                <w:color w:val="auto"/>
                <w:sz w:val="24"/>
                <w:szCs w:val="24"/>
                <w:highlight w:val="none"/>
              </w:rPr>
              <w:t>产生的危险废物及时运送至危险废物处置单位进行处置，运输过程必须符合国家及江苏省对危险废物的运输要求；</w:t>
            </w:r>
          </w:p>
          <w:p w14:paraId="2CDFA6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⑦</w:t>
            </w:r>
            <w:r>
              <w:rPr>
                <w:rFonts w:hint="default" w:ascii="Times New Roman" w:hAnsi="Times New Roman" w:eastAsia="宋体" w:cs="Times New Roman"/>
                <w:color w:val="auto"/>
                <w:sz w:val="24"/>
                <w:szCs w:val="24"/>
                <w:highlight w:val="none"/>
                <w:lang w:eastAsia="zh-CN"/>
              </w:rPr>
              <w:t>危险废物</w:t>
            </w:r>
            <w:r>
              <w:rPr>
                <w:rFonts w:hint="default" w:ascii="Times New Roman" w:hAnsi="Times New Roman" w:eastAsia="宋体" w:cs="Times New Roman"/>
                <w:color w:val="auto"/>
                <w:sz w:val="24"/>
                <w:szCs w:val="24"/>
                <w:highlight w:val="none"/>
              </w:rPr>
              <w:t>在危废仓库规定允许存放的时间存入，送入危废仓库时做好统一包装</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并分别贴好标识，注明危险废物名称；</w:t>
            </w:r>
          </w:p>
          <w:p w14:paraId="3640F8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⑧</w:t>
            </w:r>
            <w:r>
              <w:rPr>
                <w:rFonts w:hint="default" w:ascii="Times New Roman" w:hAnsi="Times New Roman" w:eastAsia="宋体" w:cs="Times New Roman"/>
                <w:color w:val="auto"/>
                <w:sz w:val="24"/>
                <w:szCs w:val="24"/>
                <w:highlight w:val="none"/>
              </w:rPr>
              <w:t>产生的危险废物每次送入危废仓库必须进行称重，危险废物仓库管理人员经核定无误后方可入库登记，同时双方签字确认；</w:t>
            </w:r>
          </w:p>
          <w:p w14:paraId="519D63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⑨</w:t>
            </w:r>
            <w:r>
              <w:rPr>
                <w:rFonts w:hint="default" w:ascii="Times New Roman" w:hAnsi="Times New Roman" w:eastAsia="宋体" w:cs="Times New Roman"/>
                <w:color w:val="auto"/>
                <w:sz w:val="24"/>
                <w:szCs w:val="24"/>
                <w:highlight w:val="none"/>
              </w:rPr>
              <w:t>设置防雨、防火、防雷、防扬散、防渗漏装置及泄漏液体收集装置；</w:t>
            </w:r>
          </w:p>
          <w:p w14:paraId="5DED0E69">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color w:val="auto"/>
                <w:sz w:val="24"/>
                <w:szCs w:val="24"/>
                <w:highlight w:val="none"/>
              </w:rPr>
              <w:t>⑩危险废物贮存期限不得超过一年，需延长期限的报环保主管部门批准</w:t>
            </w:r>
            <w:r>
              <w:rPr>
                <w:rFonts w:hint="eastAsia" w:ascii="Times New Roman" w:hAnsi="Times New Roman" w:eastAsia="宋体" w:cs="Times New Roman"/>
                <w:bCs/>
                <w:color w:val="auto"/>
                <w:sz w:val="24"/>
                <w:szCs w:val="24"/>
                <w:highlight w:val="none"/>
                <w:lang w:eastAsia="zh-CN"/>
              </w:rPr>
              <w:t>。</w:t>
            </w:r>
          </w:p>
          <w:p w14:paraId="4995458D">
            <w:pPr>
              <w:keepNext w:val="0"/>
              <w:keepLines w:val="0"/>
              <w:pageBreakBefore w:val="0"/>
              <w:kinsoku/>
              <w:wordWrap/>
              <w:overflowPunct/>
              <w:autoSpaceDE/>
              <w:autoSpaceDN/>
              <w:bidi w:val="0"/>
              <w:adjustRightInd w:val="0"/>
              <w:snapToGrid w:val="0"/>
              <w:spacing w:line="240" w:lineRule="auto"/>
              <w:ind w:firstLine="0" w:firstLineChars="0"/>
              <w:jc w:val="center"/>
              <w:textAlignment w:val="auto"/>
              <w:rPr>
                <w:rFonts w:cs="Times New Roman"/>
                <w:b/>
                <w:color w:val="auto"/>
                <w:kern w:val="0"/>
                <w:sz w:val="24"/>
                <w:szCs w:val="24"/>
                <w:highlight w:val="none"/>
              </w:rPr>
            </w:pPr>
            <w:r>
              <w:rPr>
                <w:rFonts w:cs="Times New Roman"/>
                <w:b/>
                <w:color w:val="auto"/>
                <w:kern w:val="0"/>
                <w:sz w:val="24"/>
                <w:szCs w:val="24"/>
                <w:highlight w:val="none"/>
              </w:rPr>
              <w:t>表4-</w:t>
            </w:r>
            <w:r>
              <w:rPr>
                <w:rFonts w:hint="eastAsia" w:cs="Times New Roman"/>
                <w:b/>
                <w:color w:val="auto"/>
                <w:kern w:val="0"/>
                <w:sz w:val="24"/>
                <w:szCs w:val="24"/>
                <w:highlight w:val="none"/>
                <w:lang w:val="en-US" w:eastAsia="zh-CN"/>
              </w:rPr>
              <w:t>23</w:t>
            </w:r>
            <w:r>
              <w:rPr>
                <w:rFonts w:cs="Times New Roman"/>
                <w:b/>
                <w:color w:val="auto"/>
                <w:kern w:val="0"/>
                <w:sz w:val="24"/>
                <w:szCs w:val="24"/>
                <w:highlight w:val="none"/>
              </w:rPr>
              <w:t xml:space="preserve"> </w:t>
            </w:r>
            <w:r>
              <w:rPr>
                <w:rFonts w:hint="eastAsia" w:cs="Times New Roman"/>
                <w:b/>
                <w:color w:val="auto"/>
                <w:kern w:val="0"/>
                <w:sz w:val="24"/>
                <w:szCs w:val="24"/>
                <w:highlight w:val="none"/>
                <w:lang w:val="en-US" w:eastAsia="zh-CN"/>
              </w:rPr>
              <w:t xml:space="preserve"> </w:t>
            </w:r>
            <w:r>
              <w:rPr>
                <w:rFonts w:cs="Times New Roman"/>
                <w:b/>
                <w:color w:val="auto"/>
                <w:kern w:val="0"/>
                <w:sz w:val="24"/>
                <w:szCs w:val="24"/>
                <w:highlight w:val="none"/>
              </w:rPr>
              <w:t>危险废物贮存场所（设施）情况表</w:t>
            </w:r>
          </w:p>
          <w:tbl>
            <w:tblPr>
              <w:tblStyle w:val="22"/>
              <w:tblW w:w="5000" w:type="pct"/>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378"/>
              <w:gridCol w:w="684"/>
              <w:gridCol w:w="733"/>
              <w:gridCol w:w="833"/>
              <w:gridCol w:w="1060"/>
              <w:gridCol w:w="859"/>
              <w:gridCol w:w="945"/>
              <w:gridCol w:w="498"/>
              <w:gridCol w:w="941"/>
              <w:gridCol w:w="557"/>
              <w:gridCol w:w="455"/>
            </w:tblGrid>
            <w:tr w14:paraId="78143AB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 w:type="pct"/>
                  <w:tcBorders>
                    <w:tl2br w:val="nil"/>
                    <w:tr2bl w:val="nil"/>
                  </w:tcBorders>
                  <w:noWrap w:val="0"/>
                  <w:vAlign w:val="center"/>
                </w:tcPr>
                <w:p w14:paraId="1AB4D9E3">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序号</w:t>
                  </w:r>
                </w:p>
              </w:tc>
              <w:tc>
                <w:tcPr>
                  <w:tcW w:w="430" w:type="pct"/>
                  <w:tcBorders>
                    <w:tl2br w:val="nil"/>
                    <w:tr2bl w:val="nil"/>
                  </w:tcBorders>
                  <w:noWrap w:val="0"/>
                  <w:vAlign w:val="center"/>
                </w:tcPr>
                <w:p w14:paraId="61BC0D5D">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贮存场所名称</w:t>
                  </w:r>
                </w:p>
              </w:tc>
              <w:tc>
                <w:tcPr>
                  <w:tcW w:w="461" w:type="pct"/>
                  <w:tcBorders>
                    <w:tl2br w:val="nil"/>
                    <w:tr2bl w:val="nil"/>
                  </w:tcBorders>
                  <w:noWrap w:val="0"/>
                  <w:vAlign w:val="center"/>
                </w:tcPr>
                <w:p w14:paraId="32D2FD70">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危险废物名称</w:t>
                  </w:r>
                </w:p>
              </w:tc>
              <w:tc>
                <w:tcPr>
                  <w:tcW w:w="524" w:type="pct"/>
                  <w:tcBorders>
                    <w:tl2br w:val="nil"/>
                    <w:tr2bl w:val="nil"/>
                  </w:tcBorders>
                  <w:noWrap w:val="0"/>
                  <w:vAlign w:val="center"/>
                </w:tcPr>
                <w:p w14:paraId="4F40713B">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危险废物类别</w:t>
                  </w:r>
                </w:p>
              </w:tc>
              <w:tc>
                <w:tcPr>
                  <w:tcW w:w="667" w:type="pct"/>
                  <w:tcBorders>
                    <w:tl2br w:val="nil"/>
                    <w:tr2bl w:val="nil"/>
                  </w:tcBorders>
                  <w:noWrap w:val="0"/>
                  <w:vAlign w:val="center"/>
                </w:tcPr>
                <w:p w14:paraId="27F78F42">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危险废物代码</w:t>
                  </w:r>
                </w:p>
              </w:tc>
              <w:tc>
                <w:tcPr>
                  <w:tcW w:w="540" w:type="pct"/>
                  <w:tcBorders>
                    <w:tl2br w:val="nil"/>
                    <w:tr2bl w:val="nil"/>
                  </w:tcBorders>
                  <w:noWrap w:val="0"/>
                  <w:vAlign w:val="center"/>
                </w:tcPr>
                <w:p w14:paraId="40EEB07D">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eastAsia" w:ascii="Times New Roman" w:hAnsi="Times New Roman" w:eastAsia="仿宋" w:cs="Times New Roman"/>
                      <w:b/>
                      <w:bCs/>
                      <w:color w:val="auto"/>
                      <w:sz w:val="21"/>
                      <w:szCs w:val="21"/>
                      <w:highlight w:val="none"/>
                      <w:lang w:val="en-US" w:eastAsia="zh-CN"/>
                    </w:rPr>
                  </w:pPr>
                  <w:r>
                    <w:rPr>
                      <w:rFonts w:hint="eastAsia" w:eastAsia="仿宋" w:cs="Times New Roman"/>
                      <w:b/>
                      <w:bCs/>
                      <w:color w:val="auto"/>
                      <w:sz w:val="21"/>
                      <w:szCs w:val="21"/>
                      <w:highlight w:val="none"/>
                      <w:lang w:val="en-US" w:eastAsia="zh-CN"/>
                    </w:rPr>
                    <w:t>产生量（t/a）</w:t>
                  </w:r>
                </w:p>
              </w:tc>
              <w:tc>
                <w:tcPr>
                  <w:tcW w:w="594" w:type="pct"/>
                  <w:tcBorders>
                    <w:tl2br w:val="nil"/>
                    <w:tr2bl w:val="nil"/>
                  </w:tcBorders>
                  <w:noWrap w:val="0"/>
                  <w:vAlign w:val="center"/>
                </w:tcPr>
                <w:p w14:paraId="2640E3DA">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lang w:val="en-US" w:eastAsia="zh-CN"/>
                    </w:rPr>
                  </w:pPr>
                  <w:r>
                    <w:rPr>
                      <w:rFonts w:hint="eastAsia" w:eastAsia="仿宋" w:cs="Times New Roman"/>
                      <w:b/>
                      <w:bCs/>
                      <w:color w:val="auto"/>
                      <w:sz w:val="21"/>
                      <w:szCs w:val="21"/>
                      <w:highlight w:val="none"/>
                      <w:lang w:val="en-US" w:eastAsia="zh-CN"/>
                    </w:rPr>
                    <w:t>贮存所需面积（m</w:t>
                  </w:r>
                  <w:r>
                    <w:rPr>
                      <w:rFonts w:hint="eastAsia" w:eastAsia="仿宋" w:cs="Times New Roman"/>
                      <w:b/>
                      <w:bCs/>
                      <w:color w:val="auto"/>
                      <w:sz w:val="21"/>
                      <w:szCs w:val="21"/>
                      <w:highlight w:val="none"/>
                      <w:vertAlign w:val="superscript"/>
                      <w:lang w:val="en-US" w:eastAsia="zh-CN"/>
                    </w:rPr>
                    <w:t>2</w:t>
                  </w:r>
                  <w:r>
                    <w:rPr>
                      <w:rFonts w:hint="eastAsia" w:eastAsia="仿宋" w:cs="Times New Roman"/>
                      <w:b/>
                      <w:bCs/>
                      <w:color w:val="auto"/>
                      <w:sz w:val="21"/>
                      <w:szCs w:val="21"/>
                      <w:highlight w:val="none"/>
                      <w:lang w:val="en-US" w:eastAsia="zh-CN"/>
                    </w:rPr>
                    <w:t>）</w:t>
                  </w:r>
                </w:p>
              </w:tc>
              <w:tc>
                <w:tcPr>
                  <w:tcW w:w="313" w:type="pct"/>
                  <w:tcBorders>
                    <w:tl2br w:val="nil"/>
                    <w:tr2bl w:val="nil"/>
                  </w:tcBorders>
                  <w:noWrap w:val="0"/>
                  <w:vAlign w:val="center"/>
                </w:tcPr>
                <w:p w14:paraId="7120DBAC">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位置</w:t>
                  </w:r>
                </w:p>
              </w:tc>
              <w:tc>
                <w:tcPr>
                  <w:tcW w:w="592" w:type="pct"/>
                  <w:tcBorders>
                    <w:tl2br w:val="nil"/>
                    <w:tr2bl w:val="nil"/>
                  </w:tcBorders>
                  <w:noWrap w:val="0"/>
                  <w:vAlign w:val="center"/>
                </w:tcPr>
                <w:p w14:paraId="13206810">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贮存方式</w:t>
                  </w:r>
                </w:p>
              </w:tc>
              <w:tc>
                <w:tcPr>
                  <w:tcW w:w="350" w:type="pct"/>
                  <w:tcBorders>
                    <w:tl2br w:val="nil"/>
                    <w:tr2bl w:val="nil"/>
                  </w:tcBorders>
                  <w:noWrap w:val="0"/>
                  <w:vAlign w:val="center"/>
                </w:tcPr>
                <w:p w14:paraId="74281B85">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贮存能力</w:t>
                  </w:r>
                </w:p>
              </w:tc>
              <w:tc>
                <w:tcPr>
                  <w:tcW w:w="286" w:type="pct"/>
                  <w:tcBorders>
                    <w:tl2br w:val="nil"/>
                    <w:tr2bl w:val="nil"/>
                  </w:tcBorders>
                  <w:noWrap w:val="0"/>
                  <w:vAlign w:val="center"/>
                </w:tcPr>
                <w:p w14:paraId="4F4B1731">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贮存</w:t>
                  </w:r>
                </w:p>
                <w:p w14:paraId="24103D31">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周期</w:t>
                  </w:r>
                </w:p>
              </w:tc>
            </w:tr>
            <w:tr w14:paraId="41CF07E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 w:type="pct"/>
                  <w:tcBorders>
                    <w:tl2br w:val="nil"/>
                    <w:tr2bl w:val="nil"/>
                  </w:tcBorders>
                  <w:noWrap w:val="0"/>
                  <w:vAlign w:val="center"/>
                </w:tcPr>
                <w:p w14:paraId="7BB7043E">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1</w:t>
                  </w:r>
                </w:p>
              </w:tc>
              <w:tc>
                <w:tcPr>
                  <w:tcW w:w="430" w:type="pct"/>
                  <w:vMerge w:val="restart"/>
                  <w:tcBorders>
                    <w:tl2br w:val="nil"/>
                    <w:tr2bl w:val="nil"/>
                  </w:tcBorders>
                  <w:noWrap w:val="0"/>
                  <w:vAlign w:val="center"/>
                </w:tcPr>
                <w:p w14:paraId="15C3B61F">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sz w:val="21"/>
                      <w:szCs w:val="21"/>
                      <w:highlight w:val="none"/>
                    </w:rPr>
                    <w:t>危废仓库</w:t>
                  </w:r>
                </w:p>
              </w:tc>
              <w:tc>
                <w:tcPr>
                  <w:tcW w:w="733" w:type="dxa"/>
                  <w:tcBorders>
                    <w:tl2br w:val="nil"/>
                    <w:tr2bl w:val="nil"/>
                  </w:tcBorders>
                  <w:noWrap w:val="0"/>
                  <w:vAlign w:val="center"/>
                </w:tcPr>
                <w:p w14:paraId="5EB867E8">
                  <w:pPr>
                    <w:pStyle w:val="39"/>
                    <w:adjustRightInd w:val="0"/>
                    <w:snapToGrid w:val="0"/>
                    <w:jc w:val="center"/>
                    <w:rPr>
                      <w:rFonts w:hint="default" w:ascii="Times New Roman" w:hAnsi="Times New Roman" w:eastAsia="仿宋" w:cs="Times New Roman"/>
                      <w:color w:val="auto"/>
                      <w:sz w:val="21"/>
                      <w:szCs w:val="21"/>
                      <w:highlight w:val="none"/>
                    </w:rPr>
                  </w:pPr>
                  <w:r>
                    <w:rPr>
                      <w:rFonts w:hint="eastAsia" w:ascii="Times New Roman" w:hAnsi="Times New Roman" w:eastAsia="仿宋" w:cs="Times New Roman"/>
                      <w:color w:val="auto"/>
                      <w:kern w:val="2"/>
                      <w:sz w:val="21"/>
                      <w:szCs w:val="21"/>
                      <w:highlight w:val="none"/>
                      <w:lang w:val="en-US" w:eastAsia="zh-CN" w:bidi="ar-SA"/>
                    </w:rPr>
                    <w:t>沾染切削液的废金属屑</w:t>
                  </w:r>
                </w:p>
              </w:tc>
              <w:tc>
                <w:tcPr>
                  <w:tcW w:w="833" w:type="dxa"/>
                  <w:tcBorders>
                    <w:tl2br w:val="nil"/>
                    <w:tr2bl w:val="nil"/>
                  </w:tcBorders>
                  <w:noWrap w:val="0"/>
                  <w:vAlign w:val="center"/>
                </w:tcPr>
                <w:p w14:paraId="787027B5">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HW</w:t>
                  </w:r>
                  <w:r>
                    <w:rPr>
                      <w:rFonts w:hint="eastAsia" w:eastAsia="仿宋" w:cs="Times New Roman"/>
                      <w:color w:val="auto"/>
                      <w:sz w:val="21"/>
                      <w:szCs w:val="21"/>
                      <w:highlight w:val="none"/>
                      <w:lang w:val="en-US" w:eastAsia="zh-CN"/>
                    </w:rPr>
                    <w:t>0</w:t>
                  </w:r>
                  <w:r>
                    <w:rPr>
                      <w:rFonts w:hint="default" w:ascii="Times New Roman" w:hAnsi="Times New Roman" w:eastAsia="仿宋" w:cs="Times New Roman"/>
                      <w:color w:val="auto"/>
                      <w:sz w:val="21"/>
                      <w:szCs w:val="21"/>
                      <w:highlight w:val="none"/>
                      <w:lang w:val="en-US" w:eastAsia="zh-CN"/>
                    </w:rPr>
                    <w:t>9</w:t>
                  </w:r>
                </w:p>
              </w:tc>
              <w:tc>
                <w:tcPr>
                  <w:tcW w:w="1060" w:type="dxa"/>
                  <w:tcBorders>
                    <w:tl2br w:val="nil"/>
                    <w:tr2bl w:val="nil"/>
                  </w:tcBorders>
                  <w:noWrap w:val="0"/>
                  <w:vAlign w:val="center"/>
                </w:tcPr>
                <w:p w14:paraId="62F7E06E">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900-0</w:t>
                  </w:r>
                  <w:r>
                    <w:rPr>
                      <w:rFonts w:hint="eastAsia" w:eastAsia="仿宋" w:cs="Times New Roman"/>
                      <w:color w:val="auto"/>
                      <w:sz w:val="21"/>
                      <w:szCs w:val="21"/>
                      <w:highlight w:val="none"/>
                      <w:lang w:val="en-US" w:eastAsia="zh-CN"/>
                    </w:rPr>
                    <w:t>06-0</w:t>
                  </w:r>
                  <w:r>
                    <w:rPr>
                      <w:rFonts w:hint="default" w:ascii="Times New Roman" w:hAnsi="Times New Roman" w:eastAsia="仿宋" w:cs="Times New Roman"/>
                      <w:color w:val="auto"/>
                      <w:sz w:val="21"/>
                      <w:szCs w:val="21"/>
                      <w:highlight w:val="none"/>
                      <w:lang w:val="en-US" w:eastAsia="zh-CN"/>
                    </w:rPr>
                    <w:t>9</w:t>
                  </w:r>
                </w:p>
              </w:tc>
              <w:tc>
                <w:tcPr>
                  <w:tcW w:w="859" w:type="dxa"/>
                  <w:tcBorders>
                    <w:tl2br w:val="nil"/>
                    <w:tr2bl w:val="nil"/>
                  </w:tcBorders>
                  <w:noWrap w:val="0"/>
                  <w:vAlign w:val="center"/>
                </w:tcPr>
                <w:p w14:paraId="24F2F03D">
                  <w:pPr>
                    <w:spacing w:line="240" w:lineRule="auto"/>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sz w:val="21"/>
                      <w:szCs w:val="21"/>
                      <w:highlight w:val="none"/>
                      <w:lang w:val="en-US" w:eastAsia="zh-CN"/>
                    </w:rPr>
                    <w:t>5</w:t>
                  </w:r>
                </w:p>
              </w:tc>
              <w:tc>
                <w:tcPr>
                  <w:tcW w:w="594" w:type="pct"/>
                  <w:tcBorders>
                    <w:tl2br w:val="nil"/>
                    <w:tr2bl w:val="nil"/>
                  </w:tcBorders>
                  <w:noWrap w:val="0"/>
                  <w:vAlign w:val="center"/>
                </w:tcPr>
                <w:p w14:paraId="144218E4">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5</w:t>
                  </w:r>
                </w:p>
              </w:tc>
              <w:tc>
                <w:tcPr>
                  <w:tcW w:w="313" w:type="pct"/>
                  <w:vMerge w:val="restart"/>
                  <w:tcBorders>
                    <w:tl2br w:val="nil"/>
                    <w:tr2bl w:val="nil"/>
                  </w:tcBorders>
                  <w:noWrap w:val="0"/>
                  <w:vAlign w:val="center"/>
                </w:tcPr>
                <w:p w14:paraId="4104837A">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3层</w:t>
                  </w:r>
                  <w:r>
                    <w:rPr>
                      <w:rFonts w:hint="eastAsia" w:eastAsia="仿宋" w:cs="Times New Roman"/>
                      <w:color w:val="auto"/>
                      <w:kern w:val="0"/>
                      <w:sz w:val="21"/>
                      <w:szCs w:val="21"/>
                      <w:highlight w:val="none"/>
                      <w:lang w:val="en-US" w:eastAsia="zh-CN"/>
                    </w:rPr>
                    <w:t>西北</w:t>
                  </w:r>
                </w:p>
              </w:tc>
              <w:tc>
                <w:tcPr>
                  <w:tcW w:w="592" w:type="pct"/>
                  <w:tcBorders>
                    <w:tl2br w:val="nil"/>
                    <w:tr2bl w:val="nil"/>
                  </w:tcBorders>
                  <w:noWrap w:val="0"/>
                  <w:vAlign w:val="center"/>
                </w:tcPr>
                <w:p w14:paraId="7BED6F77">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lang w:val="en-US" w:eastAsia="zh-CN"/>
                    </w:rPr>
                    <w:t>袋装</w:t>
                  </w:r>
                  <w:r>
                    <w:rPr>
                      <w:rFonts w:hint="default" w:ascii="Times New Roman" w:hAnsi="Times New Roman" w:eastAsia="仿宋" w:cs="Times New Roman"/>
                      <w:color w:val="auto"/>
                      <w:kern w:val="0"/>
                      <w:sz w:val="21"/>
                      <w:szCs w:val="21"/>
                      <w:highlight w:val="none"/>
                    </w:rPr>
                    <w:t>密闭、下置防渗漏托盘</w:t>
                  </w:r>
                </w:p>
              </w:tc>
              <w:tc>
                <w:tcPr>
                  <w:tcW w:w="350" w:type="pct"/>
                  <w:vMerge w:val="restart"/>
                  <w:tcBorders>
                    <w:tl2br w:val="nil"/>
                    <w:tr2bl w:val="nil"/>
                  </w:tcBorders>
                  <w:noWrap w:val="0"/>
                  <w:vAlign w:val="center"/>
                </w:tcPr>
                <w:p w14:paraId="4AF60B7B">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30.4</w:t>
                  </w:r>
                  <w:r>
                    <w:rPr>
                      <w:rFonts w:hint="default" w:ascii="Times New Roman" w:hAnsi="Times New Roman" w:eastAsia="仿宋" w:cs="Times New Roman"/>
                      <w:color w:val="auto"/>
                      <w:kern w:val="0"/>
                      <w:sz w:val="21"/>
                      <w:szCs w:val="21"/>
                      <w:highlight w:val="none"/>
                      <w:lang w:val="en-US" w:eastAsia="zh-CN"/>
                    </w:rPr>
                    <w:t>t</w:t>
                  </w:r>
                </w:p>
              </w:tc>
              <w:tc>
                <w:tcPr>
                  <w:tcW w:w="286" w:type="pct"/>
                  <w:vMerge w:val="restart"/>
                  <w:tcBorders>
                    <w:tl2br w:val="nil"/>
                    <w:tr2bl w:val="nil"/>
                  </w:tcBorders>
                  <w:noWrap w:val="0"/>
                  <w:vAlign w:val="center"/>
                </w:tcPr>
                <w:p w14:paraId="597D1E64">
                  <w:pPr>
                    <w:topLinePunct/>
                    <w:jc w:val="center"/>
                    <w:rPr>
                      <w:rFonts w:hint="default" w:ascii="Times New Roman" w:hAnsi="Times New Roman" w:eastAsia="仿宋" w:cs="Times New Roman"/>
                      <w:color w:val="auto"/>
                      <w:kern w:val="0"/>
                      <w:sz w:val="21"/>
                      <w:szCs w:val="21"/>
                      <w:highlight w:val="none"/>
                      <w:lang w:val="en-US"/>
                    </w:rPr>
                  </w:pPr>
                  <w:r>
                    <w:rPr>
                      <w:rFonts w:hint="eastAsia" w:eastAsia="仿宋" w:cs="Times New Roman"/>
                      <w:color w:val="auto"/>
                      <w:kern w:val="0"/>
                      <w:sz w:val="21"/>
                      <w:szCs w:val="21"/>
                      <w:highlight w:val="none"/>
                      <w:lang w:val="en-US" w:eastAsia="zh-CN"/>
                    </w:rPr>
                    <w:t>1</w:t>
                  </w:r>
                  <w:r>
                    <w:rPr>
                      <w:rFonts w:hint="default" w:ascii="Times New Roman" w:hAnsi="Times New Roman" w:eastAsia="仿宋" w:cs="Times New Roman"/>
                      <w:color w:val="auto"/>
                      <w:kern w:val="0"/>
                      <w:sz w:val="21"/>
                      <w:szCs w:val="21"/>
                      <w:highlight w:val="none"/>
                      <w:lang w:val="en-US" w:eastAsia="zh-CN"/>
                    </w:rPr>
                    <w:t>年</w:t>
                  </w:r>
                </w:p>
              </w:tc>
            </w:tr>
            <w:tr w14:paraId="3A2DFCC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 w:type="pct"/>
                  <w:tcBorders>
                    <w:tl2br w:val="nil"/>
                    <w:tr2bl w:val="nil"/>
                  </w:tcBorders>
                  <w:noWrap w:val="0"/>
                  <w:vAlign w:val="center"/>
                </w:tcPr>
                <w:p w14:paraId="2D757A4A">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2</w:t>
                  </w:r>
                </w:p>
              </w:tc>
              <w:tc>
                <w:tcPr>
                  <w:tcW w:w="430" w:type="pct"/>
                  <w:vMerge w:val="continue"/>
                  <w:tcBorders>
                    <w:tl2br w:val="nil"/>
                    <w:tr2bl w:val="nil"/>
                  </w:tcBorders>
                  <w:noWrap w:val="0"/>
                  <w:vAlign w:val="center"/>
                </w:tcPr>
                <w:p w14:paraId="2B6704CE">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p>
              </w:tc>
              <w:tc>
                <w:tcPr>
                  <w:tcW w:w="733" w:type="dxa"/>
                  <w:tcBorders>
                    <w:tl2br w:val="nil"/>
                    <w:tr2bl w:val="nil"/>
                  </w:tcBorders>
                  <w:noWrap w:val="0"/>
                  <w:vAlign w:val="center"/>
                </w:tcPr>
                <w:p w14:paraId="1BD15ED0">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kern w:val="2"/>
                      <w:sz w:val="21"/>
                      <w:szCs w:val="21"/>
                      <w:highlight w:val="none"/>
                      <w:lang w:val="en-US" w:eastAsia="zh-CN" w:bidi="ar-SA"/>
                    </w:rPr>
                    <w:t>废切削液</w:t>
                  </w:r>
                </w:p>
              </w:tc>
              <w:tc>
                <w:tcPr>
                  <w:tcW w:w="833" w:type="dxa"/>
                  <w:tcBorders>
                    <w:tl2br w:val="nil"/>
                    <w:tr2bl w:val="nil"/>
                  </w:tcBorders>
                  <w:noWrap w:val="0"/>
                  <w:vAlign w:val="center"/>
                </w:tcPr>
                <w:p w14:paraId="2E9D6371">
                  <w:pPr>
                    <w:jc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eastAsia="zh-CN"/>
                    </w:rPr>
                    <w:t>HW</w:t>
                  </w:r>
                  <w:r>
                    <w:rPr>
                      <w:rFonts w:hint="eastAsia" w:eastAsia="仿宋" w:cs="Times New Roman"/>
                      <w:color w:val="auto"/>
                      <w:sz w:val="21"/>
                      <w:szCs w:val="21"/>
                      <w:highlight w:val="none"/>
                      <w:lang w:val="en-US" w:eastAsia="zh-CN"/>
                    </w:rPr>
                    <w:t>0</w:t>
                  </w:r>
                  <w:r>
                    <w:rPr>
                      <w:rFonts w:hint="default" w:ascii="Times New Roman" w:hAnsi="Times New Roman" w:eastAsia="仿宋" w:cs="Times New Roman"/>
                      <w:color w:val="auto"/>
                      <w:sz w:val="21"/>
                      <w:szCs w:val="21"/>
                      <w:highlight w:val="none"/>
                      <w:lang w:val="en-US" w:eastAsia="zh-CN"/>
                    </w:rPr>
                    <w:t>9</w:t>
                  </w:r>
                </w:p>
              </w:tc>
              <w:tc>
                <w:tcPr>
                  <w:tcW w:w="1060" w:type="dxa"/>
                  <w:tcBorders>
                    <w:tl2br w:val="nil"/>
                    <w:tr2bl w:val="nil"/>
                  </w:tcBorders>
                  <w:noWrap w:val="0"/>
                  <w:vAlign w:val="center"/>
                </w:tcPr>
                <w:p w14:paraId="466D3E84">
                  <w:pPr>
                    <w:jc w:val="center"/>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eastAsia="zh-CN"/>
                    </w:rPr>
                    <w:t>900-0</w:t>
                  </w:r>
                  <w:r>
                    <w:rPr>
                      <w:rFonts w:hint="eastAsia" w:eastAsia="仿宋" w:cs="Times New Roman"/>
                      <w:color w:val="auto"/>
                      <w:sz w:val="21"/>
                      <w:szCs w:val="21"/>
                      <w:highlight w:val="none"/>
                      <w:lang w:val="en-US" w:eastAsia="zh-CN"/>
                    </w:rPr>
                    <w:t>06-0</w:t>
                  </w:r>
                  <w:r>
                    <w:rPr>
                      <w:rFonts w:hint="default" w:ascii="Times New Roman" w:hAnsi="Times New Roman" w:eastAsia="仿宋" w:cs="Times New Roman"/>
                      <w:color w:val="auto"/>
                      <w:sz w:val="21"/>
                      <w:szCs w:val="21"/>
                      <w:highlight w:val="none"/>
                      <w:lang w:val="en-US" w:eastAsia="zh-CN"/>
                    </w:rPr>
                    <w:t>9</w:t>
                  </w:r>
                </w:p>
              </w:tc>
              <w:tc>
                <w:tcPr>
                  <w:tcW w:w="859" w:type="dxa"/>
                  <w:tcBorders>
                    <w:tl2br w:val="nil"/>
                    <w:tr2bl w:val="nil"/>
                  </w:tcBorders>
                  <w:noWrap w:val="0"/>
                  <w:vAlign w:val="center"/>
                </w:tcPr>
                <w:p w14:paraId="0DDC836F">
                  <w:pPr>
                    <w:spacing w:line="240" w:lineRule="exact"/>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sz w:val="21"/>
                      <w:szCs w:val="21"/>
                      <w:highlight w:val="none"/>
                      <w:lang w:val="en-US" w:eastAsia="zh-CN"/>
                    </w:rPr>
                    <w:t>5</w:t>
                  </w:r>
                </w:p>
              </w:tc>
              <w:tc>
                <w:tcPr>
                  <w:tcW w:w="594" w:type="pct"/>
                  <w:tcBorders>
                    <w:tl2br w:val="nil"/>
                    <w:tr2bl w:val="nil"/>
                  </w:tcBorders>
                  <w:noWrap w:val="0"/>
                  <w:vAlign w:val="center"/>
                </w:tcPr>
                <w:p w14:paraId="405DDFB9">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5</w:t>
                  </w:r>
                </w:p>
              </w:tc>
              <w:tc>
                <w:tcPr>
                  <w:tcW w:w="313" w:type="pct"/>
                  <w:vMerge w:val="continue"/>
                  <w:tcBorders>
                    <w:tl2br w:val="nil"/>
                    <w:tr2bl w:val="nil"/>
                  </w:tcBorders>
                  <w:noWrap w:val="0"/>
                  <w:vAlign w:val="center"/>
                </w:tcPr>
                <w:p w14:paraId="489FD0F9">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p>
              </w:tc>
              <w:tc>
                <w:tcPr>
                  <w:tcW w:w="592" w:type="pct"/>
                  <w:tcBorders>
                    <w:tl2br w:val="nil"/>
                    <w:tr2bl w:val="nil"/>
                  </w:tcBorders>
                  <w:noWrap w:val="0"/>
                  <w:vAlign w:val="center"/>
                </w:tcPr>
                <w:p w14:paraId="5971019F">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r>
                    <w:rPr>
                      <w:rFonts w:hint="eastAsia" w:ascii="Times New Roman" w:hAnsi="Times New Roman" w:eastAsia="仿宋" w:cs="Times New Roman"/>
                      <w:color w:val="auto"/>
                      <w:kern w:val="0"/>
                      <w:sz w:val="21"/>
                      <w:szCs w:val="21"/>
                      <w:highlight w:val="none"/>
                      <w:lang w:val="en-US" w:eastAsia="zh-CN"/>
                    </w:rPr>
                    <w:t>桶装</w:t>
                  </w:r>
                  <w:r>
                    <w:rPr>
                      <w:rFonts w:hint="default" w:ascii="Times New Roman" w:hAnsi="Times New Roman" w:eastAsia="仿宋" w:cs="Times New Roman"/>
                      <w:color w:val="auto"/>
                      <w:kern w:val="0"/>
                      <w:sz w:val="21"/>
                      <w:szCs w:val="21"/>
                      <w:highlight w:val="none"/>
                    </w:rPr>
                    <w:t>加盖密闭、下置防渗漏托盘</w:t>
                  </w:r>
                </w:p>
              </w:tc>
              <w:tc>
                <w:tcPr>
                  <w:tcW w:w="350" w:type="pct"/>
                  <w:vMerge w:val="continue"/>
                  <w:tcBorders>
                    <w:tl2br w:val="nil"/>
                    <w:tr2bl w:val="nil"/>
                  </w:tcBorders>
                  <w:noWrap w:val="0"/>
                  <w:vAlign w:val="center"/>
                </w:tcPr>
                <w:p w14:paraId="0F5F13C1">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c>
                <w:tcPr>
                  <w:tcW w:w="286" w:type="pct"/>
                  <w:vMerge w:val="continue"/>
                  <w:tcBorders>
                    <w:tl2br w:val="nil"/>
                    <w:tr2bl w:val="nil"/>
                  </w:tcBorders>
                  <w:noWrap w:val="0"/>
                  <w:vAlign w:val="center"/>
                </w:tcPr>
                <w:p w14:paraId="1383825C">
                  <w:pPr>
                    <w:topLinePunct/>
                    <w:jc w:val="center"/>
                    <w:rPr>
                      <w:rFonts w:hint="default" w:ascii="Times New Roman" w:hAnsi="Times New Roman" w:eastAsia="仿宋" w:cs="Times New Roman"/>
                      <w:color w:val="auto"/>
                      <w:kern w:val="0"/>
                      <w:sz w:val="21"/>
                      <w:szCs w:val="21"/>
                      <w:highlight w:val="none"/>
                      <w:lang w:val="en-US" w:eastAsia="zh-CN"/>
                    </w:rPr>
                  </w:pPr>
                </w:p>
              </w:tc>
            </w:tr>
            <w:tr w14:paraId="1741705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 w:type="pct"/>
                  <w:tcBorders>
                    <w:tl2br w:val="nil"/>
                    <w:tr2bl w:val="nil"/>
                  </w:tcBorders>
                  <w:noWrap w:val="0"/>
                  <w:vAlign w:val="center"/>
                </w:tcPr>
                <w:p w14:paraId="180C1ADC">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3</w:t>
                  </w:r>
                </w:p>
              </w:tc>
              <w:tc>
                <w:tcPr>
                  <w:tcW w:w="430" w:type="pct"/>
                  <w:vMerge w:val="continue"/>
                  <w:tcBorders>
                    <w:tl2br w:val="nil"/>
                    <w:tr2bl w:val="nil"/>
                  </w:tcBorders>
                  <w:noWrap w:val="0"/>
                  <w:vAlign w:val="center"/>
                </w:tcPr>
                <w:p w14:paraId="417B481E">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p>
              </w:tc>
              <w:tc>
                <w:tcPr>
                  <w:tcW w:w="733" w:type="dxa"/>
                  <w:tcBorders>
                    <w:tl2br w:val="nil"/>
                    <w:tr2bl w:val="nil"/>
                  </w:tcBorders>
                  <w:noWrap w:val="0"/>
                  <w:vAlign w:val="center"/>
                </w:tcPr>
                <w:p w14:paraId="655B3726">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w:t>
                  </w:r>
                  <w:r>
                    <w:rPr>
                      <w:rFonts w:hint="eastAsia" w:ascii="Times New Roman" w:hAnsi="Times New Roman" w:eastAsia="仿宋" w:cs="Times New Roman"/>
                      <w:color w:val="auto"/>
                      <w:sz w:val="21"/>
                      <w:szCs w:val="21"/>
                      <w:highlight w:val="none"/>
                      <w:lang w:val="en-US" w:eastAsia="zh-CN"/>
                    </w:rPr>
                    <w:t>无尘纸</w:t>
                  </w:r>
                </w:p>
              </w:tc>
              <w:tc>
                <w:tcPr>
                  <w:tcW w:w="833" w:type="dxa"/>
                  <w:tcBorders>
                    <w:tl2br w:val="nil"/>
                    <w:tr2bl w:val="nil"/>
                  </w:tcBorders>
                  <w:noWrap w:val="0"/>
                  <w:vAlign w:val="center"/>
                </w:tcPr>
                <w:p w14:paraId="5BEB558A">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HW49</w:t>
                  </w:r>
                </w:p>
              </w:tc>
              <w:tc>
                <w:tcPr>
                  <w:tcW w:w="1060" w:type="dxa"/>
                  <w:tcBorders>
                    <w:tl2br w:val="nil"/>
                    <w:tr2bl w:val="nil"/>
                  </w:tcBorders>
                  <w:noWrap w:val="0"/>
                  <w:vAlign w:val="center"/>
                </w:tcPr>
                <w:p w14:paraId="70F36360">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900-041-49</w:t>
                  </w:r>
                </w:p>
              </w:tc>
              <w:tc>
                <w:tcPr>
                  <w:tcW w:w="859" w:type="dxa"/>
                  <w:tcBorders>
                    <w:tl2br w:val="nil"/>
                    <w:tr2bl w:val="nil"/>
                  </w:tcBorders>
                  <w:noWrap w:val="0"/>
                  <w:vAlign w:val="center"/>
                </w:tcPr>
                <w:p w14:paraId="622B8E09">
                  <w:pPr>
                    <w:spacing w:line="240" w:lineRule="exact"/>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sz w:val="21"/>
                      <w:szCs w:val="21"/>
                      <w:highlight w:val="none"/>
                      <w:lang w:val="en-US" w:eastAsia="zh-CN"/>
                    </w:rPr>
                    <w:t>0.0304</w:t>
                  </w:r>
                </w:p>
              </w:tc>
              <w:tc>
                <w:tcPr>
                  <w:tcW w:w="594" w:type="pct"/>
                  <w:tcBorders>
                    <w:tl2br w:val="nil"/>
                    <w:tr2bl w:val="nil"/>
                  </w:tcBorders>
                  <w:noWrap w:val="0"/>
                  <w:vAlign w:val="center"/>
                </w:tcPr>
                <w:p w14:paraId="23CD4257">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0.1</w:t>
                  </w:r>
                </w:p>
              </w:tc>
              <w:tc>
                <w:tcPr>
                  <w:tcW w:w="313" w:type="pct"/>
                  <w:vMerge w:val="continue"/>
                  <w:tcBorders>
                    <w:tl2br w:val="nil"/>
                    <w:tr2bl w:val="nil"/>
                  </w:tcBorders>
                  <w:noWrap w:val="0"/>
                  <w:vAlign w:val="center"/>
                </w:tcPr>
                <w:p w14:paraId="41305C40">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p>
              </w:tc>
              <w:tc>
                <w:tcPr>
                  <w:tcW w:w="592" w:type="pct"/>
                  <w:tcBorders>
                    <w:tl2br w:val="nil"/>
                    <w:tr2bl w:val="nil"/>
                  </w:tcBorders>
                  <w:noWrap w:val="0"/>
                  <w:vAlign w:val="center"/>
                </w:tcPr>
                <w:p w14:paraId="56706D3C">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lang w:val="en-US" w:eastAsia="zh-CN"/>
                    </w:rPr>
                    <w:t>袋装</w:t>
                  </w:r>
                  <w:r>
                    <w:rPr>
                      <w:rFonts w:hint="default" w:ascii="Times New Roman" w:hAnsi="Times New Roman" w:eastAsia="仿宋" w:cs="Times New Roman"/>
                      <w:color w:val="auto"/>
                      <w:kern w:val="0"/>
                      <w:sz w:val="21"/>
                      <w:szCs w:val="21"/>
                      <w:highlight w:val="none"/>
                    </w:rPr>
                    <w:t>密闭、下置防渗漏托盘</w:t>
                  </w:r>
                </w:p>
              </w:tc>
              <w:tc>
                <w:tcPr>
                  <w:tcW w:w="350" w:type="pct"/>
                  <w:vMerge w:val="continue"/>
                  <w:tcBorders>
                    <w:tl2br w:val="nil"/>
                    <w:tr2bl w:val="nil"/>
                  </w:tcBorders>
                  <w:noWrap w:val="0"/>
                  <w:vAlign w:val="center"/>
                </w:tcPr>
                <w:p w14:paraId="1E411619">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c>
                <w:tcPr>
                  <w:tcW w:w="286" w:type="pct"/>
                  <w:vMerge w:val="continue"/>
                  <w:tcBorders>
                    <w:tl2br w:val="nil"/>
                    <w:tr2bl w:val="nil"/>
                  </w:tcBorders>
                  <w:noWrap w:val="0"/>
                  <w:vAlign w:val="center"/>
                </w:tcPr>
                <w:p w14:paraId="5CC4B82B">
                  <w:pPr>
                    <w:topLinePunct/>
                    <w:jc w:val="center"/>
                    <w:rPr>
                      <w:rFonts w:hint="default" w:ascii="Times New Roman" w:hAnsi="Times New Roman" w:eastAsia="仿宋" w:cs="Times New Roman"/>
                      <w:color w:val="auto"/>
                      <w:kern w:val="0"/>
                      <w:sz w:val="21"/>
                      <w:szCs w:val="21"/>
                      <w:highlight w:val="none"/>
                      <w:lang w:val="en-US" w:eastAsia="zh-CN"/>
                    </w:rPr>
                  </w:pPr>
                </w:p>
              </w:tc>
            </w:tr>
            <w:tr w14:paraId="4E7FE96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 w:type="pct"/>
                  <w:tcBorders>
                    <w:tl2br w:val="nil"/>
                    <w:tr2bl w:val="nil"/>
                  </w:tcBorders>
                  <w:noWrap w:val="0"/>
                  <w:vAlign w:val="center"/>
                </w:tcPr>
                <w:p w14:paraId="6E9E3F0C">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4</w:t>
                  </w:r>
                </w:p>
              </w:tc>
              <w:tc>
                <w:tcPr>
                  <w:tcW w:w="430" w:type="pct"/>
                  <w:vMerge w:val="continue"/>
                  <w:tcBorders>
                    <w:tl2br w:val="nil"/>
                    <w:tr2bl w:val="nil"/>
                  </w:tcBorders>
                  <w:noWrap w:val="0"/>
                  <w:vAlign w:val="center"/>
                </w:tcPr>
                <w:p w14:paraId="104DEA09">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p>
              </w:tc>
              <w:tc>
                <w:tcPr>
                  <w:tcW w:w="733" w:type="dxa"/>
                  <w:tcBorders>
                    <w:tl2br w:val="nil"/>
                    <w:tr2bl w:val="nil"/>
                  </w:tcBorders>
                  <w:noWrap w:val="0"/>
                  <w:vAlign w:val="center"/>
                </w:tcPr>
                <w:p w14:paraId="42510DDD">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sz w:val="21"/>
                      <w:szCs w:val="21"/>
                      <w:highlight w:val="none"/>
                      <w:lang w:val="en-US" w:eastAsia="zh-CN"/>
                    </w:rPr>
                    <w:t>废包装桶</w:t>
                  </w:r>
                </w:p>
              </w:tc>
              <w:tc>
                <w:tcPr>
                  <w:tcW w:w="833" w:type="dxa"/>
                  <w:tcBorders>
                    <w:tl2br w:val="nil"/>
                    <w:tr2bl w:val="nil"/>
                  </w:tcBorders>
                  <w:noWrap w:val="0"/>
                  <w:vAlign w:val="center"/>
                </w:tcPr>
                <w:p w14:paraId="4ECB5415">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HW49</w:t>
                  </w:r>
                </w:p>
              </w:tc>
              <w:tc>
                <w:tcPr>
                  <w:tcW w:w="1060" w:type="dxa"/>
                  <w:tcBorders>
                    <w:tl2br w:val="nil"/>
                    <w:tr2bl w:val="nil"/>
                  </w:tcBorders>
                  <w:noWrap w:val="0"/>
                  <w:vAlign w:val="center"/>
                </w:tcPr>
                <w:p w14:paraId="1CD1BEBE">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900-041-49</w:t>
                  </w:r>
                </w:p>
              </w:tc>
              <w:tc>
                <w:tcPr>
                  <w:tcW w:w="859" w:type="dxa"/>
                  <w:tcBorders>
                    <w:tl2br w:val="nil"/>
                    <w:tr2bl w:val="nil"/>
                  </w:tcBorders>
                  <w:noWrap w:val="0"/>
                  <w:vAlign w:val="center"/>
                </w:tcPr>
                <w:p w14:paraId="7D682252">
                  <w:pPr>
                    <w:spacing w:line="240" w:lineRule="exact"/>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sz w:val="21"/>
                      <w:szCs w:val="21"/>
                      <w:highlight w:val="none"/>
                      <w:lang w:val="en-US" w:eastAsia="zh-CN"/>
                    </w:rPr>
                    <w:t>0.15</w:t>
                  </w:r>
                </w:p>
              </w:tc>
              <w:tc>
                <w:tcPr>
                  <w:tcW w:w="594" w:type="pct"/>
                  <w:tcBorders>
                    <w:tl2br w:val="nil"/>
                    <w:tr2bl w:val="nil"/>
                  </w:tcBorders>
                  <w:noWrap w:val="0"/>
                  <w:vAlign w:val="center"/>
                </w:tcPr>
                <w:p w14:paraId="48BD6007">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0.2</w:t>
                  </w:r>
                </w:p>
              </w:tc>
              <w:tc>
                <w:tcPr>
                  <w:tcW w:w="313" w:type="pct"/>
                  <w:vMerge w:val="continue"/>
                  <w:tcBorders>
                    <w:tl2br w:val="nil"/>
                    <w:tr2bl w:val="nil"/>
                  </w:tcBorders>
                  <w:noWrap w:val="0"/>
                  <w:vAlign w:val="center"/>
                </w:tcPr>
                <w:p w14:paraId="6BABEF95">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p>
              </w:tc>
              <w:tc>
                <w:tcPr>
                  <w:tcW w:w="592" w:type="pct"/>
                  <w:tcBorders>
                    <w:tl2br w:val="nil"/>
                    <w:tr2bl w:val="nil"/>
                  </w:tcBorders>
                  <w:noWrap w:val="0"/>
                  <w:vAlign w:val="center"/>
                </w:tcPr>
                <w:p w14:paraId="3E839209">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加盖密闭、下置防渗漏托盘</w:t>
                  </w:r>
                </w:p>
              </w:tc>
              <w:tc>
                <w:tcPr>
                  <w:tcW w:w="350" w:type="pct"/>
                  <w:vMerge w:val="continue"/>
                  <w:tcBorders>
                    <w:tl2br w:val="nil"/>
                    <w:tr2bl w:val="nil"/>
                  </w:tcBorders>
                  <w:noWrap w:val="0"/>
                  <w:vAlign w:val="center"/>
                </w:tcPr>
                <w:p w14:paraId="302FCCA8">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c>
                <w:tcPr>
                  <w:tcW w:w="286" w:type="pct"/>
                  <w:vMerge w:val="continue"/>
                  <w:tcBorders>
                    <w:tl2br w:val="nil"/>
                    <w:tr2bl w:val="nil"/>
                  </w:tcBorders>
                  <w:noWrap w:val="0"/>
                  <w:vAlign w:val="center"/>
                </w:tcPr>
                <w:p w14:paraId="770ED2EE">
                  <w:pPr>
                    <w:topLinePunct/>
                    <w:jc w:val="center"/>
                    <w:rPr>
                      <w:rFonts w:hint="default" w:ascii="Times New Roman" w:hAnsi="Times New Roman" w:eastAsia="仿宋" w:cs="Times New Roman"/>
                      <w:color w:val="auto"/>
                      <w:kern w:val="0"/>
                      <w:sz w:val="21"/>
                      <w:szCs w:val="21"/>
                      <w:highlight w:val="none"/>
                      <w:lang w:val="en-US" w:eastAsia="zh-CN"/>
                    </w:rPr>
                  </w:pPr>
                </w:p>
              </w:tc>
            </w:tr>
            <w:tr w14:paraId="0C8F327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 w:type="pct"/>
                  <w:tcBorders>
                    <w:tl2br w:val="nil"/>
                    <w:tr2bl w:val="nil"/>
                  </w:tcBorders>
                  <w:noWrap w:val="0"/>
                  <w:vAlign w:val="center"/>
                </w:tcPr>
                <w:p w14:paraId="073D52A5">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5</w:t>
                  </w:r>
                </w:p>
              </w:tc>
              <w:tc>
                <w:tcPr>
                  <w:tcW w:w="430" w:type="pct"/>
                  <w:vMerge w:val="continue"/>
                  <w:tcBorders>
                    <w:tl2br w:val="nil"/>
                    <w:tr2bl w:val="nil"/>
                  </w:tcBorders>
                  <w:noWrap w:val="0"/>
                  <w:vAlign w:val="center"/>
                </w:tcPr>
                <w:p w14:paraId="4C030EB3">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p>
              </w:tc>
              <w:tc>
                <w:tcPr>
                  <w:tcW w:w="733" w:type="dxa"/>
                  <w:tcBorders>
                    <w:tl2br w:val="nil"/>
                    <w:tr2bl w:val="nil"/>
                  </w:tcBorders>
                  <w:noWrap w:val="0"/>
                  <w:vAlign w:val="center"/>
                </w:tcPr>
                <w:p w14:paraId="6799C0BB">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w:t>
                  </w:r>
                  <w:r>
                    <w:rPr>
                      <w:rFonts w:hint="eastAsia" w:ascii="Times New Roman" w:hAnsi="Times New Roman" w:eastAsia="仿宋" w:cs="Times New Roman"/>
                      <w:color w:val="auto"/>
                      <w:sz w:val="21"/>
                      <w:szCs w:val="21"/>
                      <w:highlight w:val="none"/>
                      <w:lang w:val="en-US" w:eastAsia="zh-CN"/>
                    </w:rPr>
                    <w:t>油</w:t>
                  </w:r>
                  <w:r>
                    <w:rPr>
                      <w:rFonts w:hint="default" w:ascii="Times New Roman" w:hAnsi="Times New Roman" w:eastAsia="仿宋" w:cs="Times New Roman"/>
                      <w:color w:val="auto"/>
                      <w:sz w:val="21"/>
                      <w:szCs w:val="21"/>
                      <w:highlight w:val="none"/>
                      <w:lang w:val="en-US" w:eastAsia="zh-CN"/>
                    </w:rPr>
                    <w:t>桶</w:t>
                  </w:r>
                </w:p>
              </w:tc>
              <w:tc>
                <w:tcPr>
                  <w:tcW w:w="833" w:type="dxa"/>
                  <w:tcBorders>
                    <w:tl2br w:val="nil"/>
                    <w:tr2bl w:val="nil"/>
                  </w:tcBorders>
                  <w:noWrap w:val="0"/>
                  <w:vAlign w:val="center"/>
                </w:tcPr>
                <w:p w14:paraId="210F7D57">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HW08</w:t>
                  </w:r>
                </w:p>
              </w:tc>
              <w:tc>
                <w:tcPr>
                  <w:tcW w:w="1060" w:type="dxa"/>
                  <w:tcBorders>
                    <w:tl2br w:val="nil"/>
                    <w:tr2bl w:val="nil"/>
                  </w:tcBorders>
                  <w:noWrap w:val="0"/>
                  <w:vAlign w:val="center"/>
                </w:tcPr>
                <w:p w14:paraId="6E99A24D">
                  <w:pPr>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900-249-08</w:t>
                  </w:r>
                </w:p>
              </w:tc>
              <w:tc>
                <w:tcPr>
                  <w:tcW w:w="859" w:type="dxa"/>
                  <w:tcBorders>
                    <w:tl2br w:val="nil"/>
                    <w:tr2bl w:val="nil"/>
                  </w:tcBorders>
                  <w:noWrap w:val="0"/>
                  <w:vAlign w:val="center"/>
                </w:tcPr>
                <w:p w14:paraId="1BFF0B29">
                  <w:pPr>
                    <w:spacing w:line="240" w:lineRule="exact"/>
                    <w:jc w:val="center"/>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0.0</w:t>
                  </w:r>
                  <w:r>
                    <w:rPr>
                      <w:rFonts w:hint="eastAsia" w:eastAsia="仿宋" w:cs="Times New Roman"/>
                      <w:color w:val="auto"/>
                      <w:sz w:val="21"/>
                      <w:szCs w:val="21"/>
                      <w:highlight w:val="none"/>
                      <w:lang w:val="en-US" w:eastAsia="zh-CN"/>
                    </w:rPr>
                    <w:t>11</w:t>
                  </w:r>
                </w:p>
              </w:tc>
              <w:tc>
                <w:tcPr>
                  <w:tcW w:w="594" w:type="pct"/>
                  <w:tcBorders>
                    <w:tl2br w:val="nil"/>
                    <w:tr2bl w:val="nil"/>
                  </w:tcBorders>
                  <w:noWrap w:val="0"/>
                  <w:vAlign w:val="center"/>
                </w:tcPr>
                <w:p w14:paraId="31ECEC09">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1</w:t>
                  </w:r>
                </w:p>
              </w:tc>
              <w:tc>
                <w:tcPr>
                  <w:tcW w:w="313" w:type="pct"/>
                  <w:vMerge w:val="continue"/>
                  <w:tcBorders>
                    <w:tl2br w:val="nil"/>
                    <w:tr2bl w:val="nil"/>
                  </w:tcBorders>
                  <w:noWrap w:val="0"/>
                  <w:vAlign w:val="center"/>
                </w:tcPr>
                <w:p w14:paraId="20BB2E47">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p>
              </w:tc>
              <w:tc>
                <w:tcPr>
                  <w:tcW w:w="592" w:type="pct"/>
                  <w:tcBorders>
                    <w:tl2br w:val="nil"/>
                    <w:tr2bl w:val="nil"/>
                  </w:tcBorders>
                  <w:noWrap w:val="0"/>
                  <w:vAlign w:val="center"/>
                </w:tcPr>
                <w:p w14:paraId="5B614C9A">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r>
                    <w:rPr>
                      <w:rFonts w:hint="default" w:ascii="Times New Roman" w:hAnsi="Times New Roman" w:eastAsia="仿宋" w:cs="Times New Roman"/>
                      <w:color w:val="auto"/>
                      <w:kern w:val="0"/>
                      <w:sz w:val="21"/>
                      <w:szCs w:val="21"/>
                      <w:highlight w:val="none"/>
                    </w:rPr>
                    <w:t>加盖密闭、下置防渗漏托盘</w:t>
                  </w:r>
                </w:p>
              </w:tc>
              <w:tc>
                <w:tcPr>
                  <w:tcW w:w="350" w:type="pct"/>
                  <w:vMerge w:val="continue"/>
                  <w:tcBorders>
                    <w:tl2br w:val="nil"/>
                    <w:tr2bl w:val="nil"/>
                  </w:tcBorders>
                  <w:noWrap w:val="0"/>
                  <w:vAlign w:val="center"/>
                </w:tcPr>
                <w:p w14:paraId="580ADA39">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c>
                <w:tcPr>
                  <w:tcW w:w="286" w:type="pct"/>
                  <w:vMerge w:val="continue"/>
                  <w:tcBorders>
                    <w:tl2br w:val="nil"/>
                    <w:tr2bl w:val="nil"/>
                  </w:tcBorders>
                  <w:noWrap w:val="0"/>
                  <w:vAlign w:val="center"/>
                </w:tcPr>
                <w:p w14:paraId="58CD34F4">
                  <w:pPr>
                    <w:topLinePunct/>
                    <w:jc w:val="center"/>
                    <w:rPr>
                      <w:rFonts w:hint="default" w:ascii="Times New Roman" w:hAnsi="Times New Roman" w:eastAsia="仿宋" w:cs="Times New Roman"/>
                      <w:color w:val="auto"/>
                      <w:kern w:val="0"/>
                      <w:sz w:val="21"/>
                      <w:szCs w:val="21"/>
                      <w:highlight w:val="none"/>
                      <w:lang w:val="en-US" w:eastAsia="zh-CN"/>
                    </w:rPr>
                  </w:pPr>
                </w:p>
              </w:tc>
            </w:tr>
            <w:tr w14:paraId="3BD89FF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 w:type="pct"/>
                  <w:tcBorders>
                    <w:tl2br w:val="nil"/>
                    <w:tr2bl w:val="nil"/>
                  </w:tcBorders>
                  <w:noWrap w:val="0"/>
                  <w:vAlign w:val="center"/>
                </w:tcPr>
                <w:p w14:paraId="165706E2">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6</w:t>
                  </w:r>
                </w:p>
              </w:tc>
              <w:tc>
                <w:tcPr>
                  <w:tcW w:w="430" w:type="pct"/>
                  <w:vMerge w:val="continue"/>
                  <w:tcBorders>
                    <w:tl2br w:val="nil"/>
                    <w:tr2bl w:val="nil"/>
                  </w:tcBorders>
                  <w:noWrap w:val="0"/>
                  <w:vAlign w:val="center"/>
                </w:tcPr>
                <w:p w14:paraId="449E8A9F">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p>
              </w:tc>
              <w:tc>
                <w:tcPr>
                  <w:tcW w:w="733" w:type="dxa"/>
                  <w:tcBorders>
                    <w:tl2br w:val="nil"/>
                    <w:tr2bl w:val="nil"/>
                  </w:tcBorders>
                  <w:noWrap w:val="0"/>
                  <w:vAlign w:val="center"/>
                </w:tcPr>
                <w:p w14:paraId="5F240B2F">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eastAsia" w:ascii="Times New Roman" w:hAnsi="Times New Roman" w:eastAsia="仿宋" w:cs="Times New Roman"/>
                      <w:color w:val="auto"/>
                      <w:kern w:val="2"/>
                      <w:sz w:val="21"/>
                      <w:szCs w:val="21"/>
                      <w:highlight w:val="none"/>
                      <w:lang w:val="en-US" w:eastAsia="zh-CN" w:bidi="ar-SA"/>
                    </w:rPr>
                    <w:t>废液压油</w:t>
                  </w:r>
                </w:p>
              </w:tc>
              <w:tc>
                <w:tcPr>
                  <w:tcW w:w="833" w:type="dxa"/>
                  <w:tcBorders>
                    <w:tl2br w:val="nil"/>
                    <w:tr2bl w:val="nil"/>
                  </w:tcBorders>
                  <w:noWrap w:val="0"/>
                  <w:vAlign w:val="center"/>
                </w:tcPr>
                <w:p w14:paraId="589A1A4B">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HW08</w:t>
                  </w:r>
                </w:p>
              </w:tc>
              <w:tc>
                <w:tcPr>
                  <w:tcW w:w="1060" w:type="dxa"/>
                  <w:tcBorders>
                    <w:tl2br w:val="nil"/>
                    <w:tr2bl w:val="nil"/>
                  </w:tcBorders>
                  <w:noWrap w:val="0"/>
                  <w:vAlign w:val="center"/>
                </w:tcPr>
                <w:p w14:paraId="234FCE80">
                  <w:pPr>
                    <w:jc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lang w:val="en-US" w:eastAsia="zh-CN"/>
                    </w:rPr>
                    <w:t>900-2</w:t>
                  </w:r>
                  <w:r>
                    <w:rPr>
                      <w:rFonts w:hint="eastAsia" w:eastAsia="仿宋" w:cs="Times New Roman"/>
                      <w:color w:val="auto"/>
                      <w:sz w:val="21"/>
                      <w:szCs w:val="21"/>
                      <w:highlight w:val="none"/>
                      <w:lang w:val="en-US" w:eastAsia="zh-CN"/>
                    </w:rPr>
                    <w:t>18</w:t>
                  </w:r>
                  <w:r>
                    <w:rPr>
                      <w:rFonts w:hint="default" w:ascii="Times New Roman" w:hAnsi="Times New Roman" w:eastAsia="仿宋" w:cs="Times New Roman"/>
                      <w:color w:val="auto"/>
                      <w:sz w:val="21"/>
                      <w:szCs w:val="21"/>
                      <w:highlight w:val="none"/>
                      <w:lang w:val="en-US" w:eastAsia="zh-CN"/>
                    </w:rPr>
                    <w:t>-08</w:t>
                  </w:r>
                </w:p>
              </w:tc>
              <w:tc>
                <w:tcPr>
                  <w:tcW w:w="859" w:type="dxa"/>
                  <w:tcBorders>
                    <w:tl2br w:val="nil"/>
                    <w:tr2bl w:val="nil"/>
                  </w:tcBorders>
                  <w:noWrap w:val="0"/>
                  <w:vAlign w:val="center"/>
                </w:tcPr>
                <w:p w14:paraId="079001B1">
                  <w:pPr>
                    <w:spacing w:line="240" w:lineRule="exact"/>
                    <w:jc w:val="center"/>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0.</w:t>
                  </w:r>
                  <w:r>
                    <w:rPr>
                      <w:rFonts w:hint="eastAsia" w:eastAsia="仿宋" w:cs="Times New Roman"/>
                      <w:color w:val="auto"/>
                      <w:sz w:val="21"/>
                      <w:szCs w:val="21"/>
                      <w:highlight w:val="none"/>
                      <w:lang w:val="en-US" w:eastAsia="zh-CN"/>
                    </w:rPr>
                    <w:t>136</w:t>
                  </w:r>
                </w:p>
              </w:tc>
              <w:tc>
                <w:tcPr>
                  <w:tcW w:w="594" w:type="pct"/>
                  <w:tcBorders>
                    <w:tl2br w:val="nil"/>
                    <w:tr2bl w:val="nil"/>
                  </w:tcBorders>
                  <w:noWrap w:val="0"/>
                  <w:vAlign w:val="center"/>
                </w:tcPr>
                <w:p w14:paraId="0E55C603">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0.2</w:t>
                  </w:r>
                </w:p>
              </w:tc>
              <w:tc>
                <w:tcPr>
                  <w:tcW w:w="313" w:type="pct"/>
                  <w:vMerge w:val="continue"/>
                  <w:tcBorders>
                    <w:tl2br w:val="nil"/>
                    <w:tr2bl w:val="nil"/>
                  </w:tcBorders>
                  <w:noWrap w:val="0"/>
                  <w:vAlign w:val="center"/>
                </w:tcPr>
                <w:p w14:paraId="3D47B29B">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p>
              </w:tc>
              <w:tc>
                <w:tcPr>
                  <w:tcW w:w="592" w:type="pct"/>
                  <w:tcBorders>
                    <w:tl2br w:val="nil"/>
                    <w:tr2bl w:val="nil"/>
                  </w:tcBorders>
                  <w:noWrap w:val="0"/>
                  <w:vAlign w:val="center"/>
                </w:tcPr>
                <w:p w14:paraId="4B1111EB">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r>
                    <w:rPr>
                      <w:rFonts w:hint="eastAsia" w:ascii="Times New Roman" w:hAnsi="Times New Roman" w:eastAsia="仿宋" w:cs="Times New Roman"/>
                      <w:color w:val="auto"/>
                      <w:kern w:val="0"/>
                      <w:sz w:val="21"/>
                      <w:szCs w:val="21"/>
                      <w:highlight w:val="none"/>
                      <w:lang w:val="en-US" w:eastAsia="zh-CN"/>
                    </w:rPr>
                    <w:t>桶装</w:t>
                  </w:r>
                  <w:r>
                    <w:rPr>
                      <w:rFonts w:hint="default" w:ascii="Times New Roman" w:hAnsi="Times New Roman" w:eastAsia="仿宋" w:cs="Times New Roman"/>
                      <w:color w:val="auto"/>
                      <w:kern w:val="0"/>
                      <w:sz w:val="21"/>
                      <w:szCs w:val="21"/>
                      <w:highlight w:val="none"/>
                    </w:rPr>
                    <w:t>加盖密闭、下置防渗漏托盘</w:t>
                  </w:r>
                </w:p>
              </w:tc>
              <w:tc>
                <w:tcPr>
                  <w:tcW w:w="350" w:type="pct"/>
                  <w:vMerge w:val="continue"/>
                  <w:tcBorders>
                    <w:tl2br w:val="nil"/>
                    <w:tr2bl w:val="nil"/>
                  </w:tcBorders>
                  <w:noWrap w:val="0"/>
                  <w:vAlign w:val="center"/>
                </w:tcPr>
                <w:p w14:paraId="7701A574">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c>
                <w:tcPr>
                  <w:tcW w:w="286" w:type="pct"/>
                  <w:vMerge w:val="continue"/>
                  <w:tcBorders>
                    <w:tl2br w:val="nil"/>
                    <w:tr2bl w:val="nil"/>
                  </w:tcBorders>
                  <w:noWrap w:val="0"/>
                  <w:vAlign w:val="center"/>
                </w:tcPr>
                <w:p w14:paraId="5889932A">
                  <w:pPr>
                    <w:topLinePunct/>
                    <w:jc w:val="center"/>
                    <w:rPr>
                      <w:rFonts w:hint="default" w:ascii="Times New Roman" w:hAnsi="Times New Roman" w:eastAsia="仿宋" w:cs="Times New Roman"/>
                      <w:color w:val="auto"/>
                      <w:kern w:val="0"/>
                      <w:sz w:val="21"/>
                      <w:szCs w:val="21"/>
                      <w:highlight w:val="none"/>
                      <w:lang w:val="en-US" w:eastAsia="zh-CN"/>
                    </w:rPr>
                  </w:pPr>
                </w:p>
              </w:tc>
            </w:tr>
            <w:tr w14:paraId="65016E09">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 w:type="pct"/>
                  <w:tcBorders>
                    <w:tl2br w:val="nil"/>
                    <w:tr2bl w:val="nil"/>
                  </w:tcBorders>
                  <w:noWrap w:val="0"/>
                  <w:vAlign w:val="center"/>
                </w:tcPr>
                <w:p w14:paraId="63468DD6">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lang w:val="en-US" w:eastAsia="zh-CN"/>
                    </w:rPr>
                    <w:t>7</w:t>
                  </w:r>
                </w:p>
              </w:tc>
              <w:tc>
                <w:tcPr>
                  <w:tcW w:w="430" w:type="pct"/>
                  <w:vMerge w:val="continue"/>
                  <w:tcBorders>
                    <w:tl2br w:val="nil"/>
                    <w:tr2bl w:val="nil"/>
                  </w:tcBorders>
                  <w:noWrap w:val="0"/>
                  <w:vAlign w:val="center"/>
                </w:tcPr>
                <w:p w14:paraId="160E3B89">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sz w:val="21"/>
                      <w:szCs w:val="21"/>
                      <w:highlight w:val="none"/>
                    </w:rPr>
                  </w:pPr>
                </w:p>
              </w:tc>
              <w:tc>
                <w:tcPr>
                  <w:tcW w:w="733" w:type="dxa"/>
                  <w:tcBorders>
                    <w:tl2br w:val="nil"/>
                    <w:tr2bl w:val="nil"/>
                  </w:tcBorders>
                  <w:noWrap w:val="0"/>
                  <w:vAlign w:val="center"/>
                </w:tcPr>
                <w:p w14:paraId="45BAB3EF">
                  <w:pPr>
                    <w:pStyle w:val="39"/>
                    <w:adjustRightInd w:val="0"/>
                    <w:snapToGrid w:val="0"/>
                    <w:jc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w:t>
                  </w:r>
                  <w:r>
                    <w:rPr>
                      <w:rFonts w:hint="eastAsia" w:ascii="Times New Roman" w:hAnsi="Times New Roman" w:eastAsia="仿宋" w:cs="Times New Roman"/>
                      <w:color w:val="auto"/>
                      <w:sz w:val="21"/>
                      <w:szCs w:val="21"/>
                      <w:highlight w:val="none"/>
                      <w:lang w:val="en-US" w:eastAsia="zh-CN"/>
                    </w:rPr>
                    <w:t>过滤网</w:t>
                  </w:r>
                </w:p>
              </w:tc>
              <w:tc>
                <w:tcPr>
                  <w:tcW w:w="833" w:type="dxa"/>
                  <w:tcBorders>
                    <w:tl2br w:val="nil"/>
                    <w:tr2bl w:val="nil"/>
                  </w:tcBorders>
                  <w:noWrap w:val="0"/>
                  <w:vAlign w:val="center"/>
                </w:tcPr>
                <w:p w14:paraId="1ADC8692">
                  <w:pPr>
                    <w:jc w:val="center"/>
                    <w:rPr>
                      <w:rFonts w:hint="default" w:ascii="Times New Roman" w:hAnsi="Times New Roman" w:eastAsia="仿宋" w:cs="Times New Roman"/>
                      <w:b w:val="0"/>
                      <w:bCs w:val="0"/>
                      <w:color w:val="auto"/>
                      <w:sz w:val="21"/>
                      <w:szCs w:val="21"/>
                      <w:highlight w:val="none"/>
                    </w:rPr>
                  </w:pPr>
                  <w:r>
                    <w:rPr>
                      <w:rFonts w:hint="default" w:ascii="Times New Roman" w:hAnsi="Times New Roman" w:eastAsia="仿宋" w:cs="Times New Roman"/>
                      <w:color w:val="auto"/>
                      <w:sz w:val="21"/>
                      <w:szCs w:val="21"/>
                      <w:highlight w:val="none"/>
                      <w:lang w:val="en-US" w:eastAsia="zh-CN"/>
                    </w:rPr>
                    <w:t>HW49</w:t>
                  </w:r>
                </w:p>
              </w:tc>
              <w:tc>
                <w:tcPr>
                  <w:tcW w:w="1060" w:type="dxa"/>
                  <w:tcBorders>
                    <w:tl2br w:val="nil"/>
                    <w:tr2bl w:val="nil"/>
                  </w:tcBorders>
                  <w:noWrap w:val="0"/>
                  <w:vAlign w:val="center"/>
                </w:tcPr>
                <w:p w14:paraId="01A27371">
                  <w:pPr>
                    <w:jc w:val="center"/>
                    <w:rPr>
                      <w:rFonts w:hint="default" w:ascii="Times New Roman" w:hAnsi="Times New Roman" w:eastAsia="仿宋" w:cs="Times New Roman"/>
                      <w:b w:val="0"/>
                      <w:bCs w:val="0"/>
                      <w:color w:val="auto"/>
                      <w:sz w:val="21"/>
                      <w:szCs w:val="21"/>
                      <w:highlight w:val="none"/>
                    </w:rPr>
                  </w:pPr>
                  <w:r>
                    <w:rPr>
                      <w:rFonts w:hint="default" w:ascii="Times New Roman" w:hAnsi="Times New Roman" w:eastAsia="仿宋" w:cs="Times New Roman"/>
                      <w:color w:val="auto"/>
                      <w:sz w:val="21"/>
                      <w:szCs w:val="21"/>
                      <w:highlight w:val="none"/>
                      <w:lang w:val="en-US" w:eastAsia="zh-CN"/>
                    </w:rPr>
                    <w:t>900-041-49</w:t>
                  </w:r>
                </w:p>
              </w:tc>
              <w:tc>
                <w:tcPr>
                  <w:tcW w:w="859" w:type="dxa"/>
                  <w:tcBorders>
                    <w:tl2br w:val="nil"/>
                    <w:tr2bl w:val="nil"/>
                  </w:tcBorders>
                  <w:noWrap w:val="0"/>
                  <w:vAlign w:val="center"/>
                </w:tcPr>
                <w:p w14:paraId="369C9889">
                  <w:pPr>
                    <w:spacing w:line="240" w:lineRule="exact"/>
                    <w:jc w:val="center"/>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sz w:val="21"/>
                      <w:szCs w:val="21"/>
                      <w:highlight w:val="none"/>
                      <w:lang w:val="en-US" w:eastAsia="zh-CN"/>
                    </w:rPr>
                    <w:t>1.5</w:t>
                  </w:r>
                </w:p>
              </w:tc>
              <w:tc>
                <w:tcPr>
                  <w:tcW w:w="594" w:type="pct"/>
                  <w:tcBorders>
                    <w:tl2br w:val="nil"/>
                    <w:tr2bl w:val="nil"/>
                  </w:tcBorders>
                  <w:noWrap w:val="0"/>
                  <w:vAlign w:val="center"/>
                </w:tcPr>
                <w:p w14:paraId="5E7B5C75">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eastAsia" w:eastAsia="仿宋" w:cs="Times New Roman"/>
                      <w:color w:val="auto"/>
                      <w:kern w:val="0"/>
                      <w:sz w:val="21"/>
                      <w:szCs w:val="21"/>
                      <w:highlight w:val="none"/>
                      <w:lang w:val="en-US" w:eastAsia="zh-CN"/>
                    </w:rPr>
                    <w:t>2</w:t>
                  </w:r>
                </w:p>
              </w:tc>
              <w:tc>
                <w:tcPr>
                  <w:tcW w:w="313" w:type="pct"/>
                  <w:vMerge w:val="continue"/>
                  <w:tcBorders>
                    <w:tl2br w:val="nil"/>
                    <w:tr2bl w:val="nil"/>
                  </w:tcBorders>
                  <w:noWrap w:val="0"/>
                  <w:vAlign w:val="center"/>
                </w:tcPr>
                <w:p w14:paraId="6E4ABAB9">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rPr>
                  </w:pPr>
                </w:p>
              </w:tc>
              <w:tc>
                <w:tcPr>
                  <w:tcW w:w="592" w:type="pct"/>
                  <w:tcBorders>
                    <w:tl2br w:val="nil"/>
                    <w:tr2bl w:val="nil"/>
                  </w:tcBorders>
                  <w:noWrap w:val="0"/>
                  <w:vAlign w:val="center"/>
                </w:tcPr>
                <w:p w14:paraId="14A30260">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r>
                    <w:rPr>
                      <w:rFonts w:hint="default" w:ascii="Times New Roman" w:hAnsi="Times New Roman" w:eastAsia="仿宋" w:cs="Times New Roman"/>
                      <w:color w:val="auto"/>
                      <w:kern w:val="0"/>
                      <w:sz w:val="21"/>
                      <w:szCs w:val="21"/>
                      <w:highlight w:val="none"/>
                    </w:rPr>
                    <w:t>加盖密闭、下置防渗漏托盘</w:t>
                  </w:r>
                </w:p>
              </w:tc>
              <w:tc>
                <w:tcPr>
                  <w:tcW w:w="350" w:type="pct"/>
                  <w:vMerge w:val="continue"/>
                  <w:tcBorders>
                    <w:tl2br w:val="nil"/>
                    <w:tr2bl w:val="nil"/>
                  </w:tcBorders>
                  <w:noWrap w:val="0"/>
                  <w:vAlign w:val="center"/>
                </w:tcPr>
                <w:p w14:paraId="034BD7C3">
                  <w:pPr>
                    <w:keepNext w:val="0"/>
                    <w:keepLines w:val="0"/>
                    <w:pageBreakBefore w:val="0"/>
                    <w:kinsoku/>
                    <w:wordWrap/>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kern w:val="0"/>
                      <w:sz w:val="21"/>
                      <w:szCs w:val="21"/>
                      <w:highlight w:val="none"/>
                      <w:lang w:val="en-US" w:eastAsia="zh-CN"/>
                    </w:rPr>
                  </w:pPr>
                </w:p>
              </w:tc>
              <w:tc>
                <w:tcPr>
                  <w:tcW w:w="286" w:type="pct"/>
                  <w:vMerge w:val="continue"/>
                  <w:tcBorders>
                    <w:tl2br w:val="nil"/>
                    <w:tr2bl w:val="nil"/>
                  </w:tcBorders>
                  <w:noWrap w:val="0"/>
                  <w:vAlign w:val="center"/>
                </w:tcPr>
                <w:p w14:paraId="2875D306">
                  <w:pPr>
                    <w:topLinePunct/>
                    <w:jc w:val="center"/>
                    <w:rPr>
                      <w:rFonts w:hint="default" w:ascii="Times New Roman" w:hAnsi="Times New Roman" w:eastAsia="仿宋" w:cs="Times New Roman"/>
                      <w:color w:val="auto"/>
                      <w:kern w:val="0"/>
                      <w:sz w:val="21"/>
                      <w:szCs w:val="21"/>
                      <w:highlight w:val="none"/>
                      <w:lang w:val="en-US" w:eastAsia="zh-CN"/>
                    </w:rPr>
                  </w:pPr>
                </w:p>
              </w:tc>
            </w:tr>
          </w:tbl>
          <w:p w14:paraId="022082E8">
            <w:pPr>
              <w:pStyle w:val="3"/>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bCs w:val="0"/>
                <w:color w:val="auto"/>
                <w:sz w:val="24"/>
                <w:szCs w:val="24"/>
                <w:highlight w:val="none"/>
              </w:rPr>
              <w:t>本项目危废暂存点占地面积</w:t>
            </w:r>
            <w:r>
              <w:rPr>
                <w:rFonts w:hint="eastAsia" w:cs="Times New Roman"/>
                <w:bCs w:val="0"/>
                <w:color w:val="auto"/>
                <w:sz w:val="24"/>
                <w:szCs w:val="24"/>
                <w:highlight w:val="none"/>
                <w:lang w:val="en-US" w:eastAsia="zh-CN"/>
              </w:rPr>
              <w:t>38</w:t>
            </w:r>
            <w:r>
              <w:rPr>
                <w:rFonts w:hint="default" w:ascii="Times New Roman" w:hAnsi="Times New Roman" w:eastAsia="宋体" w:cs="Times New Roman"/>
                <w:bCs w:val="0"/>
                <w:color w:val="auto"/>
                <w:sz w:val="24"/>
                <w:szCs w:val="24"/>
                <w:highlight w:val="none"/>
              </w:rPr>
              <w:t>m</w:t>
            </w:r>
            <w:r>
              <w:rPr>
                <w:rFonts w:hint="default" w:ascii="Times New Roman" w:hAnsi="Times New Roman" w:eastAsia="宋体" w:cs="Times New Roman"/>
                <w:bCs w:val="0"/>
                <w:color w:val="auto"/>
                <w:sz w:val="24"/>
                <w:szCs w:val="24"/>
                <w:highlight w:val="none"/>
                <w:vertAlign w:val="superscript"/>
              </w:rPr>
              <w:t>2</w:t>
            </w:r>
            <w:r>
              <w:rPr>
                <w:rFonts w:hint="default" w:ascii="Times New Roman" w:hAnsi="Times New Roman" w:eastAsia="宋体" w:cs="Times New Roman"/>
                <w:bCs w:val="0"/>
                <w:color w:val="auto"/>
                <w:sz w:val="24"/>
                <w:szCs w:val="24"/>
                <w:highlight w:val="none"/>
              </w:rPr>
              <w:t>，有效利用率为</w:t>
            </w:r>
            <w:r>
              <w:rPr>
                <w:rFonts w:hint="eastAsia" w:cs="Times New Roman"/>
                <w:bCs w:val="0"/>
                <w:color w:val="auto"/>
                <w:sz w:val="24"/>
                <w:szCs w:val="24"/>
                <w:highlight w:val="none"/>
                <w:lang w:val="en-US" w:eastAsia="zh-CN"/>
              </w:rPr>
              <w:t>80</w:t>
            </w:r>
            <w:r>
              <w:rPr>
                <w:rFonts w:hint="default" w:ascii="Times New Roman" w:hAnsi="Times New Roman" w:eastAsia="宋体" w:cs="Times New Roman"/>
                <w:bCs w:val="0"/>
                <w:color w:val="auto"/>
                <w:sz w:val="24"/>
                <w:szCs w:val="24"/>
                <w:highlight w:val="none"/>
              </w:rPr>
              <w:t>%，危废贮存密度按1t/m</w:t>
            </w:r>
            <w:r>
              <w:rPr>
                <w:rFonts w:hint="default" w:ascii="Times New Roman" w:hAnsi="Times New Roman" w:eastAsia="宋体" w:cs="Times New Roman"/>
                <w:bCs w:val="0"/>
                <w:color w:val="auto"/>
                <w:sz w:val="24"/>
                <w:szCs w:val="24"/>
                <w:highlight w:val="none"/>
                <w:vertAlign w:val="superscript"/>
              </w:rPr>
              <w:t>3</w:t>
            </w:r>
            <w:r>
              <w:rPr>
                <w:rFonts w:hint="default" w:ascii="Times New Roman" w:hAnsi="Times New Roman" w:eastAsia="宋体" w:cs="Times New Roman"/>
                <w:bCs w:val="0"/>
                <w:color w:val="auto"/>
                <w:sz w:val="24"/>
                <w:szCs w:val="24"/>
                <w:highlight w:val="none"/>
              </w:rPr>
              <w:t>，贮存高度按1m计，则最大贮存能力为</w:t>
            </w:r>
            <w:r>
              <w:rPr>
                <w:rFonts w:hint="eastAsia" w:cs="Times New Roman"/>
                <w:bCs w:val="0"/>
                <w:color w:val="auto"/>
                <w:sz w:val="24"/>
                <w:szCs w:val="24"/>
                <w:highlight w:val="none"/>
                <w:lang w:val="en-US" w:eastAsia="zh-CN"/>
              </w:rPr>
              <w:t>30.4</w:t>
            </w:r>
            <w:r>
              <w:rPr>
                <w:rFonts w:hint="default" w:ascii="Times New Roman" w:hAnsi="Times New Roman" w:eastAsia="宋体" w:cs="Times New Roman"/>
                <w:bCs w:val="0"/>
                <w:color w:val="auto"/>
                <w:sz w:val="24"/>
                <w:szCs w:val="24"/>
                <w:highlight w:val="none"/>
              </w:rPr>
              <w:t>t</w:t>
            </w:r>
            <w:r>
              <w:rPr>
                <w:rFonts w:hint="eastAsia" w:cs="Times New Roman"/>
                <w:bCs w:val="0"/>
                <w:color w:val="auto"/>
                <w:sz w:val="24"/>
                <w:szCs w:val="24"/>
                <w:highlight w:val="none"/>
                <w:lang w:eastAsia="zh-CN"/>
              </w:rPr>
              <w:t>，</w:t>
            </w:r>
            <w:r>
              <w:rPr>
                <w:rFonts w:hint="eastAsia" w:cs="Times New Roman"/>
                <w:bCs w:val="0"/>
                <w:color w:val="auto"/>
                <w:sz w:val="24"/>
                <w:szCs w:val="24"/>
                <w:highlight w:val="none"/>
                <w:lang w:val="en-US" w:eastAsia="zh-CN"/>
              </w:rPr>
              <w:t>危废年产生量为11.827t，</w:t>
            </w:r>
            <w:r>
              <w:rPr>
                <w:rFonts w:hint="eastAsia" w:ascii="Times New Roman" w:hAnsi="Times New Roman" w:eastAsia="宋体" w:cs="Times New Roman"/>
                <w:color w:val="auto"/>
                <w:sz w:val="24"/>
                <w:szCs w:val="24"/>
                <w:highlight w:val="none"/>
                <w:lang w:val="en-US" w:eastAsia="zh-CN"/>
              </w:rPr>
              <w:t>企业目前设计</w:t>
            </w:r>
            <w:r>
              <w:rPr>
                <w:rFonts w:hint="eastAsia" w:cs="Times New Roman"/>
                <w:color w:val="auto"/>
                <w:sz w:val="24"/>
                <w:szCs w:val="24"/>
                <w:highlight w:val="none"/>
                <w:lang w:val="en-US" w:eastAsia="zh-CN"/>
              </w:rPr>
              <w:t>38</w:t>
            </w:r>
            <w:r>
              <w:rPr>
                <w:rFonts w:hint="default" w:ascii="Times New Roman" w:hAnsi="Times New Roman" w:eastAsia="宋体" w:cs="Times New Roman"/>
                <w:color w:val="auto"/>
                <w:kern w:val="2"/>
                <w:sz w:val="24"/>
                <w:szCs w:val="24"/>
                <w:highlight w:val="none"/>
                <w:vertAlign w:val="baseline"/>
                <w:lang w:val="en-US" w:eastAsia="zh-CN"/>
              </w:rPr>
              <w:t>m</w:t>
            </w:r>
            <w:r>
              <w:rPr>
                <w:rFonts w:hint="default" w:ascii="Times New Roman" w:hAnsi="Times New Roman" w:eastAsia="宋体"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highlight w:val="none"/>
                <w:vertAlign w:val="baseline"/>
                <w:lang w:val="en-US" w:eastAsia="zh-CN"/>
              </w:rPr>
              <w:t>的危废仓库可以满足</w:t>
            </w:r>
            <w:r>
              <w:rPr>
                <w:rFonts w:hint="default" w:ascii="Times New Roman" w:hAnsi="Times New Roman" w:eastAsia="宋体" w:cs="Times New Roman"/>
                <w:color w:val="auto"/>
                <w:sz w:val="24"/>
                <w:szCs w:val="24"/>
                <w:highlight w:val="none"/>
              </w:rPr>
              <w:t>本项目使用需求</w:t>
            </w:r>
            <w:r>
              <w:rPr>
                <w:rFonts w:hint="default" w:ascii="Times New Roman" w:hAnsi="Times New Roman" w:eastAsia="宋体" w:cs="Times New Roman"/>
                <w:color w:val="auto"/>
                <w:sz w:val="24"/>
                <w:szCs w:val="24"/>
                <w:highlight w:val="none"/>
                <w:lang w:eastAsia="zh-CN"/>
              </w:rPr>
              <w:t>。</w:t>
            </w:r>
          </w:p>
          <w:p w14:paraId="571D138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各危废暂存设施将严格按照《危险废物贮存污染控制标准》（GB 18597-2023）、《建设项目危险废物环境影响评价指南》中的要求建设和维护使用。废液区设在建筑物内、危废仓库加盖建筑；危废暂存场地应采取相应的防腐防渗透措施，如地面进行环氧树脂地坪防腐，同时设置防渗透管沟，废液区设置围堰并与事故应急池连通等。通过采取上述措施后，危险废物贮存过程中对周边大气、地表水、地下水、土壤及环境敏感保护目标的影响在可控制范围内。</w:t>
            </w:r>
          </w:p>
          <w:p w14:paraId="7BB6707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本项目危废暂存间的设置按照《危险废物贮存污染控制标准》（GB18597-2023）的具体要求如下：</w:t>
            </w:r>
          </w:p>
          <w:p w14:paraId="28713A7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a.贮存设施根据危险废物的形态、物理化学性质、包装形式和污染物迁移途径，采取必要的防风、防晒、防雨、防漏、防渗、防腐以及其他环境污染防治措施，不应露天堆放危险废物。</w:t>
            </w:r>
          </w:p>
          <w:p w14:paraId="7CA2F12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b.贮存设施应根据危险废物的类别、数量、形态、物理化学性质和污染防治等要求设置必要的贮存分区，避免不相容的危险废物接触、混合。</w:t>
            </w:r>
          </w:p>
          <w:p w14:paraId="7766EA6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c.贮存设施或贮存分区内地面、墙面裙脚、堵截泄漏的围堰、接触危险废物的隔板和墙体等应采用坚固的材料建造，表面无裂缝。</w:t>
            </w:r>
          </w:p>
          <w:p w14:paraId="6737BED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eastAsia="宋体" w:cs="Times New Roman"/>
                <w:color w:val="auto"/>
                <w:kern w:val="0"/>
                <w:sz w:val="24"/>
                <w:szCs w:val="24"/>
                <w:highlight w:val="none"/>
                <w:vertAlign w:val="superscript"/>
              </w:rPr>
              <w:t>-7</w:t>
            </w:r>
            <w:r>
              <w:rPr>
                <w:rFonts w:hint="default" w:ascii="Times New Roman" w:hAnsi="Times New Roman" w:eastAsia="宋体" w:cs="Times New Roman"/>
                <w:color w:val="auto"/>
                <w:kern w:val="0"/>
                <w:sz w:val="24"/>
                <w:szCs w:val="24"/>
                <w:highlight w:val="none"/>
              </w:rPr>
              <w:t>cm/s），或至少2mm厚高密度聚乙烯膜等人工防渗材料（渗透系数不大于10</w:t>
            </w:r>
            <w:r>
              <w:rPr>
                <w:rFonts w:hint="default" w:ascii="Times New Roman" w:hAnsi="Times New Roman" w:eastAsia="宋体" w:cs="Times New Roman"/>
                <w:color w:val="auto"/>
                <w:kern w:val="0"/>
                <w:sz w:val="24"/>
                <w:szCs w:val="24"/>
                <w:highlight w:val="none"/>
                <w:vertAlign w:val="superscript"/>
              </w:rPr>
              <w:t>-10</w:t>
            </w:r>
            <w:r>
              <w:rPr>
                <w:rFonts w:hint="default" w:ascii="Times New Roman" w:hAnsi="Times New Roman" w:eastAsia="宋体" w:cs="Times New Roman"/>
                <w:color w:val="auto"/>
                <w:kern w:val="0"/>
                <w:sz w:val="24"/>
                <w:szCs w:val="24"/>
                <w:highlight w:val="none"/>
              </w:rPr>
              <w:t>cm/s），或其他防渗性能等效的材料。</w:t>
            </w:r>
          </w:p>
          <w:p w14:paraId="3E52952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e.同一贮存设施宜采用相同的防渗、防腐工艺（包括防渗、防腐结构或材料），防渗、防腐材料应覆盖所有可能与废物及其渗滤液、渗漏液等接触的构筑物表面；采用不同防渗、防腐工艺应分别建设贮存分区。</w:t>
            </w:r>
          </w:p>
          <w:p w14:paraId="6D76A72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f.贮存设施应采取技术和管理措施防止无关人员进入。</w:t>
            </w:r>
          </w:p>
          <w:p w14:paraId="19A6A06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g.贮存库内不同贮存分区之间应采取隔离措施。隔离措施可根据危险废物特性采用过道、隔板或隔墙等方式。在贮存库内或通过贮存分区贮存液态危险废物的，应具有液体泄漏堵截设施，堵截设施最小容积不应低于对应贮存区域最大液态废物容器容积或液态废物总储存量1/10（二者取较大者）；用于贮存可能产生渗滤液的危险废物的贮存库或贮存分区应设计渗滤液收集设施，收集设施容积应满足渗滤液的收集要求。</w:t>
            </w:r>
          </w:p>
          <w:p w14:paraId="1F1DF60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h.贮存易产生粉尘、VOCs、酸雾、有毒有害大气污染物和刺激性气味气体的危险废物贮存库，应设置气体收集装置和气体净化设施；气体净化设施的排气筒高度应符合GB16297要求。</w:t>
            </w:r>
          </w:p>
          <w:p w14:paraId="3775C67D">
            <w:pPr>
              <w:keepNext w:val="0"/>
              <w:keepLines w:val="0"/>
              <w:suppressLineNumbers w:val="0"/>
              <w:spacing w:before="0" w:beforeAutospacing="0" w:after="0" w:afterAutospacing="0" w:line="360" w:lineRule="auto"/>
              <w:ind w:left="0" w:right="0" w:firstLine="480" w:firstLineChars="200"/>
              <w:rPr>
                <w:rFonts w:hint="eastAsia"/>
                <w:color w:val="auto"/>
                <w:kern w:val="0"/>
                <w:sz w:val="24"/>
                <w:highlight w:val="none"/>
              </w:rPr>
            </w:pPr>
            <w:r>
              <w:rPr>
                <w:rFonts w:hint="default"/>
                <w:color w:val="auto"/>
                <w:kern w:val="0"/>
                <w:sz w:val="24"/>
                <w:highlight w:val="none"/>
              </w:rPr>
              <w:t>其他要求</w:t>
            </w:r>
            <w:r>
              <w:rPr>
                <w:rFonts w:hint="eastAsia"/>
                <w:color w:val="auto"/>
                <w:kern w:val="0"/>
                <w:sz w:val="24"/>
                <w:highlight w:val="none"/>
                <w:lang w:eastAsia="zh-CN"/>
              </w:rPr>
              <w:t>：</w:t>
            </w:r>
          </w:p>
          <w:p w14:paraId="20A8C4F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color w:val="auto"/>
                <w:kern w:val="0"/>
                <w:sz w:val="24"/>
                <w:highlight w:val="none"/>
              </w:rPr>
              <w:t>由于本项目废切削液产生量较少，且废切削液与废边角料严格实现固液分离，废切削液中不含金属碎屑，故不会产生氢气，为防止废切削液贮存过程产生氢气发生爆炸火灾风险，故要求企业将切削液放置于防爆柜中。</w:t>
            </w:r>
          </w:p>
          <w:p w14:paraId="16A2734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本项目产生的危险废物严格按照《江苏省固体废物全过程环境监管工作意见》</w:t>
            </w:r>
            <w:r>
              <w:rPr>
                <w:rFonts w:hint="default" w:ascii="Times New Roman" w:hAnsi="Times New Roman" w:eastAsia="宋体" w:cs="Times New Roman"/>
                <w:color w:val="auto"/>
                <w:kern w:val="0"/>
                <w:sz w:val="24"/>
                <w:szCs w:val="24"/>
                <w:highlight w:val="none"/>
                <w:lang w:eastAsia="zh-CN"/>
              </w:rPr>
              <w:t>（苏环办〔2024〕16号）</w:t>
            </w:r>
            <w:r>
              <w:rPr>
                <w:rFonts w:hint="default" w:ascii="Times New Roman" w:hAnsi="Times New Roman" w:eastAsia="宋体" w:cs="Times New Roman"/>
                <w:color w:val="auto"/>
                <w:kern w:val="0"/>
                <w:sz w:val="24"/>
                <w:szCs w:val="24"/>
                <w:highlight w:val="none"/>
              </w:rPr>
              <w:t>要求规范管理，对周围环境产生</w:t>
            </w:r>
            <w:r>
              <w:rPr>
                <w:rFonts w:hint="default" w:ascii="Times New Roman" w:hAnsi="Times New Roman" w:eastAsia="宋体" w:cs="Times New Roman"/>
                <w:color w:val="auto"/>
                <w:kern w:val="0"/>
                <w:sz w:val="24"/>
                <w:szCs w:val="24"/>
                <w:highlight w:val="none"/>
                <w:lang w:val="en-US" w:eastAsia="zh-CN"/>
              </w:rPr>
              <w:t>的</w:t>
            </w:r>
            <w:r>
              <w:rPr>
                <w:rFonts w:hint="default" w:ascii="Times New Roman" w:hAnsi="Times New Roman" w:eastAsia="宋体" w:cs="Times New Roman"/>
                <w:color w:val="auto"/>
                <w:kern w:val="0"/>
                <w:sz w:val="24"/>
                <w:szCs w:val="24"/>
                <w:highlight w:val="none"/>
              </w:rPr>
              <w:t>影响</w:t>
            </w:r>
            <w:r>
              <w:rPr>
                <w:rFonts w:hint="default" w:ascii="Times New Roman" w:hAnsi="Times New Roman" w:eastAsia="宋体" w:cs="Times New Roman"/>
                <w:color w:val="auto"/>
                <w:kern w:val="0"/>
                <w:sz w:val="24"/>
                <w:szCs w:val="24"/>
                <w:highlight w:val="none"/>
                <w:lang w:val="en-US" w:eastAsia="zh-CN"/>
              </w:rPr>
              <w:t>较小</w:t>
            </w:r>
            <w:r>
              <w:rPr>
                <w:rFonts w:hint="default" w:ascii="Times New Roman" w:hAnsi="Times New Roman" w:eastAsia="宋体" w:cs="Times New Roman"/>
                <w:color w:val="auto"/>
                <w:kern w:val="0"/>
                <w:sz w:val="24"/>
                <w:szCs w:val="24"/>
                <w:highlight w:val="none"/>
              </w:rPr>
              <w:t>。</w:t>
            </w:r>
          </w:p>
          <w:p w14:paraId="13FA3677">
            <w:pPr>
              <w:keepNext w:val="0"/>
              <w:keepLines w:val="0"/>
              <w:pageBreakBefore w:val="0"/>
              <w:kinsoku/>
              <w:wordWrap/>
              <w:overflow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auto"/>
                <w:kern w:val="0"/>
                <w:sz w:val="24"/>
                <w:szCs w:val="24"/>
                <w:highlight w:val="none"/>
                <w:lang w:val="en-US" w:eastAsia="zh-CN"/>
              </w:rPr>
            </w:pPr>
            <w:r>
              <w:rPr>
                <w:rFonts w:hint="default" w:ascii="Times New Roman" w:hAnsi="Times New Roman" w:eastAsia="宋体" w:cs="Times New Roman"/>
                <w:b/>
                <w:color w:val="auto"/>
                <w:kern w:val="0"/>
                <w:sz w:val="24"/>
                <w:szCs w:val="24"/>
                <w:highlight w:val="none"/>
                <w:lang w:val="en-US" w:eastAsia="zh-CN"/>
              </w:rPr>
              <w:t>表4-</w:t>
            </w:r>
            <w:r>
              <w:rPr>
                <w:rFonts w:hint="eastAsia" w:ascii="Times New Roman" w:hAnsi="Times New Roman" w:eastAsia="宋体" w:cs="Times New Roman"/>
                <w:b/>
                <w:color w:val="auto"/>
                <w:kern w:val="0"/>
                <w:sz w:val="24"/>
                <w:szCs w:val="24"/>
                <w:highlight w:val="none"/>
                <w:lang w:val="en-US" w:eastAsia="zh-CN"/>
              </w:rPr>
              <w:t>2</w:t>
            </w:r>
            <w:r>
              <w:rPr>
                <w:rFonts w:hint="eastAsia" w:cs="Times New Roman"/>
                <w:b/>
                <w:color w:val="auto"/>
                <w:kern w:val="0"/>
                <w:sz w:val="24"/>
                <w:szCs w:val="24"/>
                <w:highlight w:val="none"/>
                <w:lang w:val="en-US" w:eastAsia="zh-CN"/>
              </w:rPr>
              <w:t>4</w:t>
            </w:r>
            <w:r>
              <w:rPr>
                <w:rFonts w:hint="default" w:ascii="Times New Roman" w:hAnsi="Times New Roman" w:eastAsia="宋体" w:cs="Times New Roman"/>
                <w:b/>
                <w:color w:val="auto"/>
                <w:kern w:val="0"/>
                <w:sz w:val="24"/>
                <w:szCs w:val="24"/>
                <w:highlight w:val="none"/>
                <w:lang w:val="en-US" w:eastAsia="zh-CN"/>
              </w:rPr>
              <w:t xml:space="preserve">  项目与苏环办〔2024〕16号相符性分析</w:t>
            </w:r>
          </w:p>
          <w:tbl>
            <w:tblPr>
              <w:tblStyle w:val="23"/>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9"/>
              <w:gridCol w:w="4415"/>
              <w:gridCol w:w="2400"/>
              <w:gridCol w:w="699"/>
            </w:tblGrid>
            <w:tr w14:paraId="2C490E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27" w:type="dxa"/>
                  <w:tcBorders>
                    <w:tl2br w:val="nil"/>
                    <w:tr2bl w:val="nil"/>
                  </w:tcBorders>
                  <w:noWrap w:val="0"/>
                  <w:vAlign w:val="center"/>
                </w:tcPr>
                <w:p w14:paraId="025A5BA4">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序号</w:t>
                  </w:r>
                </w:p>
              </w:tc>
              <w:tc>
                <w:tcPr>
                  <w:tcW w:w="4395" w:type="dxa"/>
                  <w:tcBorders>
                    <w:tl2br w:val="nil"/>
                    <w:tr2bl w:val="nil"/>
                  </w:tcBorders>
                  <w:noWrap w:val="0"/>
                  <w:vAlign w:val="center"/>
                </w:tcPr>
                <w:p w14:paraId="4BEC3ABE">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环境监管要求</w:t>
                  </w:r>
                </w:p>
              </w:tc>
              <w:tc>
                <w:tcPr>
                  <w:tcW w:w="2389" w:type="dxa"/>
                  <w:tcBorders>
                    <w:tl2br w:val="nil"/>
                    <w:tr2bl w:val="nil"/>
                  </w:tcBorders>
                  <w:noWrap w:val="0"/>
                  <w:vAlign w:val="center"/>
                </w:tcPr>
                <w:p w14:paraId="5D2FE23F">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项目情况</w:t>
                  </w:r>
                </w:p>
              </w:tc>
              <w:tc>
                <w:tcPr>
                  <w:tcW w:w="696" w:type="dxa"/>
                  <w:tcBorders>
                    <w:tl2br w:val="nil"/>
                    <w:tr2bl w:val="nil"/>
                  </w:tcBorders>
                  <w:noWrap w:val="0"/>
                  <w:vAlign w:val="center"/>
                </w:tcPr>
                <w:p w14:paraId="4970296E">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b/>
                      <w:bCs/>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相符性</w:t>
                  </w:r>
                </w:p>
              </w:tc>
            </w:tr>
            <w:tr w14:paraId="2ADB56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tcBorders>
                    <w:tl2br w:val="nil"/>
                    <w:tr2bl w:val="nil"/>
                  </w:tcBorders>
                  <w:noWrap w:val="0"/>
                  <w:vAlign w:val="center"/>
                </w:tcPr>
                <w:p w14:paraId="35668889">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1</w:t>
                  </w:r>
                </w:p>
              </w:tc>
              <w:tc>
                <w:tcPr>
                  <w:tcW w:w="4395" w:type="dxa"/>
                  <w:tcBorders>
                    <w:tl2br w:val="nil"/>
                    <w:tr2bl w:val="nil"/>
                  </w:tcBorders>
                  <w:noWrap w:val="0"/>
                  <w:vAlign w:val="center"/>
                </w:tcPr>
                <w:p w14:paraId="10DFE44A">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落实排污许可制度。</w:t>
                  </w:r>
                  <w:r>
                    <w:rPr>
                      <w:rFonts w:hint="default" w:ascii="Times New Roman" w:hAnsi="Times New Roman" w:eastAsia="仿宋" w:cs="Times New Roman"/>
                      <w:color w:val="auto"/>
                      <w:sz w:val="21"/>
                      <w:szCs w:val="21"/>
                      <w:highlight w:val="none"/>
                      <w:vertAlign w:val="baseline"/>
                      <w:lang w:val="en-US" w:eastAsia="zh-CN"/>
                    </w:rPr>
                    <w:t>企业要在排污许可管理系统中全面、准确申报工业固体废物产生种类，以及贮存设施和利用处置等相关情况，并对其真实性负责。实际产生、转移、贮存和利用处置情况对照项目环评发生变动的，要根据变动情况及时采取重新报批环评、纳入环境保护竣工验收等手续，并及时变更排污许可。</w:t>
                  </w:r>
                </w:p>
              </w:tc>
              <w:tc>
                <w:tcPr>
                  <w:tcW w:w="2389" w:type="dxa"/>
                  <w:tcBorders>
                    <w:tl2br w:val="nil"/>
                    <w:tr2bl w:val="nil"/>
                  </w:tcBorders>
                  <w:noWrap w:val="0"/>
                  <w:vAlign w:val="center"/>
                </w:tcPr>
                <w:p w14:paraId="3632C582">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本项目建成后按照排污许可管理系统中全面、准确申报工业固体废物产生种类，以及贮存设施和利用处置等相关情况。营运过程中如有变动，将及时采取重新报批环评、纳入环境保护竣工验收等手续，并及时变更排污许可。</w:t>
                  </w:r>
                </w:p>
              </w:tc>
              <w:tc>
                <w:tcPr>
                  <w:tcW w:w="696" w:type="dxa"/>
                  <w:tcBorders>
                    <w:tl2br w:val="nil"/>
                    <w:tr2bl w:val="nil"/>
                  </w:tcBorders>
                  <w:noWrap w:val="0"/>
                  <w:vAlign w:val="center"/>
                </w:tcPr>
                <w:p w14:paraId="18E6289C">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相符</w:t>
                  </w:r>
                </w:p>
              </w:tc>
            </w:tr>
            <w:tr w14:paraId="4F0C13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tcBorders>
                    <w:tl2br w:val="nil"/>
                    <w:tr2bl w:val="nil"/>
                  </w:tcBorders>
                  <w:noWrap w:val="0"/>
                  <w:vAlign w:val="center"/>
                </w:tcPr>
                <w:p w14:paraId="1E3259A8">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w:t>
                  </w:r>
                </w:p>
              </w:tc>
              <w:tc>
                <w:tcPr>
                  <w:tcW w:w="4395" w:type="dxa"/>
                  <w:tcBorders>
                    <w:tl2br w:val="nil"/>
                    <w:tr2bl w:val="nil"/>
                  </w:tcBorders>
                  <w:noWrap w:val="0"/>
                  <w:vAlign w:val="center"/>
                </w:tcPr>
                <w:p w14:paraId="35BBDB5F">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规范贮存管理要求。</w:t>
                  </w:r>
                  <w:r>
                    <w:rPr>
                      <w:rFonts w:hint="default" w:ascii="Times New Roman" w:hAnsi="Times New Roman" w:eastAsia="仿宋" w:cs="Times New Roman"/>
                      <w:color w:val="auto"/>
                      <w:sz w:val="21"/>
                      <w:szCs w:val="21"/>
                      <w:highlight w:val="none"/>
                      <w:vertAlign w:val="baseline"/>
                      <w:lang w:val="en-US" w:eastAsia="zh-CN"/>
                    </w:rPr>
                    <w:t>根据《危险废物贮存污染控制标准》（GB</w:t>
                  </w:r>
                  <w:r>
                    <w:rPr>
                      <w:rFonts w:hint="eastAsia" w:ascii="Times New Roman" w:hAnsi="Times New Roman" w:eastAsia="仿宋" w:cs="Times New Roman"/>
                      <w:color w:val="auto"/>
                      <w:sz w:val="21"/>
                      <w:szCs w:val="21"/>
                      <w:highlight w:val="none"/>
                      <w:vertAlign w:val="baseline"/>
                      <w:lang w:val="en-US" w:eastAsia="zh-CN"/>
                    </w:rPr>
                    <w:t xml:space="preserve"> </w:t>
                  </w:r>
                  <w:r>
                    <w:rPr>
                      <w:rFonts w:hint="default" w:ascii="Times New Roman" w:hAnsi="Times New Roman" w:eastAsia="仿宋" w:cs="Times New Roman"/>
                      <w:color w:val="auto"/>
                      <w:sz w:val="21"/>
                      <w:szCs w:val="21"/>
                      <w:highlight w:val="none"/>
                      <w:vertAlign w:val="baseline"/>
                      <w:lang w:val="en-US" w:eastAsia="zh-CN"/>
                    </w:rPr>
                    <w:t>18597—2023），企业可根据实际情况选择采用危险废物贮存设施或贮存点两类方式进行贮存，符合相应的污染控制标准；不具备建设贮存设施条件、选用贮存点方式的，除符合国家关于贮存点控制要求外，还要执行《江苏省危险废物集中收集体系建设工作方案（试行）》（苏环办〔2021〕290号）中关于贮存周期和贮存量的要求，I级、Ⅱ级、Ⅲ级危险废物贮存时间分别不得超过30天、60天、90天，最大贮存量不得超过1吨。</w:t>
                  </w:r>
                </w:p>
              </w:tc>
              <w:tc>
                <w:tcPr>
                  <w:tcW w:w="2389" w:type="dxa"/>
                  <w:tcBorders>
                    <w:tl2br w:val="nil"/>
                    <w:tr2bl w:val="nil"/>
                  </w:tcBorders>
                  <w:noWrap w:val="0"/>
                  <w:vAlign w:val="center"/>
                </w:tcPr>
                <w:p w14:paraId="675B9BD5">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本项目建设一座</w:t>
                  </w:r>
                  <w:r>
                    <w:rPr>
                      <w:rFonts w:hint="eastAsia" w:eastAsia="仿宋" w:cs="Times New Roman"/>
                      <w:color w:val="auto"/>
                      <w:sz w:val="21"/>
                      <w:szCs w:val="21"/>
                      <w:highlight w:val="none"/>
                      <w:vertAlign w:val="baseline"/>
                      <w:lang w:val="en-US" w:eastAsia="zh-CN"/>
                    </w:rPr>
                    <w:t>38</w:t>
                  </w:r>
                  <w:r>
                    <w:rPr>
                      <w:rFonts w:hint="default" w:ascii="Times New Roman" w:hAnsi="Times New Roman" w:eastAsia="仿宋" w:cs="Times New Roman"/>
                      <w:color w:val="auto"/>
                      <w:sz w:val="21"/>
                      <w:szCs w:val="21"/>
                      <w:highlight w:val="none"/>
                      <w:vertAlign w:val="baseline"/>
                      <w:lang w:val="en-US" w:eastAsia="zh-CN"/>
                    </w:rPr>
                    <w:t>m</w:t>
                  </w:r>
                  <w:r>
                    <w:rPr>
                      <w:rFonts w:hint="default" w:ascii="Times New Roman" w:hAnsi="Times New Roman" w:eastAsia="仿宋" w:cs="Times New Roman"/>
                      <w:color w:val="auto"/>
                      <w:sz w:val="21"/>
                      <w:szCs w:val="21"/>
                      <w:highlight w:val="none"/>
                      <w:vertAlign w:val="superscript"/>
                      <w:lang w:val="en-US" w:eastAsia="zh-CN"/>
                    </w:rPr>
                    <w:t>3</w:t>
                  </w:r>
                  <w:r>
                    <w:rPr>
                      <w:rFonts w:hint="default" w:ascii="Times New Roman" w:hAnsi="Times New Roman" w:eastAsia="仿宋" w:cs="Times New Roman"/>
                      <w:color w:val="auto"/>
                      <w:sz w:val="21"/>
                      <w:szCs w:val="21"/>
                      <w:highlight w:val="none"/>
                      <w:vertAlign w:val="baseline"/>
                      <w:lang w:val="en-US" w:eastAsia="zh-CN"/>
                    </w:rPr>
                    <w:t>危废暂存间，用于贮存营运期内产生的危险废物，满足《危险废物贮存污染控制标准》（GB</w:t>
                  </w:r>
                  <w:r>
                    <w:rPr>
                      <w:rFonts w:hint="eastAsia" w:ascii="Times New Roman" w:hAnsi="Times New Roman" w:eastAsia="仿宋" w:cs="Times New Roman"/>
                      <w:color w:val="auto"/>
                      <w:sz w:val="21"/>
                      <w:szCs w:val="21"/>
                      <w:highlight w:val="none"/>
                      <w:vertAlign w:val="baseline"/>
                      <w:lang w:val="en-US" w:eastAsia="zh-CN"/>
                    </w:rPr>
                    <w:t xml:space="preserve"> </w:t>
                  </w:r>
                  <w:r>
                    <w:rPr>
                      <w:rFonts w:hint="default" w:ascii="Times New Roman" w:hAnsi="Times New Roman" w:eastAsia="仿宋" w:cs="Times New Roman"/>
                      <w:color w:val="auto"/>
                      <w:sz w:val="21"/>
                      <w:szCs w:val="21"/>
                      <w:highlight w:val="none"/>
                      <w:vertAlign w:val="baseline"/>
                      <w:lang w:val="en-US" w:eastAsia="zh-CN"/>
                    </w:rPr>
                    <w:t>18597—2023）标准要求。</w:t>
                  </w:r>
                </w:p>
              </w:tc>
              <w:tc>
                <w:tcPr>
                  <w:tcW w:w="696" w:type="dxa"/>
                  <w:tcBorders>
                    <w:tl2br w:val="nil"/>
                    <w:tr2bl w:val="nil"/>
                  </w:tcBorders>
                  <w:noWrap w:val="0"/>
                  <w:vAlign w:val="center"/>
                </w:tcPr>
                <w:p w14:paraId="51445F67">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相符</w:t>
                  </w:r>
                </w:p>
              </w:tc>
            </w:tr>
            <w:tr w14:paraId="1CF22D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tcBorders>
                    <w:tl2br w:val="nil"/>
                    <w:tr2bl w:val="nil"/>
                  </w:tcBorders>
                  <w:noWrap w:val="0"/>
                  <w:vAlign w:val="center"/>
                </w:tcPr>
                <w:p w14:paraId="33C22803">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w:t>
                  </w:r>
                </w:p>
              </w:tc>
              <w:tc>
                <w:tcPr>
                  <w:tcW w:w="4395" w:type="dxa"/>
                  <w:tcBorders>
                    <w:tl2br w:val="nil"/>
                    <w:tr2bl w:val="nil"/>
                  </w:tcBorders>
                  <w:noWrap w:val="0"/>
                  <w:vAlign w:val="center"/>
                </w:tcPr>
                <w:p w14:paraId="3E53234C">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落实信息公开制度。</w:t>
                  </w:r>
                  <w:r>
                    <w:rPr>
                      <w:rFonts w:hint="default" w:ascii="Times New Roman" w:hAnsi="Times New Roman" w:eastAsia="仿宋" w:cs="Times New Roman"/>
                      <w:color w:val="auto"/>
                      <w:sz w:val="21"/>
                      <w:szCs w:val="21"/>
                      <w:highlight w:val="none"/>
                      <w:vertAlign w:val="baseline"/>
                      <w:lang w:val="en-US" w:eastAsia="zh-CN"/>
                    </w:rPr>
                    <w:t>危险废物环境重点监管单位要在出入口、设施内部、危险废物运输车辆通道等关键位置设置视频监控并与中控室联网，通过设立公开栏、标志牌等方式，主动公开危险废物产生和利用处置等有关信息。集中焚烧处置单位及有自建危废焚烧处置设施的单位要依法及时公开二燃室温度等工况运行指标以及污染物排放指标、浓度等有关信息，并联网至属地生态环境部门。危险废物经营单位应同步公开许可证、许可条件等全文信息。</w:t>
                  </w:r>
                </w:p>
              </w:tc>
              <w:tc>
                <w:tcPr>
                  <w:tcW w:w="2389" w:type="dxa"/>
                  <w:tcBorders>
                    <w:tl2br w:val="nil"/>
                    <w:tr2bl w:val="nil"/>
                  </w:tcBorders>
                  <w:noWrap w:val="0"/>
                  <w:vAlign w:val="center"/>
                </w:tcPr>
                <w:p w14:paraId="5466DC6D">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本项目建成后在出入口、设施内部、危险废物运输车辆通道等关键位置设置视频监控并与中控室联网，通过设立公开栏、标志牌等方式，主动公开项目危险废物产生和利用处置等有关信息。</w:t>
                  </w:r>
                </w:p>
              </w:tc>
              <w:tc>
                <w:tcPr>
                  <w:tcW w:w="696" w:type="dxa"/>
                  <w:tcBorders>
                    <w:tl2br w:val="nil"/>
                    <w:tr2bl w:val="nil"/>
                  </w:tcBorders>
                  <w:noWrap w:val="0"/>
                  <w:vAlign w:val="center"/>
                </w:tcPr>
                <w:p w14:paraId="21EBDBD9">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相符</w:t>
                  </w:r>
                </w:p>
              </w:tc>
            </w:tr>
            <w:tr w14:paraId="2130E1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tcBorders>
                    <w:tl2br w:val="nil"/>
                    <w:tr2bl w:val="nil"/>
                  </w:tcBorders>
                  <w:noWrap w:val="0"/>
                  <w:vAlign w:val="center"/>
                </w:tcPr>
                <w:p w14:paraId="7048737D">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4</w:t>
                  </w:r>
                </w:p>
              </w:tc>
              <w:tc>
                <w:tcPr>
                  <w:tcW w:w="4395" w:type="dxa"/>
                  <w:tcBorders>
                    <w:tl2br w:val="nil"/>
                    <w:tr2bl w:val="nil"/>
                  </w:tcBorders>
                  <w:noWrap w:val="0"/>
                  <w:vAlign w:val="center"/>
                </w:tcPr>
                <w:p w14:paraId="74BD363B">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b/>
                      <w:bCs/>
                      <w:color w:val="auto"/>
                      <w:sz w:val="21"/>
                      <w:szCs w:val="21"/>
                      <w:highlight w:val="none"/>
                      <w:vertAlign w:val="baseline"/>
                      <w:lang w:val="en-US" w:eastAsia="zh-CN"/>
                    </w:rPr>
                    <w:t>规范一般工业固废管理。</w:t>
                  </w:r>
                  <w:r>
                    <w:rPr>
                      <w:rFonts w:hint="default" w:ascii="Times New Roman" w:hAnsi="Times New Roman" w:eastAsia="仿宋" w:cs="Times New Roman"/>
                      <w:color w:val="auto"/>
                      <w:sz w:val="21"/>
                      <w:szCs w:val="21"/>
                      <w:highlight w:val="none"/>
                      <w:vertAlign w:val="baseline"/>
                      <w:lang w:val="en-US" w:eastAsia="zh-CN"/>
                    </w:rPr>
                    <w:t>企业需按照《一般工业固体废物管理台账制定指南（试行）》（生态环境部2021年第82号公告）要求，建立一般工业固废台账，污泥、矿渣等同时还需在固废管理信息系统申报，电子台账已有内容，不再另外制作纸质台账。各地要对辖区内一般工业固废利用处置需求和能力进行摸排，建立收运处体系。一般工业固废用于矿山采坑回填和生态恢复的，参照《一般工业固体废物用于矿山采坑回填和生态恢复技术规范》（DB15/T 2763—2022）执行。</w:t>
                  </w:r>
                </w:p>
              </w:tc>
              <w:tc>
                <w:tcPr>
                  <w:tcW w:w="2389" w:type="dxa"/>
                  <w:tcBorders>
                    <w:tl2br w:val="nil"/>
                    <w:tr2bl w:val="nil"/>
                  </w:tcBorders>
                  <w:noWrap w:val="0"/>
                  <w:vAlign w:val="center"/>
                </w:tcPr>
                <w:p w14:paraId="2A71A6F6">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本项目产生的一般固废将按照《一般工业固体废物管理台账制定指南（试行）》（生态环境部2021年第82号公告）指南要求，建立一般工业固废台账。</w:t>
                  </w:r>
                </w:p>
              </w:tc>
              <w:tc>
                <w:tcPr>
                  <w:tcW w:w="696" w:type="dxa"/>
                  <w:tcBorders>
                    <w:tl2br w:val="nil"/>
                    <w:tr2bl w:val="nil"/>
                  </w:tcBorders>
                  <w:noWrap w:val="0"/>
                  <w:vAlign w:val="center"/>
                </w:tcPr>
                <w:p w14:paraId="69FC1C2D">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auto"/>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相符</w:t>
                  </w:r>
                </w:p>
              </w:tc>
            </w:tr>
          </w:tbl>
          <w:p w14:paraId="1FB755E1">
            <w:pPr>
              <w:keepNext w:val="0"/>
              <w:keepLines w:val="0"/>
              <w:pageBreakBefore w:val="0"/>
              <w:suppressLineNumbers w:val="0"/>
              <w:kinsoku/>
              <w:wordWrap/>
              <w:overflowPunct/>
              <w:bidi w:val="0"/>
              <w:spacing w:before="0" w:beforeAutospacing="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本项目产生的危险废物严格按照《关于印发</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加强工业固体废物全过程环境监管的实施意见</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的通知》（苏环办〔2024〕71号）要求规范管理，对周围环境产生</w:t>
            </w:r>
            <w:r>
              <w:rPr>
                <w:rFonts w:hint="default" w:ascii="Times New Roman" w:hAnsi="Times New Roman" w:eastAsia="宋体" w:cs="Times New Roman"/>
                <w:color w:val="auto"/>
                <w:kern w:val="0"/>
                <w:sz w:val="24"/>
                <w:szCs w:val="24"/>
                <w:highlight w:val="none"/>
                <w:lang w:val="en-US" w:eastAsia="zh-CN"/>
              </w:rPr>
              <w:t>的</w:t>
            </w:r>
            <w:r>
              <w:rPr>
                <w:rFonts w:hint="default" w:ascii="Times New Roman" w:hAnsi="Times New Roman" w:eastAsia="宋体" w:cs="Times New Roman"/>
                <w:color w:val="auto"/>
                <w:kern w:val="0"/>
                <w:sz w:val="24"/>
                <w:szCs w:val="24"/>
                <w:highlight w:val="none"/>
              </w:rPr>
              <w:t>影响</w:t>
            </w:r>
            <w:r>
              <w:rPr>
                <w:rFonts w:hint="default" w:ascii="Times New Roman" w:hAnsi="Times New Roman" w:eastAsia="宋体" w:cs="Times New Roman"/>
                <w:color w:val="auto"/>
                <w:kern w:val="0"/>
                <w:sz w:val="24"/>
                <w:szCs w:val="24"/>
                <w:highlight w:val="none"/>
                <w:lang w:val="en-US" w:eastAsia="zh-CN"/>
              </w:rPr>
              <w:t>较小</w:t>
            </w:r>
            <w:r>
              <w:rPr>
                <w:rFonts w:hint="default" w:ascii="Times New Roman" w:hAnsi="Times New Roman" w:eastAsia="宋体" w:cs="Times New Roman"/>
                <w:color w:val="auto"/>
                <w:kern w:val="0"/>
                <w:sz w:val="24"/>
                <w:szCs w:val="24"/>
                <w:highlight w:val="none"/>
              </w:rPr>
              <w:t>。</w:t>
            </w:r>
          </w:p>
          <w:p w14:paraId="47B6F1F7">
            <w:pPr>
              <w:keepNext w:val="0"/>
              <w:keepLines w:val="0"/>
              <w:pageBreakBefore w:val="0"/>
              <w:kinsoku/>
              <w:wordWrap/>
              <w:overflowPunct/>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color w:val="auto"/>
                <w:kern w:val="0"/>
                <w:sz w:val="24"/>
                <w:szCs w:val="24"/>
                <w:highlight w:val="none"/>
                <w:lang w:val="en-US" w:eastAsia="zh-CN"/>
              </w:rPr>
            </w:pPr>
            <w:r>
              <w:rPr>
                <w:rFonts w:hint="eastAsia" w:ascii="Times New Roman" w:hAnsi="Times New Roman" w:eastAsia="宋体" w:cs="Times New Roman"/>
                <w:b/>
                <w:color w:val="auto"/>
                <w:kern w:val="0"/>
                <w:sz w:val="24"/>
                <w:szCs w:val="24"/>
                <w:highlight w:val="none"/>
                <w:lang w:val="en-US" w:eastAsia="zh-CN"/>
              </w:rPr>
              <w:t>表4-2</w:t>
            </w:r>
            <w:r>
              <w:rPr>
                <w:rFonts w:hint="eastAsia" w:cs="Times New Roman"/>
                <w:b/>
                <w:color w:val="auto"/>
                <w:kern w:val="0"/>
                <w:sz w:val="24"/>
                <w:szCs w:val="24"/>
                <w:highlight w:val="none"/>
                <w:lang w:val="en-US" w:eastAsia="zh-CN"/>
              </w:rPr>
              <w:t>5</w:t>
            </w:r>
            <w:r>
              <w:rPr>
                <w:rFonts w:hint="eastAsia" w:ascii="Times New Roman" w:hAnsi="Times New Roman" w:eastAsia="宋体" w:cs="Times New Roman"/>
                <w:b/>
                <w:color w:val="auto"/>
                <w:kern w:val="0"/>
                <w:sz w:val="24"/>
                <w:szCs w:val="24"/>
                <w:highlight w:val="none"/>
                <w:lang w:val="en-US" w:eastAsia="zh-CN"/>
              </w:rPr>
              <w:t xml:space="preserve">  与（苏环办〔2024〕71号）文相符性分析</w:t>
            </w:r>
          </w:p>
          <w:tbl>
            <w:tblPr>
              <w:tblStyle w:val="23"/>
              <w:tblW w:w="4999"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2"/>
              <w:gridCol w:w="4443"/>
              <w:gridCol w:w="2159"/>
              <w:gridCol w:w="737"/>
            </w:tblGrid>
            <w:tr w14:paraId="6A7C65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79" w:type="pct"/>
                  <w:tcBorders>
                    <w:tl2br w:val="nil"/>
                    <w:tr2bl w:val="nil"/>
                  </w:tcBorders>
                  <w:vAlign w:val="center"/>
                </w:tcPr>
                <w:p w14:paraId="7F65EC42">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b/>
                      <w:bCs/>
                      <w:color w:val="auto"/>
                      <w:kern w:val="0"/>
                      <w:sz w:val="21"/>
                      <w:szCs w:val="21"/>
                      <w:highlight w:val="none"/>
                      <w:vertAlign w:val="baseline"/>
                      <w:lang w:val="en-US" w:eastAsia="zh-CN"/>
                    </w:rPr>
                  </w:pPr>
                  <w:r>
                    <w:rPr>
                      <w:rFonts w:hint="default" w:ascii="Times New Roman" w:hAnsi="Times New Roman" w:eastAsia="仿宋" w:cs="Times New Roman"/>
                      <w:b/>
                      <w:bCs/>
                      <w:color w:val="auto"/>
                      <w:kern w:val="0"/>
                      <w:sz w:val="21"/>
                      <w:szCs w:val="21"/>
                      <w:highlight w:val="none"/>
                      <w:vertAlign w:val="baseline"/>
                      <w:lang w:val="en-US" w:eastAsia="zh-CN"/>
                    </w:rPr>
                    <w:t>序号</w:t>
                  </w:r>
                </w:p>
              </w:tc>
              <w:tc>
                <w:tcPr>
                  <w:tcW w:w="2797" w:type="pct"/>
                  <w:tcBorders>
                    <w:tl2br w:val="nil"/>
                    <w:tr2bl w:val="nil"/>
                  </w:tcBorders>
                  <w:vAlign w:val="center"/>
                </w:tcPr>
                <w:p w14:paraId="31F6FF26">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b/>
                      <w:bCs/>
                      <w:color w:val="auto"/>
                      <w:kern w:val="0"/>
                      <w:sz w:val="21"/>
                      <w:szCs w:val="21"/>
                      <w:highlight w:val="none"/>
                      <w:vertAlign w:val="baseline"/>
                      <w:lang w:val="en-US" w:eastAsia="zh-CN"/>
                    </w:rPr>
                  </w:pPr>
                  <w:r>
                    <w:rPr>
                      <w:rFonts w:hint="default" w:ascii="Times New Roman" w:hAnsi="Times New Roman" w:eastAsia="仿宋" w:cs="Times New Roman"/>
                      <w:b/>
                      <w:bCs/>
                      <w:color w:val="auto"/>
                      <w:kern w:val="0"/>
                      <w:sz w:val="21"/>
                      <w:szCs w:val="21"/>
                      <w:highlight w:val="none"/>
                      <w:vertAlign w:val="baseline"/>
                      <w:lang w:val="en-US" w:eastAsia="zh-CN"/>
                    </w:rPr>
                    <w:t>文件规定要求</w:t>
                  </w:r>
                </w:p>
              </w:tc>
              <w:tc>
                <w:tcPr>
                  <w:tcW w:w="1359" w:type="pct"/>
                  <w:tcBorders>
                    <w:tl2br w:val="nil"/>
                    <w:tr2bl w:val="nil"/>
                  </w:tcBorders>
                  <w:vAlign w:val="center"/>
                </w:tcPr>
                <w:p w14:paraId="7CFF64DC">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b/>
                      <w:bCs/>
                      <w:color w:val="auto"/>
                      <w:kern w:val="0"/>
                      <w:sz w:val="21"/>
                      <w:szCs w:val="21"/>
                      <w:highlight w:val="none"/>
                      <w:vertAlign w:val="baseline"/>
                      <w:lang w:val="en-US" w:eastAsia="zh-CN"/>
                    </w:rPr>
                  </w:pPr>
                  <w:r>
                    <w:rPr>
                      <w:rFonts w:hint="default" w:ascii="Times New Roman" w:hAnsi="Times New Roman" w:eastAsia="仿宋" w:cs="Times New Roman"/>
                      <w:b/>
                      <w:bCs/>
                      <w:color w:val="auto"/>
                      <w:kern w:val="0"/>
                      <w:sz w:val="21"/>
                      <w:szCs w:val="21"/>
                      <w:highlight w:val="none"/>
                      <w:vertAlign w:val="baseline"/>
                      <w:lang w:val="en-US" w:eastAsia="zh-CN"/>
                    </w:rPr>
                    <w:t>本项目情况</w:t>
                  </w:r>
                </w:p>
              </w:tc>
              <w:tc>
                <w:tcPr>
                  <w:tcW w:w="464" w:type="pct"/>
                  <w:tcBorders>
                    <w:tl2br w:val="nil"/>
                    <w:tr2bl w:val="nil"/>
                  </w:tcBorders>
                  <w:vAlign w:val="center"/>
                </w:tcPr>
                <w:p w14:paraId="08984E82">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b/>
                      <w:bCs/>
                      <w:color w:val="auto"/>
                      <w:kern w:val="0"/>
                      <w:sz w:val="21"/>
                      <w:szCs w:val="21"/>
                      <w:highlight w:val="none"/>
                      <w:vertAlign w:val="baseline"/>
                      <w:lang w:val="en-US" w:eastAsia="zh-CN"/>
                    </w:rPr>
                  </w:pPr>
                  <w:r>
                    <w:rPr>
                      <w:rFonts w:hint="default" w:ascii="Times New Roman" w:hAnsi="Times New Roman" w:eastAsia="仿宋" w:cs="Times New Roman"/>
                      <w:b/>
                      <w:bCs/>
                      <w:color w:val="auto"/>
                      <w:kern w:val="0"/>
                      <w:sz w:val="21"/>
                      <w:szCs w:val="21"/>
                      <w:highlight w:val="none"/>
                      <w:vertAlign w:val="baseline"/>
                      <w:lang w:val="en-US" w:eastAsia="zh-CN"/>
                    </w:rPr>
                    <w:t>相符性</w:t>
                  </w:r>
                </w:p>
              </w:tc>
            </w:tr>
            <w:tr w14:paraId="29189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79" w:type="pct"/>
                  <w:tcBorders>
                    <w:tl2br w:val="nil"/>
                    <w:tr2bl w:val="nil"/>
                  </w:tcBorders>
                  <w:vAlign w:val="center"/>
                </w:tcPr>
                <w:p w14:paraId="560A8650">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lang w:val="en-US" w:eastAsia="zh-CN"/>
                    </w:rPr>
                  </w:pPr>
                  <w:r>
                    <w:rPr>
                      <w:rFonts w:hint="default" w:ascii="Times New Roman" w:hAnsi="Times New Roman" w:eastAsia="仿宋" w:cs="Times New Roman"/>
                      <w:color w:val="auto"/>
                      <w:kern w:val="0"/>
                      <w:sz w:val="21"/>
                      <w:szCs w:val="21"/>
                      <w:highlight w:val="none"/>
                      <w:vertAlign w:val="baseline"/>
                      <w:lang w:val="en-US" w:eastAsia="zh-CN"/>
                    </w:rPr>
                    <w:t>1</w:t>
                  </w:r>
                </w:p>
              </w:tc>
              <w:tc>
                <w:tcPr>
                  <w:tcW w:w="2797" w:type="pct"/>
                  <w:tcBorders>
                    <w:tl2br w:val="nil"/>
                    <w:tr2bl w:val="nil"/>
                  </w:tcBorders>
                  <w:vAlign w:val="center"/>
                </w:tcPr>
                <w:p w14:paraId="2105AF22">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lang w:eastAsia="zh-CN"/>
                    </w:rPr>
                  </w:pPr>
                  <w:r>
                    <w:rPr>
                      <w:rFonts w:hint="default" w:ascii="Times New Roman" w:hAnsi="Times New Roman" w:eastAsia="仿宋" w:cs="Times New Roman"/>
                      <w:color w:val="auto"/>
                      <w:kern w:val="0"/>
                      <w:sz w:val="21"/>
                      <w:szCs w:val="21"/>
                      <w:highlight w:val="none"/>
                    </w:rPr>
                    <w:t>建设项目环评要将产生固体废物种类、数量、来源和属性，论述贮存、转移和利用处置方式合规性、合理性纳入评价范围，提出切实可行的污染防治对策措施。所有产物要按照以下五类属性给予明确并规范表述：目标产物（产品、副产品）、鉴别属于产品（符合国家、地方或行业标准）、可定向用于特定用途按产品管理（如符合团体标准）、一般固体废物和危险废物。不得将不符合《固体废物鉴别标准通则》（GB</w:t>
                  </w:r>
                  <w:r>
                    <w:rPr>
                      <w:rFonts w:hint="default" w:ascii="Times New Roman" w:hAnsi="Times New Roman" w:eastAsia="仿宋" w:cs="Times New Roman"/>
                      <w:color w:val="auto"/>
                      <w:kern w:val="0"/>
                      <w:sz w:val="21"/>
                      <w:szCs w:val="21"/>
                      <w:highlight w:val="none"/>
                      <w:lang w:val="en-US" w:eastAsia="zh-CN"/>
                    </w:rPr>
                    <w:t xml:space="preserve"> </w:t>
                  </w:r>
                  <w:r>
                    <w:rPr>
                      <w:rFonts w:hint="default" w:ascii="Times New Roman" w:hAnsi="Times New Roman" w:eastAsia="仿宋" w:cs="Times New Roman"/>
                      <w:color w:val="auto"/>
                      <w:kern w:val="0"/>
                      <w:sz w:val="21"/>
                      <w:szCs w:val="21"/>
                      <w:highlight w:val="none"/>
                    </w:rPr>
                    <w:t>34330-2017）和《固体废物再生利用污染防治技术导则》（HJ</w:t>
                  </w:r>
                  <w:r>
                    <w:rPr>
                      <w:rFonts w:hint="default" w:ascii="Times New Roman" w:hAnsi="Times New Roman" w:eastAsia="仿宋" w:cs="Times New Roman"/>
                      <w:color w:val="auto"/>
                      <w:kern w:val="0"/>
                      <w:sz w:val="21"/>
                      <w:szCs w:val="21"/>
                      <w:highlight w:val="none"/>
                      <w:lang w:val="en-US" w:eastAsia="zh-CN"/>
                    </w:rPr>
                    <w:t xml:space="preserve"> </w:t>
                  </w:r>
                  <w:r>
                    <w:rPr>
                      <w:rFonts w:hint="default" w:ascii="Times New Roman" w:hAnsi="Times New Roman" w:eastAsia="仿宋" w:cs="Times New Roman"/>
                      <w:color w:val="auto"/>
                      <w:kern w:val="0"/>
                      <w:sz w:val="21"/>
                      <w:szCs w:val="21"/>
                      <w:highlight w:val="none"/>
                    </w:rPr>
                    <w:t>1091-2020）等标准的产物认定</w:t>
                  </w:r>
                  <w:r>
                    <w:rPr>
                      <w:rFonts w:hint="eastAsia" w:ascii="仿宋" w:hAnsi="仿宋" w:eastAsia="仿宋" w:cs="仿宋"/>
                      <w:color w:val="auto"/>
                      <w:kern w:val="0"/>
                      <w:sz w:val="21"/>
                      <w:szCs w:val="21"/>
                      <w:highlight w:val="none"/>
                    </w:rPr>
                    <w:t>为</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再生产品</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，不得出现</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中间产物</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再生产物</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等不规范表述，严禁以</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副产</w:t>
                  </w:r>
                  <w:r>
                    <w:rPr>
                      <w:rFonts w:hint="eastAsia" w:ascii="仿宋" w:hAnsi="仿宋" w:eastAsia="仿宋" w:cs="仿宋"/>
                      <w:color w:val="auto"/>
                      <w:sz w:val="21"/>
                      <w:szCs w:val="21"/>
                      <w:highlight w:val="none"/>
                    </w:rPr>
                    <w:t>品</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名</w:t>
                  </w:r>
                  <w:r>
                    <w:rPr>
                      <w:rFonts w:hint="default" w:ascii="Times New Roman" w:hAnsi="Times New Roman" w:eastAsia="仿宋" w:cs="Times New Roman"/>
                      <w:color w:val="auto"/>
                      <w:sz w:val="21"/>
                      <w:szCs w:val="21"/>
                      <w:highlight w:val="none"/>
                    </w:rPr>
                    <w:t>义逃避监管。不能排除危险特性的固体废物，须在环评文件中明确鉴别要求，鉴别前按危险废物管理，鉴别后根据结论按一般固废或危险废物管理。落实省厅危险废物经营单位项目环评审批要点与危险废物经营许可审查要求衔接的相关要求</w:t>
                  </w:r>
                  <w:r>
                    <w:rPr>
                      <w:rFonts w:hint="default" w:ascii="Times New Roman" w:hAnsi="Times New Roman" w:eastAsia="仿宋" w:cs="Times New Roman"/>
                      <w:color w:val="auto"/>
                      <w:sz w:val="21"/>
                      <w:szCs w:val="21"/>
                      <w:highlight w:val="none"/>
                      <w:lang w:eastAsia="zh-CN"/>
                    </w:rPr>
                    <w:t>。</w:t>
                  </w:r>
                </w:p>
              </w:tc>
              <w:tc>
                <w:tcPr>
                  <w:tcW w:w="1359" w:type="pct"/>
                  <w:tcBorders>
                    <w:tl2br w:val="nil"/>
                    <w:tr2bl w:val="nil"/>
                  </w:tcBorders>
                  <w:vAlign w:val="center"/>
                </w:tcPr>
                <w:p w14:paraId="1A35D4D6">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lang w:eastAsia="zh-CN"/>
                    </w:rPr>
                  </w:pPr>
                  <w:r>
                    <w:rPr>
                      <w:rFonts w:hint="default" w:ascii="Times New Roman" w:hAnsi="Times New Roman" w:eastAsia="仿宋" w:cs="Times New Roman"/>
                      <w:color w:val="auto"/>
                      <w:sz w:val="21"/>
                      <w:szCs w:val="21"/>
                      <w:highlight w:val="none"/>
                    </w:rPr>
                    <w:t>本次项目对固体废物的产生种类、数量、来源和属性进行了详细叙述。且对贮存、转移和利用处置方式合规性、合理性进行了评价，提出了切实可行的污染防治对策</w:t>
                  </w:r>
                  <w:r>
                    <w:rPr>
                      <w:rFonts w:hint="default" w:ascii="Times New Roman" w:hAnsi="Times New Roman" w:eastAsia="仿宋" w:cs="Times New Roman"/>
                      <w:color w:val="auto"/>
                      <w:sz w:val="21"/>
                      <w:szCs w:val="21"/>
                      <w:highlight w:val="none"/>
                      <w:lang w:eastAsia="zh-CN"/>
                    </w:rPr>
                    <w:t>。</w:t>
                  </w:r>
                </w:p>
              </w:tc>
              <w:tc>
                <w:tcPr>
                  <w:tcW w:w="464" w:type="pct"/>
                  <w:tcBorders>
                    <w:tl2br w:val="nil"/>
                    <w:tr2bl w:val="nil"/>
                  </w:tcBorders>
                  <w:vAlign w:val="center"/>
                </w:tcPr>
                <w:p w14:paraId="6EDC776F">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kern w:val="0"/>
                      <w:sz w:val="21"/>
                      <w:szCs w:val="21"/>
                      <w:highlight w:val="none"/>
                      <w:vertAlign w:val="baseline"/>
                      <w:lang w:val="en-US" w:eastAsia="zh-CN"/>
                    </w:rPr>
                    <w:t>相符</w:t>
                  </w:r>
                </w:p>
              </w:tc>
            </w:tr>
            <w:tr w14:paraId="508CE1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79" w:type="pct"/>
                  <w:tcBorders>
                    <w:tl2br w:val="nil"/>
                    <w:tr2bl w:val="nil"/>
                  </w:tcBorders>
                  <w:vAlign w:val="center"/>
                </w:tcPr>
                <w:p w14:paraId="0E6CF8EC">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lang w:val="en-US" w:eastAsia="zh-CN"/>
                    </w:rPr>
                  </w:pPr>
                  <w:r>
                    <w:rPr>
                      <w:rFonts w:hint="default" w:ascii="Times New Roman" w:hAnsi="Times New Roman" w:eastAsia="仿宋" w:cs="Times New Roman"/>
                      <w:color w:val="auto"/>
                      <w:kern w:val="0"/>
                      <w:sz w:val="21"/>
                      <w:szCs w:val="21"/>
                      <w:highlight w:val="none"/>
                      <w:vertAlign w:val="baseline"/>
                      <w:lang w:val="en-US" w:eastAsia="zh-CN"/>
                    </w:rPr>
                    <w:t>2</w:t>
                  </w:r>
                </w:p>
              </w:tc>
              <w:tc>
                <w:tcPr>
                  <w:tcW w:w="2797" w:type="pct"/>
                  <w:tcBorders>
                    <w:tl2br w:val="nil"/>
                    <w:tr2bl w:val="nil"/>
                  </w:tcBorders>
                  <w:vAlign w:val="center"/>
                </w:tcPr>
                <w:p w14:paraId="61299F8B">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sz w:val="21"/>
                      <w:szCs w:val="21"/>
                      <w:highlight w:val="none"/>
                    </w:rPr>
                    <w:t>企业要在排污许可管理系统中全面、准确申报工业固体废物产生种类，以及贮存设施和利用处置等相关情况，并对其真实性负责。实际产生、转移、贮存和利用处置情况对照项目环评发生变动的，要根据变动情况及时采取重新报批环评、纳入环境保护竣工验收等手续，并依法及时变更排污许可。</w:t>
                  </w:r>
                </w:p>
              </w:tc>
              <w:tc>
                <w:tcPr>
                  <w:tcW w:w="1359" w:type="pct"/>
                  <w:tcBorders>
                    <w:tl2br w:val="nil"/>
                    <w:tr2bl w:val="nil"/>
                  </w:tcBorders>
                  <w:vAlign w:val="center"/>
                </w:tcPr>
                <w:p w14:paraId="2B2E6E22">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sz w:val="21"/>
                      <w:szCs w:val="21"/>
                      <w:highlight w:val="none"/>
                    </w:rPr>
                    <w:t>本项目建成后，企业将会在排污许可管理系统中全面、准确申报工业固体废物产生种类，以及贮存设施和利用处置等相关情况，并对其真实性负责。严格按照环评中的危废贮存、处置方式来进行。</w:t>
                  </w:r>
                </w:p>
              </w:tc>
              <w:tc>
                <w:tcPr>
                  <w:tcW w:w="464" w:type="pct"/>
                  <w:tcBorders>
                    <w:tl2br w:val="nil"/>
                    <w:tr2bl w:val="nil"/>
                  </w:tcBorders>
                  <w:vAlign w:val="center"/>
                </w:tcPr>
                <w:p w14:paraId="471B961A">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kern w:val="0"/>
                      <w:sz w:val="21"/>
                      <w:szCs w:val="21"/>
                      <w:highlight w:val="none"/>
                      <w:vertAlign w:val="baseline"/>
                      <w:lang w:val="en-US" w:eastAsia="zh-CN"/>
                    </w:rPr>
                    <w:t>相符</w:t>
                  </w:r>
                </w:p>
              </w:tc>
            </w:tr>
            <w:tr w14:paraId="51FD64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79" w:type="pct"/>
                  <w:tcBorders>
                    <w:tl2br w:val="nil"/>
                    <w:tr2bl w:val="nil"/>
                  </w:tcBorders>
                  <w:vAlign w:val="center"/>
                </w:tcPr>
                <w:p w14:paraId="1AC54734">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lang w:val="en-US" w:eastAsia="zh-CN"/>
                    </w:rPr>
                  </w:pPr>
                  <w:r>
                    <w:rPr>
                      <w:rFonts w:hint="default" w:ascii="Times New Roman" w:hAnsi="Times New Roman" w:eastAsia="仿宋" w:cs="Times New Roman"/>
                      <w:color w:val="auto"/>
                      <w:kern w:val="0"/>
                      <w:sz w:val="21"/>
                      <w:szCs w:val="21"/>
                      <w:highlight w:val="none"/>
                      <w:vertAlign w:val="baseline"/>
                      <w:lang w:val="en-US" w:eastAsia="zh-CN"/>
                    </w:rPr>
                    <w:t>3</w:t>
                  </w:r>
                </w:p>
              </w:tc>
              <w:tc>
                <w:tcPr>
                  <w:tcW w:w="2797" w:type="pct"/>
                  <w:tcBorders>
                    <w:tl2br w:val="nil"/>
                    <w:tr2bl w:val="nil"/>
                  </w:tcBorders>
                  <w:vAlign w:val="center"/>
                </w:tcPr>
                <w:p w14:paraId="4826EF48">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sz w:val="21"/>
                      <w:szCs w:val="21"/>
                      <w:highlight w:val="none"/>
                    </w:rPr>
                    <w:t>根据《危险废物贮存污染控制标准》（GB 18597—2023），企业可根据实际情况选择采用危险废物贮存设施或贮存点两类方式进行贮存，符合相应的污染控制标准；不具备建设贮存设施条件、选用贮存点方式的，除符合国家关于贮存点控制要求外，还要执行《江苏省危险废物集中收集体系建设工作方案（试行）》（苏环办〔2021〕290号）中关于贮存周期和贮存量的要求，I级、Ⅱ级、Ⅲ级危险废物贮存时间分别不得超过30天、60天、90天，最大贮存量不得超过1吨。</w:t>
                  </w:r>
                </w:p>
              </w:tc>
              <w:tc>
                <w:tcPr>
                  <w:tcW w:w="1359" w:type="pct"/>
                  <w:tcBorders>
                    <w:tl2br w:val="nil"/>
                    <w:tr2bl w:val="nil"/>
                  </w:tcBorders>
                  <w:vAlign w:val="center"/>
                </w:tcPr>
                <w:p w14:paraId="563BDD9B">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lang w:val="en-US" w:eastAsia="zh-CN"/>
                    </w:rPr>
                  </w:pPr>
                  <w:r>
                    <w:rPr>
                      <w:rFonts w:hint="default" w:ascii="Times New Roman" w:hAnsi="Times New Roman" w:eastAsia="仿宋" w:cs="Times New Roman"/>
                      <w:color w:val="auto"/>
                      <w:sz w:val="21"/>
                      <w:szCs w:val="21"/>
                      <w:highlight w:val="none"/>
                    </w:rPr>
                    <w:t>本项目</w:t>
                  </w:r>
                  <w:r>
                    <w:rPr>
                      <w:rFonts w:hint="default" w:ascii="Times New Roman" w:hAnsi="Times New Roman" w:eastAsia="仿宋" w:cs="Times New Roman"/>
                      <w:color w:val="auto"/>
                      <w:sz w:val="21"/>
                      <w:szCs w:val="21"/>
                      <w:highlight w:val="none"/>
                      <w:lang w:val="en-US" w:eastAsia="zh-CN"/>
                    </w:rPr>
                    <w:t>危险废物</w:t>
                  </w:r>
                  <w:r>
                    <w:rPr>
                      <w:rFonts w:hint="default" w:ascii="Times New Roman" w:hAnsi="Times New Roman" w:eastAsia="仿宋" w:cs="Times New Roman"/>
                      <w:color w:val="auto"/>
                      <w:sz w:val="21"/>
                      <w:szCs w:val="21"/>
                      <w:highlight w:val="none"/>
                    </w:rPr>
                    <w:t>为沾染切削液的废金属屑</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废切削液</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废无尘纸</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废包装桶</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废油桶</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废液压油</w:t>
                  </w:r>
                  <w:r>
                    <w:rPr>
                      <w:rFonts w:hint="eastAsia" w:eastAsia="仿宋" w:cs="Times New Roman"/>
                      <w:color w:val="auto"/>
                      <w:sz w:val="21"/>
                      <w:szCs w:val="21"/>
                      <w:highlight w:val="none"/>
                      <w:lang w:eastAsia="zh-CN"/>
                    </w:rPr>
                    <w:t>、</w:t>
                  </w:r>
                  <w:r>
                    <w:rPr>
                      <w:rFonts w:hint="eastAsia" w:eastAsia="仿宋" w:cs="Times New Roman"/>
                      <w:color w:val="auto"/>
                      <w:sz w:val="21"/>
                      <w:szCs w:val="21"/>
                      <w:highlight w:val="none"/>
                      <w:lang w:val="en-US" w:eastAsia="zh-CN"/>
                    </w:rPr>
                    <w:t>废过滤网</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本项目贮存时间为</w:t>
                  </w:r>
                  <w:r>
                    <w:rPr>
                      <w:rFonts w:hint="eastAsia"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lang w:val="en-US" w:eastAsia="zh-CN"/>
                    </w:rPr>
                    <w:t>年。</w:t>
                  </w:r>
                </w:p>
              </w:tc>
              <w:tc>
                <w:tcPr>
                  <w:tcW w:w="464" w:type="pct"/>
                  <w:tcBorders>
                    <w:tl2br w:val="nil"/>
                    <w:tr2bl w:val="nil"/>
                  </w:tcBorders>
                  <w:vAlign w:val="center"/>
                </w:tcPr>
                <w:p w14:paraId="6E75D77F">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kern w:val="0"/>
                      <w:sz w:val="21"/>
                      <w:szCs w:val="21"/>
                      <w:highlight w:val="none"/>
                      <w:vertAlign w:val="baseline"/>
                      <w:lang w:val="en-US" w:eastAsia="zh-CN"/>
                    </w:rPr>
                    <w:t>相符</w:t>
                  </w:r>
                </w:p>
              </w:tc>
            </w:tr>
            <w:tr w14:paraId="2FF215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79" w:type="pct"/>
                  <w:tcBorders>
                    <w:tl2br w:val="nil"/>
                    <w:tr2bl w:val="nil"/>
                  </w:tcBorders>
                  <w:vAlign w:val="center"/>
                </w:tcPr>
                <w:p w14:paraId="4033D17F">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lang w:val="en-US" w:eastAsia="zh-CN"/>
                    </w:rPr>
                  </w:pPr>
                  <w:r>
                    <w:rPr>
                      <w:rFonts w:hint="default" w:ascii="Times New Roman" w:hAnsi="Times New Roman" w:eastAsia="仿宋" w:cs="Times New Roman"/>
                      <w:color w:val="auto"/>
                      <w:kern w:val="0"/>
                      <w:sz w:val="21"/>
                      <w:szCs w:val="21"/>
                      <w:highlight w:val="none"/>
                      <w:vertAlign w:val="baseline"/>
                      <w:lang w:val="en-US" w:eastAsia="zh-CN"/>
                    </w:rPr>
                    <w:t>4</w:t>
                  </w:r>
                </w:p>
              </w:tc>
              <w:tc>
                <w:tcPr>
                  <w:tcW w:w="2797" w:type="pct"/>
                  <w:tcBorders>
                    <w:tl2br w:val="nil"/>
                    <w:tr2bl w:val="nil"/>
                  </w:tcBorders>
                  <w:vAlign w:val="center"/>
                </w:tcPr>
                <w:p w14:paraId="0201768E">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sz w:val="21"/>
                      <w:szCs w:val="21"/>
                      <w:highlight w:val="none"/>
                    </w:rPr>
                    <w:t>危险废物环境重点监管单位要在出入口、设施内部、危险废物运输车辆通道等关键位置设置视频监控并与中控室联网，通过设立公开栏、标志牌等方式，主动公开危险废物产生和利用处置等有关信息。</w:t>
                  </w:r>
                </w:p>
              </w:tc>
              <w:tc>
                <w:tcPr>
                  <w:tcW w:w="1359" w:type="pct"/>
                  <w:tcBorders>
                    <w:tl2br w:val="nil"/>
                    <w:tr2bl w:val="nil"/>
                  </w:tcBorders>
                  <w:vAlign w:val="center"/>
                </w:tcPr>
                <w:p w14:paraId="17312E1F">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sz w:val="21"/>
                      <w:szCs w:val="21"/>
                      <w:highlight w:val="none"/>
                    </w:rPr>
                    <w:t>本次环评已对危废贮存库的建设提出设置监控系统的要求，主要在收集点出入口、内部、企业门口等关键位置安装视频监控设施，进行实时监控，并与中控室联网。</w:t>
                  </w:r>
                </w:p>
              </w:tc>
              <w:tc>
                <w:tcPr>
                  <w:tcW w:w="464" w:type="pct"/>
                  <w:tcBorders>
                    <w:tl2br w:val="nil"/>
                    <w:tr2bl w:val="nil"/>
                  </w:tcBorders>
                  <w:vAlign w:val="center"/>
                </w:tcPr>
                <w:p w14:paraId="77286098">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kern w:val="0"/>
                      <w:sz w:val="21"/>
                      <w:szCs w:val="21"/>
                      <w:highlight w:val="none"/>
                      <w:vertAlign w:val="baseline"/>
                      <w:lang w:val="en-US" w:eastAsia="zh-CN"/>
                    </w:rPr>
                    <w:t>相符</w:t>
                  </w:r>
                </w:p>
              </w:tc>
            </w:tr>
            <w:tr w14:paraId="10E9A4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79" w:type="pct"/>
                  <w:tcBorders>
                    <w:tl2br w:val="nil"/>
                    <w:tr2bl w:val="nil"/>
                  </w:tcBorders>
                  <w:vAlign w:val="center"/>
                </w:tcPr>
                <w:p w14:paraId="35ECB232">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lang w:val="en-US" w:eastAsia="zh-CN"/>
                    </w:rPr>
                  </w:pPr>
                  <w:r>
                    <w:rPr>
                      <w:rFonts w:hint="default" w:ascii="Times New Roman" w:hAnsi="Times New Roman" w:eastAsia="仿宋" w:cs="Times New Roman"/>
                      <w:color w:val="auto"/>
                      <w:kern w:val="0"/>
                      <w:sz w:val="21"/>
                      <w:szCs w:val="21"/>
                      <w:highlight w:val="none"/>
                      <w:vertAlign w:val="baseline"/>
                      <w:lang w:val="en-US" w:eastAsia="zh-CN"/>
                    </w:rPr>
                    <w:t>5</w:t>
                  </w:r>
                </w:p>
              </w:tc>
              <w:tc>
                <w:tcPr>
                  <w:tcW w:w="2797" w:type="pct"/>
                  <w:tcBorders>
                    <w:tl2br w:val="nil"/>
                    <w:tr2bl w:val="nil"/>
                  </w:tcBorders>
                  <w:vAlign w:val="center"/>
                </w:tcPr>
                <w:p w14:paraId="0787A6F1">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sz w:val="21"/>
                      <w:szCs w:val="21"/>
                      <w:highlight w:val="none"/>
                    </w:rPr>
                    <w:t>全面落实危险废物转移电子联单制度，实行全域扫描</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二维码</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转移。危险废物产生单位须依法核实经营单位主体资格和技术能力，直接签订委托合同，并向经营单位提供相关危险废物产生工艺、具体成分，以及是否易燃易爆等信息，违法委托的，应当与造成环境污染和生态破坏的受托方承 担连带责任。</w:t>
                  </w:r>
                </w:p>
              </w:tc>
              <w:tc>
                <w:tcPr>
                  <w:tcW w:w="1359" w:type="pct"/>
                  <w:tcBorders>
                    <w:tl2br w:val="nil"/>
                    <w:tr2bl w:val="nil"/>
                  </w:tcBorders>
                  <w:vAlign w:val="center"/>
                </w:tcPr>
                <w:p w14:paraId="3E619DFB">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sz w:val="21"/>
                      <w:szCs w:val="21"/>
                      <w:highlight w:val="none"/>
                    </w:rPr>
                    <w:t>本项目建成后将与合法危废经营单位签订委托合同，并向经营单位提供相关危险废物产生工艺、具体成分。</w:t>
                  </w:r>
                </w:p>
              </w:tc>
              <w:tc>
                <w:tcPr>
                  <w:tcW w:w="464" w:type="pct"/>
                  <w:tcBorders>
                    <w:tl2br w:val="nil"/>
                    <w:tr2bl w:val="nil"/>
                  </w:tcBorders>
                  <w:vAlign w:val="center"/>
                </w:tcPr>
                <w:p w14:paraId="36086831">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kern w:val="0"/>
                      <w:sz w:val="21"/>
                      <w:szCs w:val="21"/>
                      <w:highlight w:val="none"/>
                      <w:vertAlign w:val="baseline"/>
                      <w:lang w:val="en-US" w:eastAsia="zh-CN"/>
                    </w:rPr>
                    <w:t>相符</w:t>
                  </w:r>
                </w:p>
              </w:tc>
            </w:tr>
            <w:tr w14:paraId="203FAA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79" w:type="pct"/>
                  <w:tcBorders>
                    <w:tl2br w:val="nil"/>
                    <w:tr2bl w:val="nil"/>
                  </w:tcBorders>
                  <w:vAlign w:val="center"/>
                </w:tcPr>
                <w:p w14:paraId="12157BF2">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lang w:val="en-US" w:eastAsia="zh-CN"/>
                    </w:rPr>
                  </w:pPr>
                  <w:r>
                    <w:rPr>
                      <w:rFonts w:hint="default" w:ascii="Times New Roman" w:hAnsi="Times New Roman" w:eastAsia="仿宋" w:cs="Times New Roman"/>
                      <w:color w:val="auto"/>
                      <w:kern w:val="0"/>
                      <w:sz w:val="21"/>
                      <w:szCs w:val="21"/>
                      <w:highlight w:val="none"/>
                      <w:vertAlign w:val="baseline"/>
                      <w:lang w:val="en-US" w:eastAsia="zh-CN"/>
                    </w:rPr>
                    <w:t>6</w:t>
                  </w:r>
                </w:p>
              </w:tc>
              <w:tc>
                <w:tcPr>
                  <w:tcW w:w="2797" w:type="pct"/>
                  <w:tcBorders>
                    <w:tl2br w:val="nil"/>
                    <w:tr2bl w:val="nil"/>
                  </w:tcBorders>
                  <w:vAlign w:val="center"/>
                </w:tcPr>
                <w:p w14:paraId="1B5E1E1D">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sz w:val="21"/>
                      <w:szCs w:val="21"/>
                      <w:highlight w:val="none"/>
                    </w:rPr>
                    <w:t>企业需按照《一般工业固体废物管理台账制定指南（试行）》（生态环境部2021年第82号公告）要求，建立一般工业固废台账，污泥、矿渣等同时还需在江苏省固废管理信息系统申报，电子台账已有内容，不再另外制作纸质台账。</w:t>
                  </w:r>
                </w:p>
              </w:tc>
              <w:tc>
                <w:tcPr>
                  <w:tcW w:w="1359" w:type="pct"/>
                  <w:tcBorders>
                    <w:tl2br w:val="nil"/>
                    <w:tr2bl w:val="nil"/>
                  </w:tcBorders>
                  <w:vAlign w:val="center"/>
                </w:tcPr>
                <w:p w14:paraId="1B333618">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rPr>
                  </w:pPr>
                  <w:r>
                    <w:rPr>
                      <w:rFonts w:hint="default" w:ascii="Times New Roman" w:hAnsi="Times New Roman" w:eastAsia="仿宋" w:cs="Times New Roman"/>
                      <w:color w:val="auto"/>
                      <w:sz w:val="21"/>
                      <w:szCs w:val="21"/>
                      <w:highlight w:val="none"/>
                    </w:rPr>
                    <w:t>本项目建成后将</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rPr>
                    <w:t>一般工业固体废物管理台账制定指南（试行）》（生态环境部2021年第82号公告）要求，建立一般工业固废台账。本项目不产生污泥、矿渣。</w:t>
                  </w:r>
                </w:p>
              </w:tc>
              <w:tc>
                <w:tcPr>
                  <w:tcW w:w="464" w:type="pct"/>
                  <w:tcBorders>
                    <w:tl2br w:val="nil"/>
                    <w:tr2bl w:val="nil"/>
                  </w:tcBorders>
                  <w:vAlign w:val="center"/>
                </w:tcPr>
                <w:p w14:paraId="415195BC">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240" w:lineRule="auto"/>
                    <w:ind w:left="0" w:right="0"/>
                    <w:jc w:val="center"/>
                    <w:textAlignment w:val="auto"/>
                    <w:rPr>
                      <w:rFonts w:hint="default" w:ascii="Times New Roman" w:hAnsi="Times New Roman" w:eastAsia="仿宋" w:cs="Times New Roman"/>
                      <w:color w:val="auto"/>
                      <w:kern w:val="0"/>
                      <w:sz w:val="21"/>
                      <w:szCs w:val="21"/>
                      <w:highlight w:val="none"/>
                      <w:vertAlign w:val="baseline"/>
                      <w:lang w:val="en-US" w:eastAsia="zh-CN"/>
                    </w:rPr>
                  </w:pPr>
                  <w:r>
                    <w:rPr>
                      <w:rFonts w:hint="default" w:ascii="Times New Roman" w:hAnsi="Times New Roman" w:eastAsia="仿宋" w:cs="Times New Roman"/>
                      <w:color w:val="auto"/>
                      <w:kern w:val="0"/>
                      <w:sz w:val="21"/>
                      <w:szCs w:val="21"/>
                      <w:highlight w:val="none"/>
                      <w:vertAlign w:val="baseline"/>
                      <w:lang w:val="en-US" w:eastAsia="zh-CN"/>
                    </w:rPr>
                    <w:t>相符</w:t>
                  </w:r>
                </w:p>
              </w:tc>
            </w:tr>
          </w:tbl>
          <w:p w14:paraId="41DF5F89">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建设单位应按照《</w:t>
            </w:r>
            <w:r>
              <w:rPr>
                <w:rFonts w:hint="eastAsia" w:cs="Times New Roman"/>
                <w:color w:val="auto"/>
                <w:sz w:val="24"/>
                <w:szCs w:val="24"/>
                <w:highlight w:val="none"/>
                <w:lang w:eastAsia="zh-CN"/>
              </w:rPr>
              <w:t>环境保护图形标志 固体废物贮存（处置）场</w:t>
            </w:r>
            <w:r>
              <w:rPr>
                <w:rFonts w:hint="default" w:ascii="Times New Roman" w:hAnsi="Times New Roman" w:eastAsia="宋体" w:cs="Times New Roman"/>
                <w:color w:val="auto"/>
                <w:sz w:val="24"/>
                <w:szCs w:val="24"/>
                <w:highlight w:val="none"/>
              </w:rPr>
              <w:t>》（GB15562.2-1995）</w:t>
            </w:r>
            <w:r>
              <w:rPr>
                <w:rFonts w:hint="default" w:ascii="Times New Roman" w:hAnsi="Times New Roman" w:eastAsia="宋体" w:cs="Times New Roman"/>
                <w:color w:val="auto"/>
                <w:sz w:val="24"/>
                <w:szCs w:val="24"/>
                <w:highlight w:val="none"/>
                <w:lang w:val="en-US" w:eastAsia="zh-CN"/>
              </w:rPr>
              <w:t>及</w:t>
            </w:r>
            <w:r>
              <w:rPr>
                <w:rFonts w:hint="eastAsia" w:ascii="Times New Roman" w:hAnsi="Times New Roman" w:eastAsia="宋体" w:cs="Times New Roman"/>
                <w:color w:val="auto"/>
                <w:sz w:val="24"/>
                <w:szCs w:val="24"/>
                <w:highlight w:val="none"/>
                <w:lang w:val="en-US" w:eastAsia="zh-CN"/>
              </w:rPr>
              <w:t>修改单、</w:t>
            </w:r>
            <w:r>
              <w:rPr>
                <w:rFonts w:hint="default" w:ascii="Times New Roman" w:hAnsi="Times New Roman" w:eastAsia="宋体" w:cs="Times New Roman"/>
                <w:color w:val="auto"/>
                <w:sz w:val="24"/>
                <w:szCs w:val="24"/>
                <w:highlight w:val="none"/>
              </w:rPr>
              <w:t>《危险废物识别标志设置技术规范》（HJ1276-2022）设置固体废物仓库的环境保护图形标志，具体见下表：</w:t>
            </w:r>
          </w:p>
          <w:p w14:paraId="4047A1F2">
            <w:pPr>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表4-</w:t>
            </w:r>
            <w:r>
              <w:rPr>
                <w:rFonts w:hint="eastAsia" w:cs="Times New Roman"/>
                <w:b/>
                <w:bCs/>
                <w:color w:val="auto"/>
                <w:sz w:val="24"/>
                <w:szCs w:val="24"/>
                <w:highlight w:val="none"/>
                <w:lang w:val="en-US" w:eastAsia="zh-CN"/>
              </w:rPr>
              <w:t>26</w:t>
            </w:r>
            <w:r>
              <w:rPr>
                <w:rFonts w:hint="default" w:ascii="Times New Roman" w:hAnsi="Times New Roman" w:eastAsia="宋体" w:cs="Times New Roman"/>
                <w:b/>
                <w:bCs/>
                <w:color w:val="auto"/>
                <w:sz w:val="24"/>
                <w:szCs w:val="24"/>
                <w:highlight w:val="none"/>
              </w:rPr>
              <w:t xml:space="preserve">  固废区环境保护图形标志</w:t>
            </w:r>
          </w:p>
          <w:tbl>
            <w:tblPr>
              <w:tblStyle w:val="22"/>
              <w:tblW w:w="5000"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499"/>
              <w:gridCol w:w="967"/>
              <w:gridCol w:w="1125"/>
              <w:gridCol w:w="1029"/>
              <w:gridCol w:w="743"/>
              <w:gridCol w:w="1630"/>
              <w:gridCol w:w="1950"/>
            </w:tblGrid>
            <w:tr w14:paraId="5EB61A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314" w:type="pct"/>
                  <w:tcBorders>
                    <w:tl2br w:val="nil"/>
                    <w:tr2bl w:val="nil"/>
                  </w:tcBorders>
                  <w:vAlign w:val="center"/>
                </w:tcPr>
                <w:p w14:paraId="56C98446">
                  <w:pPr>
                    <w:pStyle w:val="29"/>
                    <w:keepNext w:val="0"/>
                    <w:keepLines w:val="0"/>
                    <w:suppressLineNumbers w:val="0"/>
                    <w:spacing w:before="0" w:beforeAutospacing="0" w:after="0" w:afterAutospacing="0"/>
                    <w:ind w:left="0" w:right="0"/>
                    <w:rPr>
                      <w:rFonts w:hint="default" w:ascii="Times New Roman" w:hAnsi="Times New Roman" w:eastAsia="仿宋" w:cs="Times New Roman"/>
                      <w:b/>
                      <w:bCs/>
                      <w:color w:val="auto"/>
                      <w:sz w:val="21"/>
                      <w:szCs w:val="21"/>
                      <w:highlight w:val="none"/>
                      <w:lang w:val="zh-CN"/>
                    </w:rPr>
                  </w:pPr>
                  <w:r>
                    <w:rPr>
                      <w:rFonts w:hint="default" w:ascii="Times New Roman" w:hAnsi="Times New Roman" w:eastAsia="仿宋" w:cs="Times New Roman"/>
                      <w:b/>
                      <w:bCs/>
                      <w:color w:val="auto"/>
                      <w:sz w:val="21"/>
                      <w:szCs w:val="21"/>
                      <w:highlight w:val="none"/>
                      <w:lang w:val="zh-CN"/>
                    </w:rPr>
                    <w:t>序号</w:t>
                  </w:r>
                </w:p>
              </w:tc>
              <w:tc>
                <w:tcPr>
                  <w:tcW w:w="609" w:type="pct"/>
                  <w:tcBorders>
                    <w:tl2br w:val="nil"/>
                    <w:tr2bl w:val="nil"/>
                  </w:tcBorders>
                  <w:vAlign w:val="center"/>
                </w:tcPr>
                <w:p w14:paraId="6C50F6DF">
                  <w:pPr>
                    <w:pStyle w:val="29"/>
                    <w:keepNext w:val="0"/>
                    <w:keepLines w:val="0"/>
                    <w:suppressLineNumbers w:val="0"/>
                    <w:spacing w:before="0" w:beforeAutospacing="0" w:after="0" w:afterAutospacing="0"/>
                    <w:ind w:left="0" w:right="0"/>
                    <w:rPr>
                      <w:rFonts w:hint="default" w:ascii="Times New Roman" w:hAnsi="Times New Roman" w:eastAsia="仿宋" w:cs="Times New Roman"/>
                      <w:b/>
                      <w:bCs/>
                      <w:color w:val="auto"/>
                      <w:sz w:val="21"/>
                      <w:szCs w:val="21"/>
                      <w:highlight w:val="none"/>
                      <w:lang w:val="zh-CN"/>
                    </w:rPr>
                  </w:pPr>
                  <w:r>
                    <w:rPr>
                      <w:rFonts w:hint="default" w:ascii="Times New Roman" w:hAnsi="Times New Roman" w:eastAsia="仿宋" w:cs="Times New Roman"/>
                      <w:b/>
                      <w:bCs/>
                      <w:color w:val="auto"/>
                      <w:sz w:val="21"/>
                      <w:szCs w:val="21"/>
                      <w:highlight w:val="none"/>
                      <w:lang w:val="zh-CN"/>
                    </w:rPr>
                    <w:t>排放口名称</w:t>
                  </w:r>
                </w:p>
              </w:tc>
              <w:tc>
                <w:tcPr>
                  <w:tcW w:w="708" w:type="pct"/>
                  <w:tcBorders>
                    <w:tl2br w:val="nil"/>
                    <w:tr2bl w:val="nil"/>
                  </w:tcBorders>
                  <w:vAlign w:val="center"/>
                </w:tcPr>
                <w:p w14:paraId="76A48471">
                  <w:pPr>
                    <w:pStyle w:val="29"/>
                    <w:keepNext w:val="0"/>
                    <w:keepLines w:val="0"/>
                    <w:suppressLineNumbers w:val="0"/>
                    <w:spacing w:before="0" w:beforeAutospacing="0" w:after="0" w:afterAutospacing="0"/>
                    <w:ind w:left="0" w:right="0"/>
                    <w:rPr>
                      <w:rFonts w:hint="default" w:ascii="Times New Roman" w:hAnsi="Times New Roman" w:eastAsia="仿宋" w:cs="Times New Roman"/>
                      <w:b/>
                      <w:bCs/>
                      <w:color w:val="auto"/>
                      <w:sz w:val="21"/>
                      <w:szCs w:val="21"/>
                      <w:highlight w:val="none"/>
                      <w:lang w:val="zh-CN"/>
                    </w:rPr>
                  </w:pPr>
                  <w:r>
                    <w:rPr>
                      <w:rFonts w:hint="default" w:ascii="Times New Roman" w:hAnsi="Times New Roman" w:eastAsia="仿宋" w:cs="Times New Roman"/>
                      <w:b/>
                      <w:bCs/>
                      <w:color w:val="auto"/>
                      <w:sz w:val="21"/>
                      <w:szCs w:val="21"/>
                      <w:highlight w:val="none"/>
                      <w:lang w:val="zh-CN"/>
                    </w:rPr>
                    <w:t>图形标志</w:t>
                  </w:r>
                </w:p>
              </w:tc>
              <w:tc>
                <w:tcPr>
                  <w:tcW w:w="648" w:type="pct"/>
                  <w:tcBorders>
                    <w:tl2br w:val="nil"/>
                    <w:tr2bl w:val="nil"/>
                  </w:tcBorders>
                  <w:vAlign w:val="center"/>
                </w:tcPr>
                <w:p w14:paraId="37FAF4F1">
                  <w:pPr>
                    <w:pStyle w:val="29"/>
                    <w:keepNext w:val="0"/>
                    <w:keepLines w:val="0"/>
                    <w:suppressLineNumbers w:val="0"/>
                    <w:spacing w:before="0" w:beforeAutospacing="0" w:after="0" w:afterAutospacing="0"/>
                    <w:ind w:left="0" w:right="0"/>
                    <w:rPr>
                      <w:rFonts w:hint="default" w:ascii="Times New Roman" w:hAnsi="Times New Roman" w:eastAsia="仿宋" w:cs="Times New Roman"/>
                      <w:b/>
                      <w:bCs/>
                      <w:color w:val="auto"/>
                      <w:sz w:val="21"/>
                      <w:szCs w:val="21"/>
                      <w:highlight w:val="none"/>
                      <w:lang w:val="zh-CN"/>
                    </w:rPr>
                  </w:pPr>
                  <w:r>
                    <w:rPr>
                      <w:rFonts w:hint="default" w:ascii="Times New Roman" w:hAnsi="Times New Roman" w:eastAsia="仿宋" w:cs="Times New Roman"/>
                      <w:b/>
                      <w:bCs/>
                      <w:color w:val="auto"/>
                      <w:sz w:val="21"/>
                      <w:szCs w:val="21"/>
                      <w:highlight w:val="none"/>
                      <w:lang w:val="zh-CN"/>
                    </w:rPr>
                    <w:t>形状</w:t>
                  </w:r>
                </w:p>
              </w:tc>
              <w:tc>
                <w:tcPr>
                  <w:tcW w:w="468" w:type="pct"/>
                  <w:tcBorders>
                    <w:tl2br w:val="nil"/>
                    <w:tr2bl w:val="nil"/>
                  </w:tcBorders>
                  <w:vAlign w:val="center"/>
                </w:tcPr>
                <w:p w14:paraId="0620ADFC">
                  <w:pPr>
                    <w:pStyle w:val="29"/>
                    <w:keepNext w:val="0"/>
                    <w:keepLines w:val="0"/>
                    <w:suppressLineNumbers w:val="0"/>
                    <w:spacing w:before="0" w:beforeAutospacing="0" w:after="0" w:afterAutospacing="0"/>
                    <w:ind w:left="0" w:right="0"/>
                    <w:rPr>
                      <w:rFonts w:hint="default" w:ascii="Times New Roman" w:hAnsi="Times New Roman" w:eastAsia="仿宋" w:cs="Times New Roman"/>
                      <w:b/>
                      <w:bCs/>
                      <w:color w:val="auto"/>
                      <w:sz w:val="21"/>
                      <w:szCs w:val="21"/>
                      <w:highlight w:val="none"/>
                      <w:lang w:val="zh-CN"/>
                    </w:rPr>
                  </w:pPr>
                  <w:r>
                    <w:rPr>
                      <w:rFonts w:hint="default" w:ascii="Times New Roman" w:hAnsi="Times New Roman" w:eastAsia="仿宋" w:cs="Times New Roman"/>
                      <w:b/>
                      <w:bCs/>
                      <w:color w:val="auto"/>
                      <w:sz w:val="21"/>
                      <w:szCs w:val="21"/>
                      <w:highlight w:val="none"/>
                      <w:lang w:val="zh-CN"/>
                    </w:rPr>
                    <w:t>背景颜色</w:t>
                  </w:r>
                </w:p>
              </w:tc>
              <w:tc>
                <w:tcPr>
                  <w:tcW w:w="1026" w:type="pct"/>
                  <w:tcBorders>
                    <w:tl2br w:val="nil"/>
                    <w:tr2bl w:val="nil"/>
                  </w:tcBorders>
                  <w:vAlign w:val="center"/>
                </w:tcPr>
                <w:p w14:paraId="65CE3B54">
                  <w:pPr>
                    <w:pStyle w:val="29"/>
                    <w:keepNext w:val="0"/>
                    <w:keepLines w:val="0"/>
                    <w:suppressLineNumbers w:val="0"/>
                    <w:spacing w:before="0" w:beforeAutospacing="0" w:after="0" w:afterAutospacing="0"/>
                    <w:ind w:left="0" w:right="0"/>
                    <w:rPr>
                      <w:rFonts w:hint="default" w:ascii="Times New Roman" w:hAnsi="Times New Roman" w:eastAsia="仿宋" w:cs="Times New Roman"/>
                      <w:b/>
                      <w:bCs/>
                      <w:color w:val="auto"/>
                      <w:sz w:val="21"/>
                      <w:szCs w:val="21"/>
                      <w:highlight w:val="none"/>
                      <w:lang w:val="zh-CN"/>
                    </w:rPr>
                  </w:pPr>
                  <w:r>
                    <w:rPr>
                      <w:rFonts w:hint="default" w:ascii="Times New Roman" w:hAnsi="Times New Roman" w:eastAsia="仿宋" w:cs="Times New Roman"/>
                      <w:b/>
                      <w:bCs/>
                      <w:color w:val="auto"/>
                      <w:sz w:val="21"/>
                      <w:szCs w:val="21"/>
                      <w:highlight w:val="none"/>
                      <w:lang w:val="zh-CN"/>
                    </w:rPr>
                    <w:t>图形颜色</w:t>
                  </w:r>
                </w:p>
              </w:tc>
              <w:tc>
                <w:tcPr>
                  <w:tcW w:w="1227" w:type="pct"/>
                  <w:tcBorders>
                    <w:tl2br w:val="nil"/>
                    <w:tr2bl w:val="nil"/>
                  </w:tcBorders>
                  <w:vAlign w:val="center"/>
                </w:tcPr>
                <w:p w14:paraId="6AADC47B">
                  <w:pPr>
                    <w:pStyle w:val="29"/>
                    <w:keepNext w:val="0"/>
                    <w:keepLines w:val="0"/>
                    <w:suppressLineNumbers w:val="0"/>
                    <w:spacing w:before="0" w:beforeAutospacing="0" w:after="0" w:afterAutospacing="0"/>
                    <w:ind w:left="0" w:right="0"/>
                    <w:rPr>
                      <w:rFonts w:hint="default" w:ascii="Times New Roman" w:hAnsi="Times New Roman" w:eastAsia="仿宋" w:cs="Times New Roman"/>
                      <w:b/>
                      <w:bCs/>
                      <w:color w:val="auto"/>
                      <w:sz w:val="21"/>
                      <w:szCs w:val="21"/>
                      <w:highlight w:val="none"/>
                      <w:lang w:val="zh-CN"/>
                    </w:rPr>
                  </w:pPr>
                  <w:r>
                    <w:rPr>
                      <w:rFonts w:hint="default" w:ascii="Times New Roman" w:hAnsi="Times New Roman" w:eastAsia="仿宋" w:cs="Times New Roman"/>
                      <w:b/>
                      <w:bCs/>
                      <w:color w:val="auto"/>
                      <w:sz w:val="21"/>
                      <w:szCs w:val="21"/>
                      <w:highlight w:val="none"/>
                      <w:lang w:val="zh-CN"/>
                    </w:rPr>
                    <w:t>提示图形符号</w:t>
                  </w:r>
                </w:p>
              </w:tc>
            </w:tr>
            <w:tr w14:paraId="470F26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314" w:type="pct"/>
                  <w:tcBorders>
                    <w:tl2br w:val="nil"/>
                    <w:tr2bl w:val="nil"/>
                  </w:tcBorders>
                  <w:vAlign w:val="center"/>
                </w:tcPr>
                <w:p w14:paraId="524CD5B1">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1</w:t>
                  </w:r>
                </w:p>
              </w:tc>
              <w:tc>
                <w:tcPr>
                  <w:tcW w:w="609" w:type="pct"/>
                  <w:tcBorders>
                    <w:tl2br w:val="nil"/>
                    <w:tr2bl w:val="nil"/>
                  </w:tcBorders>
                  <w:vAlign w:val="center"/>
                </w:tcPr>
                <w:p w14:paraId="26C41DF2">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一般工业固废仓库</w:t>
                  </w:r>
                </w:p>
              </w:tc>
              <w:tc>
                <w:tcPr>
                  <w:tcW w:w="708" w:type="pct"/>
                  <w:tcBorders>
                    <w:tl2br w:val="nil"/>
                    <w:tr2bl w:val="nil"/>
                  </w:tcBorders>
                  <w:vAlign w:val="center"/>
                </w:tcPr>
                <w:p w14:paraId="2CDC0AFB">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提示标志</w:t>
                  </w:r>
                </w:p>
              </w:tc>
              <w:tc>
                <w:tcPr>
                  <w:tcW w:w="648" w:type="pct"/>
                  <w:tcBorders>
                    <w:tl2br w:val="nil"/>
                    <w:tr2bl w:val="nil"/>
                  </w:tcBorders>
                  <w:vAlign w:val="center"/>
                </w:tcPr>
                <w:p w14:paraId="2B371E3E">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正方形边框</w:t>
                  </w:r>
                </w:p>
              </w:tc>
              <w:tc>
                <w:tcPr>
                  <w:tcW w:w="468" w:type="pct"/>
                  <w:tcBorders>
                    <w:tl2br w:val="nil"/>
                    <w:tr2bl w:val="nil"/>
                  </w:tcBorders>
                  <w:vAlign w:val="center"/>
                </w:tcPr>
                <w:p w14:paraId="59942B24">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绿色</w:t>
                  </w:r>
                </w:p>
              </w:tc>
              <w:tc>
                <w:tcPr>
                  <w:tcW w:w="1026" w:type="pct"/>
                  <w:tcBorders>
                    <w:tl2br w:val="nil"/>
                    <w:tr2bl w:val="nil"/>
                  </w:tcBorders>
                  <w:vAlign w:val="center"/>
                </w:tcPr>
                <w:p w14:paraId="0F9E28CB">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白色</w:t>
                  </w:r>
                </w:p>
              </w:tc>
              <w:tc>
                <w:tcPr>
                  <w:tcW w:w="1227" w:type="pct"/>
                  <w:tcBorders>
                    <w:tl2br w:val="nil"/>
                    <w:tr2bl w:val="nil"/>
                  </w:tcBorders>
                  <w:vAlign w:val="center"/>
                </w:tcPr>
                <w:p w14:paraId="77475AD0">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rPr>
                    <w:drawing>
                      <wp:inline distT="0" distB="0" distL="0" distR="0">
                        <wp:extent cx="659765" cy="659765"/>
                        <wp:effectExtent l="0" t="0" r="6985" b="698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664660" cy="664660"/>
                                </a:xfrm>
                                <a:prstGeom prst="rect">
                                  <a:avLst/>
                                </a:prstGeom>
                                <a:noFill/>
                                <a:ln>
                                  <a:noFill/>
                                </a:ln>
                              </pic:spPr>
                            </pic:pic>
                          </a:graphicData>
                        </a:graphic>
                      </wp:inline>
                    </w:drawing>
                  </w:r>
                </w:p>
              </w:tc>
            </w:tr>
            <w:tr w14:paraId="4AABD2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314" w:type="pct"/>
                  <w:vMerge w:val="restart"/>
                  <w:tcBorders>
                    <w:tl2br w:val="nil"/>
                    <w:tr2bl w:val="nil"/>
                  </w:tcBorders>
                  <w:vAlign w:val="center"/>
                </w:tcPr>
                <w:p w14:paraId="06A5AB17">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2</w:t>
                  </w:r>
                </w:p>
              </w:tc>
              <w:tc>
                <w:tcPr>
                  <w:tcW w:w="609" w:type="pct"/>
                  <w:vMerge w:val="restart"/>
                  <w:tcBorders>
                    <w:tl2br w:val="nil"/>
                    <w:tr2bl w:val="nil"/>
                  </w:tcBorders>
                  <w:vAlign w:val="center"/>
                </w:tcPr>
                <w:p w14:paraId="714A523B">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危废仓库</w:t>
                  </w:r>
                </w:p>
              </w:tc>
              <w:tc>
                <w:tcPr>
                  <w:tcW w:w="708" w:type="pct"/>
                  <w:tcBorders>
                    <w:tl2br w:val="nil"/>
                    <w:tr2bl w:val="nil"/>
                  </w:tcBorders>
                  <w:vAlign w:val="center"/>
                </w:tcPr>
                <w:p w14:paraId="64DE4A16">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rPr>
                    <w:t>贮存设施标志</w:t>
                  </w:r>
                </w:p>
              </w:tc>
              <w:tc>
                <w:tcPr>
                  <w:tcW w:w="648" w:type="pct"/>
                  <w:tcBorders>
                    <w:tl2br w:val="nil"/>
                    <w:tr2bl w:val="nil"/>
                  </w:tcBorders>
                  <w:vAlign w:val="center"/>
                </w:tcPr>
                <w:p w14:paraId="1D2CF5FF">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rPr>
                    <w:t>长方形边框</w:t>
                  </w:r>
                </w:p>
              </w:tc>
              <w:tc>
                <w:tcPr>
                  <w:tcW w:w="468" w:type="pct"/>
                  <w:tcBorders>
                    <w:tl2br w:val="nil"/>
                    <w:tr2bl w:val="nil"/>
                  </w:tcBorders>
                  <w:vAlign w:val="center"/>
                </w:tcPr>
                <w:p w14:paraId="0F117145">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黄色</w:t>
                  </w:r>
                </w:p>
              </w:tc>
              <w:tc>
                <w:tcPr>
                  <w:tcW w:w="1026" w:type="pct"/>
                  <w:tcBorders>
                    <w:tl2br w:val="nil"/>
                    <w:tr2bl w:val="nil"/>
                  </w:tcBorders>
                  <w:vAlign w:val="center"/>
                </w:tcPr>
                <w:p w14:paraId="427E77F2">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黑色</w:t>
                  </w:r>
                </w:p>
              </w:tc>
              <w:tc>
                <w:tcPr>
                  <w:tcW w:w="1227" w:type="pct"/>
                  <w:tcBorders>
                    <w:tl2br w:val="nil"/>
                    <w:tr2bl w:val="nil"/>
                  </w:tcBorders>
                  <w:vAlign w:val="center"/>
                </w:tcPr>
                <w:p w14:paraId="644EF47D">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rPr>
                    <w:drawing>
                      <wp:inline distT="0" distB="0" distL="114300" distR="114300">
                        <wp:extent cx="1210945" cy="784860"/>
                        <wp:effectExtent l="0" t="0" r="8255" b="15240"/>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24" cstate="print"/>
                                <a:stretch>
                                  <a:fillRect/>
                                </a:stretch>
                              </pic:blipFill>
                              <pic:spPr>
                                <a:xfrm>
                                  <a:off x="0" y="0"/>
                                  <a:ext cx="1210945" cy="784860"/>
                                </a:xfrm>
                                <a:prstGeom prst="rect">
                                  <a:avLst/>
                                </a:prstGeom>
                                <a:noFill/>
                                <a:ln>
                                  <a:noFill/>
                                </a:ln>
                              </pic:spPr>
                            </pic:pic>
                          </a:graphicData>
                        </a:graphic>
                      </wp:inline>
                    </w:drawing>
                  </w:r>
                </w:p>
              </w:tc>
            </w:tr>
            <w:tr w14:paraId="0D5785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314" w:type="pct"/>
                  <w:vMerge w:val="continue"/>
                  <w:tcBorders>
                    <w:tl2br w:val="nil"/>
                    <w:tr2bl w:val="nil"/>
                  </w:tcBorders>
                  <w:vAlign w:val="center"/>
                </w:tcPr>
                <w:p w14:paraId="7E68484B">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p>
              </w:tc>
              <w:tc>
                <w:tcPr>
                  <w:tcW w:w="609" w:type="pct"/>
                  <w:vMerge w:val="continue"/>
                  <w:tcBorders>
                    <w:tl2br w:val="nil"/>
                    <w:tr2bl w:val="nil"/>
                  </w:tcBorders>
                  <w:vAlign w:val="center"/>
                </w:tcPr>
                <w:p w14:paraId="7B867424">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p>
              </w:tc>
              <w:tc>
                <w:tcPr>
                  <w:tcW w:w="708" w:type="pct"/>
                  <w:tcBorders>
                    <w:tl2br w:val="nil"/>
                    <w:tr2bl w:val="nil"/>
                  </w:tcBorders>
                  <w:vAlign w:val="center"/>
                </w:tcPr>
                <w:p w14:paraId="743528CF">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rPr>
                    <w:t>危险废物贮存分区标志</w:t>
                  </w:r>
                </w:p>
              </w:tc>
              <w:tc>
                <w:tcPr>
                  <w:tcW w:w="648" w:type="pct"/>
                  <w:tcBorders>
                    <w:tl2br w:val="nil"/>
                    <w:tr2bl w:val="nil"/>
                  </w:tcBorders>
                  <w:vAlign w:val="center"/>
                </w:tcPr>
                <w:p w14:paraId="3771C1AD">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rPr>
                    <w:t>长方形边框</w:t>
                  </w:r>
                </w:p>
              </w:tc>
              <w:tc>
                <w:tcPr>
                  <w:tcW w:w="468" w:type="pct"/>
                  <w:tcBorders>
                    <w:tl2br w:val="nil"/>
                    <w:tr2bl w:val="nil"/>
                  </w:tcBorders>
                  <w:vAlign w:val="center"/>
                </w:tcPr>
                <w:p w14:paraId="05838895">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黄色</w:t>
                  </w:r>
                </w:p>
              </w:tc>
              <w:tc>
                <w:tcPr>
                  <w:tcW w:w="1026" w:type="pct"/>
                  <w:tcBorders>
                    <w:tl2br w:val="nil"/>
                    <w:tr2bl w:val="nil"/>
                  </w:tcBorders>
                  <w:vAlign w:val="center"/>
                </w:tcPr>
                <w:p w14:paraId="3DF8A6AC">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rPr>
                    <w:t>黑色</w:t>
                  </w:r>
                </w:p>
              </w:tc>
              <w:tc>
                <w:tcPr>
                  <w:tcW w:w="1227" w:type="pct"/>
                  <w:tcBorders>
                    <w:tl2br w:val="nil"/>
                    <w:tr2bl w:val="nil"/>
                  </w:tcBorders>
                  <w:vAlign w:val="center"/>
                </w:tcPr>
                <w:p w14:paraId="61C6968E">
                  <w:pPr>
                    <w:pStyle w:val="29"/>
                    <w:keepNext w:val="0"/>
                    <w:keepLines w:val="0"/>
                    <w:suppressLineNumbers w:val="0"/>
                    <w:spacing w:before="0" w:beforeAutospacing="0" w:after="0" w:afterAutospacing="0"/>
                    <w:ind w:left="0" w:right="0"/>
                    <w:rPr>
                      <w:rStyle w:val="26"/>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drawing>
                      <wp:inline distT="0" distB="0" distL="114300" distR="114300">
                        <wp:extent cx="1075690" cy="904240"/>
                        <wp:effectExtent l="0" t="0" r="10160" b="10160"/>
                        <wp:docPr id="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pic:cNvPicPr>
                                  <a:picLocks noChangeAspect="1"/>
                                </pic:cNvPicPr>
                              </pic:nvPicPr>
                              <pic:blipFill>
                                <a:blip r:embed="rId25" cstate="print"/>
                                <a:stretch>
                                  <a:fillRect/>
                                </a:stretch>
                              </pic:blipFill>
                              <pic:spPr>
                                <a:xfrm>
                                  <a:off x="0" y="0"/>
                                  <a:ext cx="1075690" cy="904240"/>
                                </a:xfrm>
                                <a:prstGeom prst="rect">
                                  <a:avLst/>
                                </a:prstGeom>
                                <a:noFill/>
                                <a:ln>
                                  <a:noFill/>
                                </a:ln>
                              </pic:spPr>
                            </pic:pic>
                          </a:graphicData>
                        </a:graphic>
                      </wp:inline>
                    </w:drawing>
                  </w:r>
                </w:p>
              </w:tc>
            </w:tr>
            <w:tr w14:paraId="22CB52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314" w:type="pct"/>
                  <w:vMerge w:val="continue"/>
                  <w:tcBorders>
                    <w:tl2br w:val="nil"/>
                    <w:tr2bl w:val="nil"/>
                  </w:tcBorders>
                  <w:vAlign w:val="center"/>
                </w:tcPr>
                <w:p w14:paraId="71A6EA80">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p>
              </w:tc>
              <w:tc>
                <w:tcPr>
                  <w:tcW w:w="609" w:type="pct"/>
                  <w:vMerge w:val="continue"/>
                  <w:tcBorders>
                    <w:tl2br w:val="nil"/>
                    <w:tr2bl w:val="nil"/>
                  </w:tcBorders>
                  <w:vAlign w:val="center"/>
                </w:tcPr>
                <w:p w14:paraId="1522939B">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p>
              </w:tc>
              <w:tc>
                <w:tcPr>
                  <w:tcW w:w="708" w:type="pct"/>
                  <w:tcBorders>
                    <w:tl2br w:val="nil"/>
                    <w:tr2bl w:val="nil"/>
                  </w:tcBorders>
                  <w:vAlign w:val="center"/>
                </w:tcPr>
                <w:p w14:paraId="06BB1555">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rPr>
                    <w:t>包装识别标签</w:t>
                  </w:r>
                </w:p>
              </w:tc>
              <w:tc>
                <w:tcPr>
                  <w:tcW w:w="648" w:type="pct"/>
                  <w:tcBorders>
                    <w:tl2br w:val="nil"/>
                    <w:tr2bl w:val="nil"/>
                  </w:tcBorders>
                  <w:vAlign w:val="center"/>
                </w:tcPr>
                <w:p w14:paraId="05564B51">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val="zh-CN"/>
                    </w:rPr>
                    <w:t>/</w:t>
                  </w:r>
                </w:p>
              </w:tc>
              <w:tc>
                <w:tcPr>
                  <w:tcW w:w="468" w:type="pct"/>
                  <w:tcBorders>
                    <w:tl2br w:val="nil"/>
                    <w:tr2bl w:val="nil"/>
                  </w:tcBorders>
                  <w:vAlign w:val="center"/>
                </w:tcPr>
                <w:p w14:paraId="3B665803">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lang w:eastAsia="zh-CN"/>
                    </w:rPr>
                    <w:t>橘黄色</w:t>
                  </w:r>
                </w:p>
              </w:tc>
              <w:tc>
                <w:tcPr>
                  <w:tcW w:w="1026" w:type="pct"/>
                  <w:tcBorders>
                    <w:tl2br w:val="nil"/>
                    <w:tr2bl w:val="nil"/>
                  </w:tcBorders>
                  <w:vAlign w:val="center"/>
                </w:tcPr>
                <w:p w14:paraId="034799B9">
                  <w:pPr>
                    <w:pStyle w:val="29"/>
                    <w:keepNext w:val="0"/>
                    <w:keepLines w:val="0"/>
                    <w:suppressLineNumbers w:val="0"/>
                    <w:spacing w:before="0" w:beforeAutospacing="0" w:after="0" w:afterAutospacing="0"/>
                    <w:ind w:left="0" w:right="0"/>
                    <w:rPr>
                      <w:rFonts w:hint="default" w:ascii="Times New Roman" w:hAnsi="Times New Roman" w:eastAsia="仿宋" w:cs="Times New Roman"/>
                      <w:color w:val="auto"/>
                      <w:sz w:val="21"/>
                      <w:szCs w:val="21"/>
                      <w:highlight w:val="none"/>
                      <w:lang w:val="zh-CN"/>
                    </w:rPr>
                  </w:pPr>
                  <w:r>
                    <w:rPr>
                      <w:rFonts w:hint="default" w:ascii="Times New Roman" w:hAnsi="Times New Roman" w:eastAsia="仿宋" w:cs="Times New Roman"/>
                      <w:color w:val="auto"/>
                      <w:sz w:val="21"/>
                      <w:szCs w:val="21"/>
                      <w:highlight w:val="none"/>
                    </w:rPr>
                    <w:t>黑色</w:t>
                  </w:r>
                </w:p>
              </w:tc>
              <w:tc>
                <w:tcPr>
                  <w:tcW w:w="1227" w:type="pct"/>
                  <w:tcBorders>
                    <w:tl2br w:val="nil"/>
                    <w:tr2bl w:val="nil"/>
                  </w:tcBorders>
                  <w:vAlign w:val="center"/>
                </w:tcPr>
                <w:p w14:paraId="25E88507">
                  <w:pPr>
                    <w:pStyle w:val="29"/>
                    <w:keepNext w:val="0"/>
                    <w:keepLines w:val="0"/>
                    <w:suppressLineNumbers w:val="0"/>
                    <w:spacing w:before="0" w:beforeAutospacing="0" w:after="0" w:afterAutospacing="0"/>
                    <w:ind w:left="0" w:right="0"/>
                    <w:rPr>
                      <w:rStyle w:val="26"/>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drawing>
                      <wp:inline distT="0" distB="0" distL="114300" distR="114300">
                        <wp:extent cx="828675" cy="825500"/>
                        <wp:effectExtent l="0" t="0" r="9525"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6" cstate="print"/>
                                <a:stretch>
                                  <a:fillRect/>
                                </a:stretch>
                              </pic:blipFill>
                              <pic:spPr>
                                <a:xfrm>
                                  <a:off x="0" y="0"/>
                                  <a:ext cx="828675" cy="825500"/>
                                </a:xfrm>
                                <a:prstGeom prst="rect">
                                  <a:avLst/>
                                </a:prstGeom>
                                <a:noFill/>
                                <a:ln>
                                  <a:noFill/>
                                </a:ln>
                              </pic:spPr>
                            </pic:pic>
                          </a:graphicData>
                        </a:graphic>
                      </wp:inline>
                    </w:drawing>
                  </w:r>
                </w:p>
              </w:tc>
            </w:tr>
          </w:tbl>
          <w:p w14:paraId="65A163B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须针对固废对员工进行培训，加强安全生产及防止污染的意识，培训通过后方可上岗，将危险废物的实际产生、贮存、利用、处置等情况纳入生产记录，建立危险废物管理台账和企业内部产生和收集、贮存、转移等部门危险废物交接制度。当危废需要委托有资质单位进行转移时，联系当地环保部门通过</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江苏省危险废物全生命周期监控系统</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进行危险废物申报登记。</w:t>
            </w:r>
          </w:p>
          <w:p w14:paraId="49A7D9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通过采取上述措施和管理方案，可满足危险废物临时存放相关标准的要求，将危险废物可能带来的环境影响降到最低。</w:t>
            </w:r>
          </w:p>
          <w:p w14:paraId="06C7530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eastAsia="zh-CN"/>
              </w:rPr>
              <w:t>（</w:t>
            </w:r>
            <w:r>
              <w:rPr>
                <w:rFonts w:hint="eastAsia"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危险废物转运过程中的环境影响</w:t>
            </w:r>
          </w:p>
          <w:p w14:paraId="4E6485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建设项目危险废物产生后放入专门盛装危险废物的容器或防漏胶袋中，由带有防渗漏托盘的拖车转运至危废暂存点，转运过程中由于人为操作失误造成容器倒翻、胶袋破损等情况时，大部分会进入托盘中，对周围环境会产生一定的影响，因此企业在加强管理的情况下，转运过程中出现散落、泄漏概率较小，对周围环境影响较小。</w:t>
            </w:r>
          </w:p>
          <w:p w14:paraId="64E4D48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eastAsia="zh-CN"/>
              </w:rPr>
              <w:t>（</w:t>
            </w:r>
            <w:r>
              <w:rPr>
                <w:rFonts w:hint="eastAsia"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委托利用或者处置的环境影响分析</w:t>
            </w:r>
          </w:p>
          <w:p w14:paraId="401E037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本项目产生的危废需要由具有相应的危险废物经营许可证类别和足够的利用处置能力的单位处理。具体的危废处置单位详见市生态环境局官方网站。</w:t>
            </w:r>
          </w:p>
          <w:p w14:paraId="58C799C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综上所述，本项目所产生的固体废物通过以上方法处理处置后，将不会对周围的环境产生影响，但厂内的堆放、贮存场所应按照国家固体废物贮存有关要求设置，在厂区内设置专门的区域作为固废堆放场地，树立显著的标志，由专门的人员进行管理，避免其对周围环境产生二次污染，采取上述措施后，建设项目产生的固废经妥善处理、处置后，可以实现零排放，对周围环境影响</w:t>
            </w:r>
            <w:r>
              <w:rPr>
                <w:rFonts w:hint="eastAsia" w:ascii="Times New Roman" w:hAnsi="Times New Roman" w:eastAsia="宋体" w:cs="Times New Roman"/>
                <w:color w:val="auto"/>
                <w:sz w:val="24"/>
                <w:szCs w:val="24"/>
                <w:highlight w:val="none"/>
                <w:lang w:val="en-US" w:eastAsia="zh-CN"/>
              </w:rPr>
              <w:t>可接受</w:t>
            </w:r>
            <w:r>
              <w:rPr>
                <w:rFonts w:hint="default" w:ascii="Times New Roman" w:hAnsi="Times New Roman" w:eastAsia="宋体" w:cs="Times New Roman"/>
                <w:color w:val="auto"/>
                <w:sz w:val="24"/>
                <w:szCs w:val="24"/>
                <w:highlight w:val="none"/>
              </w:rPr>
              <w:t>。</w:t>
            </w:r>
          </w:p>
          <w:p w14:paraId="7755275D">
            <w:pPr>
              <w:spacing w:line="360" w:lineRule="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5、</w:t>
            </w:r>
            <w:r>
              <w:rPr>
                <w:rFonts w:hint="default" w:ascii="Times New Roman" w:hAnsi="Times New Roman" w:eastAsia="宋体" w:cs="Times New Roman"/>
                <w:b/>
                <w:color w:val="auto"/>
                <w:sz w:val="24"/>
                <w:szCs w:val="24"/>
                <w:highlight w:val="none"/>
              </w:rPr>
              <w:t>土壤、地下水环境影响分析</w:t>
            </w:r>
          </w:p>
          <w:p w14:paraId="26752AA5">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根据建设单位提供的资料，车间地面均采取防腐防渗措施；产生的一般工业固废均为固体；危废暂存于</w:t>
            </w:r>
            <w:r>
              <w:rPr>
                <w:rFonts w:hint="eastAsia" w:cs="Times New Roman"/>
                <w:color w:val="auto"/>
                <w:sz w:val="24"/>
                <w:szCs w:val="24"/>
                <w:highlight w:val="none"/>
                <w:lang w:eastAsia="zh-CN"/>
              </w:rPr>
              <w:t>危废仓库</w:t>
            </w:r>
            <w:r>
              <w:rPr>
                <w:rFonts w:hint="default" w:ascii="Times New Roman" w:hAnsi="Times New Roman" w:eastAsia="宋体" w:cs="Times New Roman"/>
                <w:color w:val="auto"/>
                <w:sz w:val="24"/>
                <w:szCs w:val="24"/>
                <w:highlight w:val="none"/>
              </w:rPr>
              <w:t>内，储存量较少，</w:t>
            </w:r>
            <w:r>
              <w:rPr>
                <w:rFonts w:hint="eastAsia" w:cs="Times New Roman"/>
                <w:color w:val="auto"/>
                <w:sz w:val="24"/>
                <w:szCs w:val="24"/>
                <w:highlight w:val="none"/>
                <w:lang w:eastAsia="zh-CN"/>
              </w:rPr>
              <w:t>危废仓库</w:t>
            </w:r>
            <w:r>
              <w:rPr>
                <w:rFonts w:hint="default" w:ascii="Times New Roman" w:hAnsi="Times New Roman" w:eastAsia="宋体" w:cs="Times New Roman"/>
                <w:color w:val="auto"/>
                <w:sz w:val="24"/>
                <w:szCs w:val="24"/>
                <w:highlight w:val="none"/>
              </w:rPr>
              <w:t>地面采取防腐防渗措施。因此，本项目建成投产后基本不存在地下水、土壤污染途径。</w:t>
            </w:r>
          </w:p>
          <w:p w14:paraId="59177ADD">
            <w:pPr>
              <w:pStyle w:val="40"/>
              <w:ind w:firstLine="422"/>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为保护周围土壤、地下水环境，本报告提出以下土壤、地下水环境保护措施：</w:t>
            </w:r>
          </w:p>
          <w:p w14:paraId="5A628027">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本项目土壤、地下水污染防治措施坚</w:t>
            </w:r>
            <w:r>
              <w:rPr>
                <w:rFonts w:hint="eastAsia" w:ascii="宋体" w:hAnsi="宋体" w:eastAsia="宋体" w:cs="宋体"/>
                <w:color w:val="auto"/>
                <w:sz w:val="24"/>
                <w:szCs w:val="24"/>
                <w:highlight w:val="none"/>
              </w:rPr>
              <w:t>持</w:t>
            </w:r>
            <w:r>
              <w:rPr>
                <w:rFonts w:hint="eastAsia" w:ascii="宋体" w:hAnsi="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源头控制、分区防控、污染监控、应急响</w:t>
            </w:r>
            <w:r>
              <w:rPr>
                <w:rFonts w:hint="eastAsia" w:ascii="宋体" w:hAnsi="宋体" w:eastAsia="宋体" w:cs="宋体"/>
                <w:color w:val="auto"/>
                <w:sz w:val="24"/>
                <w:szCs w:val="24"/>
                <w:highlight w:val="none"/>
              </w:rPr>
              <w:t>应</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的</w:t>
            </w:r>
            <w:r>
              <w:rPr>
                <w:rFonts w:hint="default" w:ascii="Times New Roman" w:hAnsi="Times New Roman" w:eastAsia="宋体" w:cs="Times New Roman"/>
                <w:color w:val="auto"/>
                <w:sz w:val="24"/>
                <w:szCs w:val="24"/>
                <w:highlight w:val="none"/>
              </w:rPr>
              <w:t>原则，即采取主动控制和被动控制相结合的措施。</w:t>
            </w:r>
          </w:p>
          <w:p w14:paraId="5EA88646">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（1）源头控制措施</w:t>
            </w:r>
          </w:p>
          <w:p w14:paraId="3C95A802">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主要包括提出实施清洁生产及各类废物循环利用的具体方案，减少污染物的排放量。本项目主要通过优化生产工艺、提高废物循环利用效率，将污染物外泄降低到最小。</w:t>
            </w:r>
          </w:p>
          <w:p w14:paraId="175FEF1A">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（2）分区防控措施</w:t>
            </w:r>
          </w:p>
          <w:p w14:paraId="7021406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为了最大限度降低生产过程中有毒有害物料的跑冒滴漏，防止地下水及土壤污染，本项目按简单防渗区、一般防渗区、重点防渗区设计考虑相应的控制措施，采取不同等级的防渗措施：</w:t>
            </w:r>
          </w:p>
          <w:p w14:paraId="496FED82">
            <w:pPr>
              <w:numPr>
                <w:ilvl w:val="0"/>
                <w:numId w:val="0"/>
              </w:numPr>
              <w:spacing w:line="360" w:lineRule="auto"/>
              <w:ind w:firstLine="480" w:firstLineChars="200"/>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sz w:val="24"/>
                <w:szCs w:val="24"/>
                <w:highlight w:val="none"/>
              </w:rPr>
              <w:t>本项目重点防渗区为</w:t>
            </w:r>
            <w:r>
              <w:rPr>
                <w:rFonts w:hint="eastAsia" w:cs="Times New Roman"/>
                <w:color w:val="auto"/>
                <w:sz w:val="24"/>
                <w:szCs w:val="24"/>
                <w:highlight w:val="none"/>
                <w:lang w:eastAsia="zh-CN"/>
              </w:rPr>
              <w:t>危废仓库、</w:t>
            </w:r>
            <w:r>
              <w:rPr>
                <w:rFonts w:hint="eastAsia" w:cs="Times New Roman"/>
                <w:color w:val="auto"/>
                <w:sz w:val="24"/>
                <w:szCs w:val="24"/>
                <w:highlight w:val="none"/>
                <w:lang w:val="en-US" w:eastAsia="zh-CN"/>
              </w:rPr>
              <w:t>化学品仓库、压块区、机加工区、湿式去毛刺区</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重点防渗区防渗要求：等效</w:t>
            </w:r>
            <w:r>
              <w:rPr>
                <w:rFonts w:hint="eastAsia" w:cs="Times New Roman"/>
                <w:color w:val="auto"/>
                <w:sz w:val="24"/>
                <w:szCs w:val="24"/>
                <w:highlight w:val="none"/>
                <w:lang w:eastAsia="zh-CN"/>
              </w:rPr>
              <w:t>黏土</w:t>
            </w:r>
            <w:r>
              <w:rPr>
                <w:rFonts w:hint="default" w:ascii="Times New Roman" w:hAnsi="Times New Roman" w:eastAsia="宋体" w:cs="Times New Roman"/>
                <w:color w:val="auto"/>
                <w:sz w:val="24"/>
                <w:szCs w:val="24"/>
                <w:highlight w:val="none"/>
              </w:rPr>
              <w:t>防渗层Mb≥6.0m，K≤1×10</w:t>
            </w:r>
            <w:r>
              <w:rPr>
                <w:rFonts w:hint="default" w:ascii="Times New Roman" w:hAnsi="Times New Roman" w:eastAsia="宋体" w:cs="Times New Roman"/>
                <w:color w:val="auto"/>
                <w:sz w:val="24"/>
                <w:szCs w:val="24"/>
                <w:highlight w:val="none"/>
                <w:vertAlign w:val="superscript"/>
              </w:rPr>
              <w:t>-7</w:t>
            </w:r>
            <w:r>
              <w:rPr>
                <w:rFonts w:hint="default" w:ascii="Times New Roman" w:hAnsi="Times New Roman" w:eastAsia="宋体" w:cs="Times New Roman"/>
                <w:color w:val="auto"/>
                <w:sz w:val="24"/>
                <w:szCs w:val="24"/>
                <w:highlight w:val="none"/>
              </w:rPr>
              <w:t>cm/s</w:t>
            </w:r>
            <w:r>
              <w:rPr>
                <w:rFonts w:hint="eastAsia" w:ascii="Times New Roman" w:hAnsi="Times New Roman" w:eastAsia="宋体" w:cs="Times New Roman"/>
                <w:color w:val="auto"/>
                <w:sz w:val="24"/>
                <w:szCs w:val="24"/>
                <w:highlight w:val="none"/>
                <w:lang w:eastAsia="zh-CN"/>
              </w:rPr>
              <w:t>；</w:t>
            </w:r>
          </w:p>
          <w:p w14:paraId="35B7016E">
            <w:pPr>
              <w:numPr>
                <w:ilvl w:val="0"/>
                <w:numId w:val="0"/>
              </w:numPr>
              <w:spacing w:line="360" w:lineRule="auto"/>
              <w:ind w:firstLine="480" w:firstLineChars="200"/>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2"/>
                <w:sz w:val="24"/>
                <w:szCs w:val="24"/>
                <w:highlight w:val="none"/>
                <w:lang w:val="en-US" w:eastAsia="zh-CN" w:bidi="ar-SA"/>
              </w:rPr>
              <w:t>2）</w:t>
            </w:r>
            <w:r>
              <w:rPr>
                <w:rFonts w:hint="default" w:ascii="Times New Roman" w:hAnsi="Times New Roman" w:eastAsia="宋体" w:cs="Times New Roman"/>
                <w:color w:val="auto"/>
                <w:sz w:val="24"/>
                <w:szCs w:val="24"/>
                <w:highlight w:val="none"/>
              </w:rPr>
              <w:t>本项目一般防渗区为</w:t>
            </w:r>
            <w:r>
              <w:rPr>
                <w:rFonts w:hint="eastAsia" w:cs="Times New Roman"/>
                <w:color w:val="auto"/>
                <w:sz w:val="24"/>
                <w:szCs w:val="24"/>
                <w:highlight w:val="none"/>
                <w:lang w:val="en-US" w:eastAsia="zh-CN"/>
              </w:rPr>
              <w:t>来料检验区、</w:t>
            </w:r>
            <w:r>
              <w:rPr>
                <w:rFonts w:hint="default" w:ascii="Times New Roman" w:hAnsi="Times New Roman" w:eastAsia="宋体" w:cs="Times New Roman"/>
                <w:color w:val="auto"/>
                <w:sz w:val="24"/>
                <w:szCs w:val="24"/>
                <w:highlight w:val="none"/>
              </w:rPr>
              <w:t>一般工业固废</w:t>
            </w:r>
            <w:r>
              <w:rPr>
                <w:rFonts w:hint="eastAsia" w:cs="Times New Roman"/>
                <w:color w:val="auto"/>
                <w:sz w:val="24"/>
                <w:szCs w:val="24"/>
                <w:highlight w:val="none"/>
                <w:lang w:eastAsia="zh-CN"/>
              </w:rPr>
              <w:t>仓库、</w:t>
            </w:r>
            <w:r>
              <w:rPr>
                <w:rFonts w:hint="eastAsia" w:cs="Times New Roman"/>
                <w:color w:val="auto"/>
                <w:sz w:val="24"/>
                <w:szCs w:val="24"/>
                <w:highlight w:val="none"/>
                <w:lang w:val="en-US" w:eastAsia="zh-CN"/>
              </w:rPr>
              <w:t>原料仓库</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一般防渗区防渗要求：等效</w:t>
            </w:r>
            <w:r>
              <w:rPr>
                <w:rFonts w:hint="eastAsia" w:cs="Times New Roman"/>
                <w:color w:val="auto"/>
                <w:sz w:val="24"/>
                <w:szCs w:val="24"/>
                <w:highlight w:val="none"/>
                <w:lang w:eastAsia="zh-CN"/>
              </w:rPr>
              <w:t>黏土</w:t>
            </w:r>
            <w:r>
              <w:rPr>
                <w:rFonts w:hint="default" w:ascii="Times New Roman" w:hAnsi="Times New Roman" w:eastAsia="宋体" w:cs="Times New Roman"/>
                <w:color w:val="auto"/>
                <w:sz w:val="24"/>
                <w:szCs w:val="24"/>
                <w:highlight w:val="none"/>
              </w:rPr>
              <w:t>防渗层Mb≥1.5m，K≤1×10</w:t>
            </w:r>
            <w:r>
              <w:rPr>
                <w:rFonts w:hint="default" w:ascii="Times New Roman" w:hAnsi="Times New Roman" w:eastAsia="宋体" w:cs="Times New Roman"/>
                <w:color w:val="auto"/>
                <w:sz w:val="24"/>
                <w:szCs w:val="24"/>
                <w:highlight w:val="none"/>
                <w:vertAlign w:val="superscript"/>
              </w:rPr>
              <w:t>-7</w:t>
            </w:r>
            <w:r>
              <w:rPr>
                <w:rFonts w:hint="default" w:ascii="Times New Roman" w:hAnsi="Times New Roman" w:eastAsia="宋体" w:cs="Times New Roman"/>
                <w:color w:val="auto"/>
                <w:sz w:val="24"/>
                <w:szCs w:val="24"/>
                <w:highlight w:val="none"/>
              </w:rPr>
              <w:t>cm/s。除重点防渗区和一般防渗区外，项目</w:t>
            </w:r>
            <w:r>
              <w:rPr>
                <w:rFonts w:hint="eastAsia" w:cs="Times New Roman"/>
                <w:color w:val="auto"/>
                <w:sz w:val="24"/>
                <w:szCs w:val="24"/>
                <w:highlight w:val="none"/>
                <w:lang w:eastAsia="zh-CN"/>
              </w:rPr>
              <w:t>其他</w:t>
            </w:r>
            <w:r>
              <w:rPr>
                <w:rFonts w:hint="default" w:ascii="Times New Roman" w:hAnsi="Times New Roman" w:eastAsia="宋体" w:cs="Times New Roman"/>
                <w:color w:val="auto"/>
                <w:sz w:val="24"/>
                <w:szCs w:val="24"/>
                <w:highlight w:val="none"/>
              </w:rPr>
              <w:t>区域为简单防渗区，采用一般地面硬化进行防渗</w:t>
            </w:r>
            <w:r>
              <w:rPr>
                <w:rFonts w:hint="eastAsia" w:ascii="Times New Roman" w:hAnsi="Times New Roman" w:eastAsia="宋体" w:cs="Times New Roman"/>
                <w:color w:val="auto"/>
                <w:sz w:val="24"/>
                <w:szCs w:val="24"/>
                <w:highlight w:val="none"/>
                <w:lang w:eastAsia="zh-CN"/>
              </w:rPr>
              <w:t>；</w:t>
            </w:r>
          </w:p>
          <w:p w14:paraId="4FCB8CDE">
            <w:pPr>
              <w:tabs>
                <w:tab w:val="left" w:pos="6237"/>
              </w:tabs>
              <w:spacing w:line="360" w:lineRule="auto"/>
              <w:ind w:firstLine="480" w:firstLineChars="20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另外，项目必须强化施工期防渗工程环境监管工作，强化各相关工程的转弯、承插、对接等处的防渗，</w:t>
            </w:r>
            <w:r>
              <w:rPr>
                <w:rFonts w:hint="eastAsia" w:cs="Times New Roman"/>
                <w:color w:val="auto"/>
                <w:sz w:val="24"/>
                <w:szCs w:val="24"/>
                <w:highlight w:val="none"/>
                <w:lang w:eastAsia="zh-CN"/>
              </w:rPr>
              <w:t>做好</w:t>
            </w:r>
            <w:r>
              <w:rPr>
                <w:rFonts w:hint="default" w:ascii="Times New Roman" w:hAnsi="Times New Roman" w:eastAsia="宋体" w:cs="Times New Roman"/>
                <w:color w:val="auto"/>
                <w:sz w:val="24"/>
                <w:szCs w:val="24"/>
                <w:highlight w:val="none"/>
              </w:rPr>
              <w:t>隐蔽工程记录。</w:t>
            </w:r>
          </w:p>
          <w:p w14:paraId="0CCF32E2">
            <w:pPr>
              <w:tabs>
                <w:tab w:val="left" w:pos="6237"/>
              </w:tabs>
              <w:spacing w:line="360" w:lineRule="auto"/>
              <w:ind w:firstLine="480" w:firstLineChars="200"/>
              <w:rPr>
                <w:color w:val="auto"/>
                <w:sz w:val="24"/>
                <w:szCs w:val="24"/>
                <w:highlight w:val="none"/>
              </w:rPr>
            </w:pPr>
            <w:r>
              <w:rPr>
                <w:color w:val="auto"/>
                <w:sz w:val="24"/>
                <w:szCs w:val="24"/>
                <w:highlight w:val="none"/>
              </w:rPr>
              <w:t>本项目厂区分区防渗见</w:t>
            </w:r>
            <w:r>
              <w:rPr>
                <w:rFonts w:hint="eastAsia"/>
                <w:color w:val="auto"/>
                <w:sz w:val="24"/>
                <w:szCs w:val="24"/>
                <w:highlight w:val="none"/>
                <w:lang w:val="en-US" w:eastAsia="zh-CN"/>
              </w:rPr>
              <w:t>下</w:t>
            </w:r>
            <w:r>
              <w:rPr>
                <w:color w:val="auto"/>
                <w:sz w:val="24"/>
                <w:szCs w:val="24"/>
                <w:highlight w:val="none"/>
              </w:rPr>
              <w:t>表。</w:t>
            </w:r>
          </w:p>
          <w:p w14:paraId="1957F225">
            <w:pPr>
              <w:adjustRightInd w:val="0"/>
              <w:snapToGrid w:val="0"/>
              <w:jc w:val="center"/>
              <w:rPr>
                <w:b/>
                <w:bCs/>
                <w:color w:val="auto"/>
                <w:sz w:val="24"/>
                <w:szCs w:val="24"/>
                <w:highlight w:val="none"/>
              </w:rPr>
            </w:pPr>
            <w:r>
              <w:rPr>
                <w:b/>
                <w:bCs/>
                <w:color w:val="auto"/>
                <w:sz w:val="24"/>
                <w:szCs w:val="24"/>
                <w:highlight w:val="none"/>
              </w:rPr>
              <w:t>表4</w:t>
            </w:r>
            <w:r>
              <w:rPr>
                <w:rFonts w:hint="eastAsia"/>
                <w:b/>
                <w:bCs/>
                <w:color w:val="auto"/>
                <w:sz w:val="24"/>
                <w:szCs w:val="24"/>
                <w:highlight w:val="none"/>
              </w:rPr>
              <w:t>-</w:t>
            </w:r>
            <w:r>
              <w:rPr>
                <w:rFonts w:hint="eastAsia"/>
                <w:b/>
                <w:bCs/>
                <w:color w:val="auto"/>
                <w:sz w:val="24"/>
                <w:szCs w:val="24"/>
                <w:highlight w:val="none"/>
                <w:lang w:val="en-US" w:eastAsia="zh-CN"/>
              </w:rPr>
              <w:t>27</w:t>
            </w:r>
            <w:r>
              <w:rPr>
                <w:b/>
                <w:bCs/>
                <w:color w:val="auto"/>
                <w:sz w:val="24"/>
                <w:szCs w:val="24"/>
                <w:highlight w:val="none"/>
              </w:rPr>
              <w:t xml:space="preserve">  本项目厂区分区防渗一览表</w:t>
            </w:r>
          </w:p>
          <w:tbl>
            <w:tblPr>
              <w:tblStyle w:val="22"/>
              <w:tblW w:w="0" w:type="auto"/>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18"/>
              <w:gridCol w:w="3560"/>
              <w:gridCol w:w="2829"/>
            </w:tblGrid>
            <w:tr w14:paraId="43CEA6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518" w:type="dxa"/>
                  <w:tcBorders>
                    <w:tl2br w:val="nil"/>
                    <w:tr2bl w:val="nil"/>
                  </w:tcBorders>
                  <w:vAlign w:val="center"/>
                </w:tcPr>
                <w:p w14:paraId="08FFD826">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防渗等级</w:t>
                  </w:r>
                </w:p>
              </w:tc>
              <w:tc>
                <w:tcPr>
                  <w:tcW w:w="3560" w:type="dxa"/>
                  <w:tcBorders>
                    <w:tl2br w:val="nil"/>
                    <w:tr2bl w:val="nil"/>
                  </w:tcBorders>
                  <w:vAlign w:val="center"/>
                </w:tcPr>
                <w:p w14:paraId="62D08702">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防渗区域</w:t>
                  </w:r>
                </w:p>
              </w:tc>
              <w:tc>
                <w:tcPr>
                  <w:tcW w:w="2829" w:type="dxa"/>
                  <w:tcBorders>
                    <w:tl2br w:val="nil"/>
                    <w:tr2bl w:val="nil"/>
                  </w:tcBorders>
                  <w:vAlign w:val="center"/>
                </w:tcPr>
                <w:p w14:paraId="01D3E815">
                  <w:pPr>
                    <w:pStyle w:val="29"/>
                    <w:rPr>
                      <w:rFonts w:hint="default" w:ascii="Times New Roman" w:hAnsi="Times New Roman" w:eastAsia="仿宋" w:cs="Times New Roman"/>
                      <w:b/>
                      <w:color w:val="auto"/>
                      <w:sz w:val="21"/>
                      <w:szCs w:val="21"/>
                      <w:highlight w:val="none"/>
                    </w:rPr>
                  </w:pPr>
                  <w:r>
                    <w:rPr>
                      <w:rFonts w:hint="default" w:ascii="Times New Roman" w:hAnsi="Times New Roman" w:eastAsia="仿宋" w:cs="Times New Roman"/>
                      <w:b/>
                      <w:color w:val="auto"/>
                      <w:sz w:val="21"/>
                      <w:szCs w:val="21"/>
                      <w:highlight w:val="none"/>
                    </w:rPr>
                    <w:t>防渗要求</w:t>
                  </w:r>
                </w:p>
              </w:tc>
            </w:tr>
            <w:tr w14:paraId="246E4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18" w:type="dxa"/>
                  <w:tcBorders>
                    <w:tl2br w:val="nil"/>
                    <w:tr2bl w:val="nil"/>
                  </w:tcBorders>
                  <w:vAlign w:val="center"/>
                </w:tcPr>
                <w:p w14:paraId="41AE7565">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重点防渗区</w:t>
                  </w:r>
                </w:p>
              </w:tc>
              <w:tc>
                <w:tcPr>
                  <w:tcW w:w="3560" w:type="dxa"/>
                  <w:tcBorders>
                    <w:tl2br w:val="nil"/>
                    <w:tr2bl w:val="nil"/>
                  </w:tcBorders>
                  <w:vAlign w:val="center"/>
                </w:tcPr>
                <w:p w14:paraId="306817FD">
                  <w:pPr>
                    <w:pStyle w:val="29"/>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eastAsia="zh-CN"/>
                    </w:rPr>
                    <w:t>危废仓库、</w:t>
                  </w:r>
                  <w:r>
                    <w:rPr>
                      <w:rFonts w:hint="eastAsia" w:eastAsia="仿宋" w:cs="Times New Roman"/>
                      <w:color w:val="auto"/>
                      <w:sz w:val="21"/>
                      <w:szCs w:val="21"/>
                      <w:highlight w:val="none"/>
                      <w:lang w:val="en-US" w:eastAsia="zh-CN"/>
                    </w:rPr>
                    <w:t>化学品仓库、压块区、机加工区、湿式去毛刺区</w:t>
                  </w:r>
                </w:p>
              </w:tc>
              <w:tc>
                <w:tcPr>
                  <w:tcW w:w="2829" w:type="dxa"/>
                  <w:tcBorders>
                    <w:tl2br w:val="nil"/>
                    <w:tr2bl w:val="nil"/>
                  </w:tcBorders>
                  <w:vAlign w:val="center"/>
                </w:tcPr>
                <w:p w14:paraId="758D09FD">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等效</w:t>
                  </w:r>
                  <w:r>
                    <w:rPr>
                      <w:rFonts w:hint="default" w:ascii="Times New Roman" w:hAnsi="Times New Roman" w:eastAsia="仿宋" w:cs="Times New Roman"/>
                      <w:color w:val="auto"/>
                      <w:sz w:val="21"/>
                      <w:szCs w:val="21"/>
                      <w:highlight w:val="none"/>
                      <w:lang w:eastAsia="zh-CN"/>
                    </w:rPr>
                    <w:t>黏土</w:t>
                  </w:r>
                  <w:r>
                    <w:rPr>
                      <w:rFonts w:hint="default" w:ascii="Times New Roman" w:hAnsi="Times New Roman" w:eastAsia="仿宋" w:cs="Times New Roman"/>
                      <w:color w:val="auto"/>
                      <w:sz w:val="21"/>
                      <w:szCs w:val="21"/>
                      <w:highlight w:val="none"/>
                    </w:rPr>
                    <w:t>防渗层Mb≥6.0m，</w:t>
                  </w:r>
                </w:p>
                <w:p w14:paraId="3DE2F8F7">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K≤1×10</w:t>
                  </w:r>
                  <w:r>
                    <w:rPr>
                      <w:rFonts w:hint="default" w:ascii="Times New Roman" w:hAnsi="Times New Roman" w:eastAsia="仿宋" w:cs="Times New Roman"/>
                      <w:color w:val="auto"/>
                      <w:sz w:val="21"/>
                      <w:szCs w:val="21"/>
                      <w:highlight w:val="none"/>
                      <w:vertAlign w:val="superscript"/>
                    </w:rPr>
                    <w:t>-7</w:t>
                  </w:r>
                  <w:r>
                    <w:rPr>
                      <w:rFonts w:hint="default" w:ascii="Times New Roman" w:hAnsi="Times New Roman" w:eastAsia="仿宋" w:cs="Times New Roman"/>
                      <w:color w:val="auto"/>
                      <w:sz w:val="21"/>
                      <w:szCs w:val="21"/>
                      <w:highlight w:val="none"/>
                    </w:rPr>
                    <w:t>cm/s</w:t>
                  </w:r>
                </w:p>
              </w:tc>
            </w:tr>
            <w:tr w14:paraId="57E17F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18" w:type="dxa"/>
                  <w:tcBorders>
                    <w:tl2br w:val="nil"/>
                    <w:tr2bl w:val="nil"/>
                  </w:tcBorders>
                  <w:vAlign w:val="center"/>
                </w:tcPr>
                <w:p w14:paraId="6FC1FF26">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一般防渗区</w:t>
                  </w:r>
                </w:p>
              </w:tc>
              <w:tc>
                <w:tcPr>
                  <w:tcW w:w="3560" w:type="dxa"/>
                  <w:tcBorders>
                    <w:tl2br w:val="nil"/>
                    <w:tr2bl w:val="nil"/>
                  </w:tcBorders>
                  <w:vAlign w:val="center"/>
                </w:tcPr>
                <w:p w14:paraId="0D32EC92">
                  <w:pPr>
                    <w:pStyle w:val="29"/>
                    <w:rPr>
                      <w:rFonts w:hint="default" w:ascii="Times New Roman" w:hAnsi="Times New Roman" w:eastAsia="仿宋" w:cs="Times New Roman"/>
                      <w:b/>
                      <w:bCs/>
                      <w:color w:val="auto"/>
                      <w:sz w:val="21"/>
                      <w:szCs w:val="21"/>
                      <w:highlight w:val="none"/>
                      <w:lang w:val="en-US" w:eastAsia="zh-CN"/>
                    </w:rPr>
                  </w:pPr>
                  <w:r>
                    <w:rPr>
                      <w:rFonts w:hint="eastAsia" w:eastAsia="仿宋" w:cs="Times New Roman"/>
                      <w:color w:val="auto"/>
                      <w:sz w:val="21"/>
                      <w:szCs w:val="21"/>
                      <w:highlight w:val="none"/>
                      <w:lang w:val="en-US" w:eastAsia="zh-CN"/>
                    </w:rPr>
                    <w:t>来料检验区</w:t>
                  </w:r>
                  <w:r>
                    <w:rPr>
                      <w:rFonts w:hint="default" w:ascii="Times New Roman" w:hAnsi="Times New Roman" w:eastAsia="仿宋" w:cs="Times New Roman"/>
                      <w:color w:val="auto"/>
                      <w:sz w:val="21"/>
                      <w:szCs w:val="21"/>
                      <w:highlight w:val="none"/>
                    </w:rPr>
                    <w:t>、一般固废</w:t>
                  </w:r>
                  <w:r>
                    <w:rPr>
                      <w:rFonts w:hint="default" w:ascii="Times New Roman" w:hAnsi="Times New Roman" w:eastAsia="仿宋" w:cs="Times New Roman"/>
                      <w:color w:val="auto"/>
                      <w:sz w:val="21"/>
                      <w:szCs w:val="21"/>
                      <w:highlight w:val="none"/>
                      <w:lang w:eastAsia="zh-CN"/>
                    </w:rPr>
                    <w:t>仓库、</w:t>
                  </w:r>
                  <w:r>
                    <w:rPr>
                      <w:rFonts w:hint="default" w:ascii="Times New Roman" w:hAnsi="Times New Roman" w:eastAsia="仿宋" w:cs="Times New Roman"/>
                      <w:color w:val="auto"/>
                      <w:sz w:val="21"/>
                      <w:szCs w:val="21"/>
                      <w:highlight w:val="none"/>
                      <w:lang w:val="en-US" w:eastAsia="zh-CN"/>
                    </w:rPr>
                    <w:t>原料仓库</w:t>
                  </w:r>
                </w:p>
              </w:tc>
              <w:tc>
                <w:tcPr>
                  <w:tcW w:w="2829" w:type="dxa"/>
                  <w:tcBorders>
                    <w:tl2br w:val="nil"/>
                    <w:tr2bl w:val="nil"/>
                  </w:tcBorders>
                  <w:vAlign w:val="center"/>
                </w:tcPr>
                <w:p w14:paraId="0CE1D433">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等效</w:t>
                  </w:r>
                  <w:r>
                    <w:rPr>
                      <w:rFonts w:hint="default" w:ascii="Times New Roman" w:hAnsi="Times New Roman" w:eastAsia="仿宋" w:cs="Times New Roman"/>
                      <w:color w:val="auto"/>
                      <w:sz w:val="21"/>
                      <w:szCs w:val="21"/>
                      <w:highlight w:val="none"/>
                      <w:lang w:eastAsia="zh-CN"/>
                    </w:rPr>
                    <w:t>黏土</w:t>
                  </w:r>
                  <w:r>
                    <w:rPr>
                      <w:rFonts w:hint="default" w:ascii="Times New Roman" w:hAnsi="Times New Roman" w:eastAsia="仿宋" w:cs="Times New Roman"/>
                      <w:color w:val="auto"/>
                      <w:sz w:val="21"/>
                      <w:szCs w:val="21"/>
                      <w:highlight w:val="none"/>
                    </w:rPr>
                    <w:t>防渗层Mb≥1.5m，K≤1×10</w:t>
                  </w:r>
                  <w:r>
                    <w:rPr>
                      <w:rFonts w:hint="default" w:ascii="Times New Roman" w:hAnsi="Times New Roman" w:eastAsia="仿宋" w:cs="Times New Roman"/>
                      <w:color w:val="auto"/>
                      <w:sz w:val="21"/>
                      <w:szCs w:val="21"/>
                      <w:highlight w:val="none"/>
                      <w:vertAlign w:val="superscript"/>
                    </w:rPr>
                    <w:t>-7</w:t>
                  </w:r>
                  <w:r>
                    <w:rPr>
                      <w:rFonts w:hint="default" w:ascii="Times New Roman" w:hAnsi="Times New Roman" w:eastAsia="仿宋" w:cs="Times New Roman"/>
                      <w:color w:val="auto"/>
                      <w:sz w:val="21"/>
                      <w:szCs w:val="21"/>
                      <w:highlight w:val="none"/>
                    </w:rPr>
                    <w:t>cm/s</w:t>
                  </w:r>
                </w:p>
              </w:tc>
            </w:tr>
            <w:tr w14:paraId="1B1DE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18" w:type="dxa"/>
                  <w:tcBorders>
                    <w:tl2br w:val="nil"/>
                    <w:tr2bl w:val="nil"/>
                  </w:tcBorders>
                  <w:vAlign w:val="center"/>
                </w:tcPr>
                <w:p w14:paraId="5FB8B510">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简单防渗区</w:t>
                  </w:r>
                </w:p>
              </w:tc>
              <w:tc>
                <w:tcPr>
                  <w:tcW w:w="3560" w:type="dxa"/>
                  <w:tcBorders>
                    <w:tl2br w:val="nil"/>
                    <w:tr2bl w:val="nil"/>
                  </w:tcBorders>
                  <w:vAlign w:val="center"/>
                </w:tcPr>
                <w:p w14:paraId="3BEE7A51">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除重点防渗区和一般防渗区外的</w:t>
                  </w:r>
                  <w:r>
                    <w:rPr>
                      <w:rFonts w:hint="default" w:ascii="Times New Roman" w:hAnsi="Times New Roman" w:eastAsia="仿宋" w:cs="Times New Roman"/>
                      <w:color w:val="auto"/>
                      <w:sz w:val="21"/>
                      <w:szCs w:val="21"/>
                      <w:highlight w:val="none"/>
                      <w:lang w:eastAsia="zh-CN"/>
                    </w:rPr>
                    <w:t>其他</w:t>
                  </w:r>
                  <w:r>
                    <w:rPr>
                      <w:rFonts w:hint="default" w:ascii="Times New Roman" w:hAnsi="Times New Roman" w:eastAsia="仿宋" w:cs="Times New Roman"/>
                      <w:color w:val="auto"/>
                      <w:sz w:val="21"/>
                      <w:szCs w:val="21"/>
                      <w:highlight w:val="none"/>
                    </w:rPr>
                    <w:t>区域</w:t>
                  </w:r>
                </w:p>
              </w:tc>
              <w:tc>
                <w:tcPr>
                  <w:tcW w:w="2829" w:type="dxa"/>
                  <w:tcBorders>
                    <w:tl2br w:val="nil"/>
                    <w:tr2bl w:val="nil"/>
                  </w:tcBorders>
                  <w:vAlign w:val="center"/>
                </w:tcPr>
                <w:p w14:paraId="0BA719B8">
                  <w:pPr>
                    <w:pStyle w:val="2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一般地面硬化</w:t>
                  </w:r>
                </w:p>
              </w:tc>
            </w:tr>
          </w:tbl>
          <w:p w14:paraId="42E24B4B">
            <w:pPr>
              <w:tabs>
                <w:tab w:val="left" w:pos="6237"/>
              </w:tabs>
              <w:spacing w:line="360" w:lineRule="auto"/>
              <w:ind w:firstLine="480" w:firstLineChars="200"/>
              <w:rPr>
                <w:color w:val="auto"/>
                <w:sz w:val="24"/>
                <w:szCs w:val="24"/>
                <w:highlight w:val="none"/>
              </w:rPr>
            </w:pPr>
            <w:r>
              <w:rPr>
                <w:color w:val="auto"/>
                <w:sz w:val="24"/>
                <w:szCs w:val="24"/>
                <w:highlight w:val="none"/>
              </w:rPr>
              <w:t>综上，本项目采取的防范措施在正确贯彻执行的情况下，对所在区域地下水、土壤环境质量影响</w:t>
            </w:r>
            <w:r>
              <w:rPr>
                <w:rFonts w:hint="eastAsia"/>
                <w:color w:val="auto"/>
                <w:sz w:val="24"/>
                <w:szCs w:val="24"/>
                <w:highlight w:val="none"/>
              </w:rPr>
              <w:t>可接受</w:t>
            </w:r>
            <w:r>
              <w:rPr>
                <w:color w:val="auto"/>
                <w:sz w:val="24"/>
                <w:szCs w:val="24"/>
                <w:highlight w:val="none"/>
              </w:rPr>
              <w:t>，不会改变区域土壤及地下水水质功能现状。</w:t>
            </w:r>
          </w:p>
          <w:p w14:paraId="41D5A53A">
            <w:pPr>
              <w:tabs>
                <w:tab w:val="left" w:pos="6237"/>
              </w:tabs>
              <w:spacing w:line="360" w:lineRule="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、生态环境</w:t>
            </w:r>
          </w:p>
          <w:p w14:paraId="5E57CA0D">
            <w:pPr>
              <w:tabs>
                <w:tab w:val="left" w:pos="6237"/>
              </w:tabs>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本项目实施后，全厂用地性质不发生改变，厂址周围为建成工业区，无敏感生态物种，本项目实施后对周围生态环境影响较小。</w:t>
            </w:r>
          </w:p>
          <w:p w14:paraId="5CB0E525">
            <w:pPr>
              <w:adjustRightInd w:val="0"/>
              <w:snapToGrid w:val="0"/>
              <w:spacing w:line="360" w:lineRule="auto"/>
              <w:rPr>
                <w:rFonts w:hint="default" w:ascii="Times New Roman" w:hAnsi="Times New Roman" w:eastAsia="宋体" w:cs="Times New Roman"/>
                <w:b/>
                <w:color w:val="auto"/>
                <w:sz w:val="24"/>
                <w:szCs w:val="24"/>
                <w:highlight w:val="none"/>
              </w:rPr>
            </w:pPr>
            <w:r>
              <w:rPr>
                <w:rFonts w:hint="eastAsia" w:cs="Times New Roman"/>
                <w:b/>
                <w:color w:val="auto"/>
                <w:sz w:val="24"/>
                <w:szCs w:val="24"/>
                <w:highlight w:val="none"/>
                <w:lang w:val="en-US" w:eastAsia="zh-CN"/>
              </w:rPr>
              <w:t>7</w:t>
            </w:r>
            <w:r>
              <w:rPr>
                <w:rFonts w:hint="default" w:ascii="Times New Roman" w:hAnsi="Times New Roman" w:eastAsia="宋体" w:cs="Times New Roman"/>
                <w:b/>
                <w:color w:val="auto"/>
                <w:sz w:val="24"/>
                <w:szCs w:val="24"/>
                <w:highlight w:val="none"/>
                <w:lang w:val="en-US" w:eastAsia="zh-CN"/>
              </w:rPr>
              <w:t>、</w:t>
            </w:r>
            <w:r>
              <w:rPr>
                <w:rFonts w:hint="default" w:ascii="Times New Roman" w:hAnsi="Times New Roman" w:eastAsia="宋体" w:cs="Times New Roman"/>
                <w:b/>
                <w:color w:val="auto"/>
                <w:sz w:val="24"/>
                <w:szCs w:val="24"/>
                <w:highlight w:val="none"/>
              </w:rPr>
              <w:t>环境风险评价</w:t>
            </w:r>
          </w:p>
          <w:p w14:paraId="0647798C">
            <w:pPr>
              <w:spacing w:line="360" w:lineRule="auto"/>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风险评价的目的是分析和预测建设项目存在的潜在危险、有害因素，建设项目建设和运行期间可能发生的突发性事件或事故（一般不包括人为破坏及自然灾害），引起有毒有害和易燃易爆等物质泄漏，所造成的人身安全与环境影响和损害程度，提出合理可行的防范、应急与减缓措施，以使建设项目事故率、损失和环境影响达到可接受水平。</w:t>
            </w:r>
          </w:p>
          <w:p w14:paraId="6B5903AE">
            <w:pPr>
              <w:spacing w:line="360" w:lineRule="auto"/>
              <w:rPr>
                <w:rFonts w:hint="default" w:ascii="Times New Roman" w:hAnsi="Times New Roman" w:eastAsia="宋体" w:cs="Times New Roman"/>
                <w:b/>
                <w:color w:val="auto"/>
                <w:sz w:val="24"/>
                <w:szCs w:val="24"/>
                <w:highlight w:val="none"/>
              </w:rPr>
            </w:pPr>
            <w:r>
              <w:rPr>
                <w:rFonts w:hint="eastAsia" w:cs="Times New Roman"/>
                <w:b/>
                <w:color w:val="auto"/>
                <w:sz w:val="24"/>
                <w:szCs w:val="24"/>
                <w:highlight w:val="none"/>
                <w:lang w:val="en-US" w:eastAsia="zh-CN"/>
              </w:rPr>
              <w:t>7</w:t>
            </w:r>
            <w:r>
              <w:rPr>
                <w:rFonts w:hint="default" w:ascii="Times New Roman" w:hAnsi="Times New Roman" w:eastAsia="宋体" w:cs="Times New Roman"/>
                <w:b/>
                <w:color w:val="auto"/>
                <w:sz w:val="24"/>
                <w:szCs w:val="24"/>
                <w:highlight w:val="none"/>
              </w:rPr>
              <w:t>.1  评价依据</w:t>
            </w:r>
          </w:p>
          <w:p w14:paraId="453547C0">
            <w:pPr>
              <w:spacing w:line="360" w:lineRule="auto"/>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根据《建设项目环境风险评价技术导则》（HJ 169-2018）中附录B表B.1突发环境事件风险物质及临界量及表B.2其他危险物质临界量推荐值，筛选本项目的工程分析以及生产、加工、运输、使用和贮存过程中涉及的主要危险物质。</w:t>
            </w:r>
          </w:p>
          <w:p w14:paraId="342BCF2B">
            <w:pPr>
              <w:widowControl/>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根据《建设项目环境风险评价技术导则》</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HJ169-2018</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附录B中对危险物质的定义和《企业突发环境事件风险分级方法》（HJ941-2018）参考确定本项目危险物质数量与临界量的比值见</w:t>
            </w:r>
            <w:r>
              <w:rPr>
                <w:rFonts w:hint="eastAsia" w:cs="Times New Roman"/>
                <w:color w:val="auto"/>
                <w:sz w:val="24"/>
                <w:szCs w:val="24"/>
                <w:highlight w:val="none"/>
                <w:lang w:val="en-US" w:eastAsia="zh-CN"/>
              </w:rPr>
              <w:t>下表</w:t>
            </w:r>
            <w:r>
              <w:rPr>
                <w:rFonts w:hint="default" w:ascii="Times New Roman" w:hAnsi="Times New Roman" w:eastAsia="宋体" w:cs="Times New Roman"/>
                <w:color w:val="auto"/>
                <w:sz w:val="24"/>
                <w:szCs w:val="24"/>
                <w:highlight w:val="none"/>
              </w:rPr>
              <w:t>。</w:t>
            </w:r>
          </w:p>
          <w:p w14:paraId="6FFF33BE">
            <w:pPr>
              <w:adjustRightInd w:val="0"/>
              <w:snapToGrid w:val="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表4-2</w:t>
            </w:r>
            <w:r>
              <w:rPr>
                <w:rFonts w:hint="eastAsia"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rPr>
              <w:t xml:space="preserve">  危险物质数量与临界量比值</w:t>
            </w:r>
          </w:p>
          <w:tbl>
            <w:tblPr>
              <w:tblStyle w:val="23"/>
              <w:tblW w:w="0" w:type="auto"/>
              <w:tblInd w:w="-1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744"/>
              <w:gridCol w:w="2133"/>
              <w:gridCol w:w="1785"/>
              <w:gridCol w:w="1381"/>
            </w:tblGrid>
            <w:tr w14:paraId="11082A9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68B312A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
                      <w:bCs w:val="0"/>
                      <w:color w:val="auto"/>
                      <w:sz w:val="21"/>
                      <w:szCs w:val="21"/>
                      <w:highlight w:val="none"/>
                      <w:vertAlign w:val="baseline"/>
                      <w:lang w:val="en-US" w:eastAsia="zh-CN"/>
                    </w:rPr>
                  </w:pPr>
                  <w:r>
                    <w:rPr>
                      <w:rFonts w:hint="default" w:ascii="Times New Roman" w:hAnsi="Times New Roman" w:eastAsia="仿宋" w:cs="Times New Roman"/>
                      <w:b/>
                      <w:bCs w:val="0"/>
                      <w:color w:val="auto"/>
                      <w:sz w:val="21"/>
                      <w:szCs w:val="21"/>
                      <w:highlight w:val="none"/>
                      <w:vertAlign w:val="baseline"/>
                      <w:lang w:val="en-US" w:eastAsia="zh-CN"/>
                    </w:rPr>
                    <w:t>序号</w:t>
                  </w:r>
                </w:p>
              </w:tc>
              <w:tc>
                <w:tcPr>
                  <w:tcW w:w="1744" w:type="dxa"/>
                  <w:vAlign w:val="center"/>
                </w:tcPr>
                <w:p w14:paraId="53798D2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
                      <w:bCs w:val="0"/>
                      <w:color w:val="auto"/>
                      <w:sz w:val="21"/>
                      <w:szCs w:val="21"/>
                      <w:highlight w:val="none"/>
                      <w:vertAlign w:val="baseline"/>
                      <w:lang w:val="en-US" w:eastAsia="zh-CN"/>
                    </w:rPr>
                  </w:pPr>
                  <w:r>
                    <w:rPr>
                      <w:rFonts w:hint="default" w:ascii="Times New Roman" w:hAnsi="Times New Roman" w:eastAsia="仿宋" w:cs="Times New Roman"/>
                      <w:b/>
                      <w:bCs w:val="0"/>
                      <w:color w:val="auto"/>
                      <w:sz w:val="21"/>
                      <w:szCs w:val="21"/>
                      <w:highlight w:val="none"/>
                      <w:vertAlign w:val="baseline"/>
                      <w:lang w:val="en-US" w:eastAsia="zh-CN"/>
                    </w:rPr>
                    <w:t>物质名称</w:t>
                  </w:r>
                </w:p>
              </w:tc>
              <w:tc>
                <w:tcPr>
                  <w:tcW w:w="2133" w:type="dxa"/>
                  <w:vAlign w:val="center"/>
                </w:tcPr>
                <w:p w14:paraId="4D32435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b/>
                      <w:bCs w:val="0"/>
                      <w:color w:val="auto"/>
                      <w:sz w:val="21"/>
                      <w:szCs w:val="21"/>
                      <w:highlight w:val="none"/>
                      <w:vertAlign w:val="baseline"/>
                      <w:lang w:eastAsia="zh-CN"/>
                    </w:rPr>
                  </w:pPr>
                  <w:r>
                    <w:rPr>
                      <w:rFonts w:hint="default" w:ascii="Times New Roman" w:hAnsi="Times New Roman" w:eastAsia="仿宋" w:cs="Times New Roman"/>
                      <w:b/>
                      <w:color w:val="auto"/>
                      <w:sz w:val="21"/>
                      <w:szCs w:val="21"/>
                      <w:highlight w:val="none"/>
                    </w:rPr>
                    <w:t>标准临界量Qi</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lang w:val="en-US" w:eastAsia="zh-CN"/>
                    </w:rPr>
                    <w:t>t</w:t>
                  </w:r>
                  <w:r>
                    <w:rPr>
                      <w:rFonts w:hint="default" w:ascii="Times New Roman" w:hAnsi="Times New Roman" w:eastAsia="仿宋" w:cs="Times New Roman"/>
                      <w:b/>
                      <w:color w:val="auto"/>
                      <w:sz w:val="21"/>
                      <w:szCs w:val="21"/>
                      <w:highlight w:val="none"/>
                      <w:lang w:eastAsia="zh-CN"/>
                    </w:rPr>
                    <w:t>）</w:t>
                  </w:r>
                </w:p>
              </w:tc>
              <w:tc>
                <w:tcPr>
                  <w:tcW w:w="1785" w:type="dxa"/>
                  <w:vAlign w:val="center"/>
                </w:tcPr>
                <w:p w14:paraId="44E2E20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b/>
                      <w:bCs w:val="0"/>
                      <w:color w:val="auto"/>
                      <w:sz w:val="21"/>
                      <w:szCs w:val="21"/>
                      <w:highlight w:val="none"/>
                      <w:vertAlign w:val="baseline"/>
                      <w:lang w:val="en-US" w:eastAsia="zh-CN"/>
                    </w:rPr>
                  </w:pPr>
                  <w:r>
                    <w:rPr>
                      <w:rFonts w:hint="default" w:ascii="Times New Roman" w:hAnsi="Times New Roman" w:eastAsia="仿宋" w:cs="Times New Roman"/>
                      <w:b/>
                      <w:color w:val="auto"/>
                      <w:sz w:val="21"/>
                      <w:szCs w:val="21"/>
                      <w:highlight w:val="none"/>
                    </w:rPr>
                    <w:t>最大储存量</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lang w:val="en-US" w:eastAsia="zh-CN"/>
                    </w:rPr>
                    <w:t>含在线量</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rPr>
                    <w:t>qi</w:t>
                  </w:r>
                  <w:r>
                    <w:rPr>
                      <w:rFonts w:hint="default" w:ascii="Times New Roman" w:hAnsi="Times New Roman" w:eastAsia="仿宋" w:cs="Times New Roman"/>
                      <w:b/>
                      <w:color w:val="auto"/>
                      <w:sz w:val="21"/>
                      <w:szCs w:val="21"/>
                      <w:highlight w:val="none"/>
                      <w:lang w:eastAsia="zh-CN"/>
                    </w:rPr>
                    <w:t>（</w:t>
                  </w:r>
                  <w:r>
                    <w:rPr>
                      <w:rFonts w:hint="default" w:ascii="Times New Roman" w:hAnsi="Times New Roman" w:eastAsia="仿宋" w:cs="Times New Roman"/>
                      <w:b/>
                      <w:color w:val="auto"/>
                      <w:sz w:val="21"/>
                      <w:szCs w:val="21"/>
                      <w:highlight w:val="none"/>
                      <w:lang w:val="en-US" w:eastAsia="zh-CN"/>
                    </w:rPr>
                    <w:t>t</w:t>
                  </w:r>
                  <w:r>
                    <w:rPr>
                      <w:rFonts w:hint="default" w:ascii="Times New Roman" w:hAnsi="Times New Roman" w:eastAsia="仿宋" w:cs="Times New Roman"/>
                      <w:b/>
                      <w:color w:val="auto"/>
                      <w:sz w:val="21"/>
                      <w:szCs w:val="21"/>
                      <w:highlight w:val="none"/>
                      <w:lang w:eastAsia="zh-CN"/>
                    </w:rPr>
                    <w:t>）</w:t>
                  </w:r>
                </w:p>
              </w:tc>
              <w:tc>
                <w:tcPr>
                  <w:tcW w:w="1381" w:type="dxa"/>
                  <w:vAlign w:val="center"/>
                </w:tcPr>
                <w:p w14:paraId="2F2B710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b/>
                      <w:bCs w:val="0"/>
                      <w:color w:val="auto"/>
                      <w:sz w:val="21"/>
                      <w:szCs w:val="21"/>
                      <w:highlight w:val="none"/>
                      <w:vertAlign w:val="baseline"/>
                    </w:rPr>
                  </w:pPr>
                  <w:r>
                    <w:rPr>
                      <w:rFonts w:hint="default" w:ascii="Times New Roman" w:hAnsi="Times New Roman" w:eastAsia="仿宋" w:cs="Times New Roman"/>
                      <w:b/>
                      <w:color w:val="auto"/>
                      <w:sz w:val="21"/>
                      <w:szCs w:val="21"/>
                      <w:highlight w:val="none"/>
                    </w:rPr>
                    <w:t>qi/Qi</w:t>
                  </w:r>
                </w:p>
              </w:tc>
            </w:tr>
            <w:tr w14:paraId="1B1F437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18D1932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仿宋" w:cs="Times New Roman"/>
                      <w:bCs/>
                      <w:color w:val="auto"/>
                      <w:sz w:val="21"/>
                      <w:szCs w:val="21"/>
                      <w:highlight w:val="none"/>
                      <w:vertAlign w:val="baseline"/>
                      <w:lang w:val="en-US" w:eastAsia="zh-CN"/>
                    </w:rPr>
                    <w:t>1</w:t>
                  </w:r>
                </w:p>
              </w:tc>
              <w:tc>
                <w:tcPr>
                  <w:tcW w:w="1744" w:type="dxa"/>
                  <w:vAlign w:val="center"/>
                </w:tcPr>
                <w:p w14:paraId="4E5405C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切削液</w:t>
                  </w:r>
                </w:p>
              </w:tc>
              <w:tc>
                <w:tcPr>
                  <w:tcW w:w="2133" w:type="dxa"/>
                  <w:vAlign w:val="center"/>
                </w:tcPr>
                <w:p w14:paraId="2C459EE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仿宋" w:cs="Times New Roman"/>
                      <w:bCs/>
                      <w:color w:val="auto"/>
                      <w:sz w:val="21"/>
                      <w:szCs w:val="21"/>
                      <w:highlight w:val="none"/>
                      <w:vertAlign w:val="baseline"/>
                      <w:lang w:val="en-US" w:eastAsia="zh-CN"/>
                    </w:rPr>
                    <w:t>2500</w:t>
                  </w:r>
                </w:p>
              </w:tc>
              <w:tc>
                <w:tcPr>
                  <w:tcW w:w="1785" w:type="dxa"/>
                  <w:vAlign w:val="center"/>
                </w:tcPr>
                <w:p w14:paraId="09187FA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0.4</w:t>
                  </w:r>
                </w:p>
              </w:tc>
              <w:tc>
                <w:tcPr>
                  <w:tcW w:w="1381" w:type="dxa"/>
                  <w:vAlign w:val="center"/>
                </w:tcPr>
                <w:p w14:paraId="4C120725">
                  <w:pPr>
                    <w:keepNext w:val="0"/>
                    <w:keepLines w:val="0"/>
                    <w:widowControl/>
                    <w:suppressLineNumbers w:val="0"/>
                    <w:jc w:val="center"/>
                    <w:textAlignment w:val="center"/>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0.00016</w:t>
                  </w:r>
                </w:p>
              </w:tc>
            </w:tr>
            <w:tr w14:paraId="0CA1764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76EFFA2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2</w:t>
                  </w:r>
                </w:p>
              </w:tc>
              <w:tc>
                <w:tcPr>
                  <w:tcW w:w="1744" w:type="dxa"/>
                  <w:vAlign w:val="center"/>
                </w:tcPr>
                <w:p w14:paraId="20E011D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液压油</w:t>
                  </w:r>
                </w:p>
              </w:tc>
              <w:tc>
                <w:tcPr>
                  <w:tcW w:w="2133" w:type="dxa"/>
                  <w:vAlign w:val="center"/>
                </w:tcPr>
                <w:p w14:paraId="06F2577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250</w:t>
                  </w:r>
                  <w:r>
                    <w:rPr>
                      <w:rFonts w:hint="default" w:ascii="Times New Roman" w:hAnsi="Times New Roman" w:eastAsia="仿宋" w:cs="Times New Roman"/>
                      <w:bCs/>
                      <w:color w:val="auto"/>
                      <w:sz w:val="21"/>
                      <w:szCs w:val="21"/>
                      <w:highlight w:val="none"/>
                      <w:vertAlign w:val="baseline"/>
                      <w:lang w:val="en-US" w:eastAsia="zh-CN"/>
                    </w:rPr>
                    <w:t>0</w:t>
                  </w:r>
                </w:p>
              </w:tc>
              <w:tc>
                <w:tcPr>
                  <w:tcW w:w="1785" w:type="dxa"/>
                  <w:vAlign w:val="center"/>
                </w:tcPr>
                <w:p w14:paraId="1B34F2D1">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仿宋" w:cs="Times New Roman"/>
                      <w:bCs/>
                      <w:color w:val="auto"/>
                      <w:sz w:val="21"/>
                      <w:szCs w:val="21"/>
                      <w:highlight w:val="none"/>
                      <w:vertAlign w:val="baseline"/>
                      <w:lang w:val="en-US" w:eastAsia="zh-CN"/>
                    </w:rPr>
                    <w:t>0.0</w:t>
                  </w:r>
                  <w:r>
                    <w:rPr>
                      <w:rFonts w:hint="eastAsia" w:eastAsia="仿宋" w:cs="Times New Roman"/>
                      <w:bCs/>
                      <w:color w:val="auto"/>
                      <w:sz w:val="21"/>
                      <w:szCs w:val="21"/>
                      <w:highlight w:val="none"/>
                      <w:vertAlign w:val="baseline"/>
                      <w:lang w:val="en-US" w:eastAsia="zh-CN"/>
                    </w:rPr>
                    <w:t>5</w:t>
                  </w:r>
                </w:p>
              </w:tc>
              <w:tc>
                <w:tcPr>
                  <w:tcW w:w="1381" w:type="dxa"/>
                  <w:vAlign w:val="center"/>
                </w:tcPr>
                <w:p w14:paraId="4E10B7DF">
                  <w:pPr>
                    <w:keepNext w:val="0"/>
                    <w:keepLines w:val="0"/>
                    <w:widowControl/>
                    <w:suppressLineNumbers w:val="0"/>
                    <w:jc w:val="center"/>
                    <w:textAlignment w:val="center"/>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0.00002</w:t>
                  </w:r>
                </w:p>
              </w:tc>
            </w:tr>
            <w:tr w14:paraId="2239F75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7903E4C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3</w:t>
                  </w:r>
                </w:p>
              </w:tc>
              <w:tc>
                <w:tcPr>
                  <w:tcW w:w="1744" w:type="dxa"/>
                  <w:shd w:val="clear" w:color="auto" w:fill="auto"/>
                  <w:vAlign w:val="center"/>
                </w:tcPr>
                <w:p w14:paraId="337E433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kern w:val="2"/>
                      <w:sz w:val="21"/>
                      <w:szCs w:val="21"/>
                      <w:highlight w:val="none"/>
                      <w:vertAlign w:val="baseline"/>
                      <w:lang w:val="en-US" w:eastAsia="zh-CN" w:bidi="ar-SA"/>
                    </w:rPr>
                  </w:pPr>
                  <w:r>
                    <w:rPr>
                      <w:rFonts w:hint="eastAsia" w:ascii="Times New Roman" w:hAnsi="Times New Roman" w:eastAsia="仿宋" w:cs="Times New Roman"/>
                      <w:color w:val="auto"/>
                      <w:sz w:val="21"/>
                      <w:szCs w:val="21"/>
                      <w:highlight w:val="none"/>
                      <w:lang w:val="en-US" w:eastAsia="zh-CN"/>
                    </w:rPr>
                    <w:t>废切削液</w:t>
                  </w:r>
                </w:p>
              </w:tc>
              <w:tc>
                <w:tcPr>
                  <w:tcW w:w="2133" w:type="dxa"/>
                  <w:shd w:val="clear" w:color="auto" w:fill="auto"/>
                  <w:vAlign w:val="center"/>
                </w:tcPr>
                <w:p w14:paraId="194B028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kern w:val="2"/>
                      <w:sz w:val="21"/>
                      <w:szCs w:val="21"/>
                      <w:highlight w:val="none"/>
                      <w:vertAlign w:val="baseline"/>
                      <w:lang w:val="en-US" w:eastAsia="zh-CN" w:bidi="ar-SA"/>
                    </w:rPr>
                  </w:pPr>
                  <w:r>
                    <w:rPr>
                      <w:rFonts w:hint="eastAsia" w:eastAsia="仿宋" w:cs="Times New Roman"/>
                      <w:bCs/>
                      <w:color w:val="auto"/>
                      <w:sz w:val="21"/>
                      <w:szCs w:val="21"/>
                      <w:highlight w:val="none"/>
                      <w:vertAlign w:val="baseline"/>
                      <w:lang w:val="en-US" w:eastAsia="zh-CN"/>
                    </w:rPr>
                    <w:t>2500</w:t>
                  </w:r>
                </w:p>
              </w:tc>
              <w:tc>
                <w:tcPr>
                  <w:tcW w:w="1785" w:type="dxa"/>
                  <w:shd w:val="clear" w:color="auto" w:fill="auto"/>
                  <w:vAlign w:val="center"/>
                </w:tcPr>
                <w:p w14:paraId="6F7EB9D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kern w:val="2"/>
                      <w:sz w:val="21"/>
                      <w:szCs w:val="21"/>
                      <w:highlight w:val="none"/>
                      <w:vertAlign w:val="baseline"/>
                      <w:lang w:val="en-US" w:eastAsia="zh-CN" w:bidi="ar-SA"/>
                    </w:rPr>
                  </w:pPr>
                  <w:r>
                    <w:rPr>
                      <w:rFonts w:hint="eastAsia" w:eastAsia="仿宋" w:cs="Times New Roman"/>
                      <w:bCs/>
                      <w:color w:val="auto"/>
                      <w:kern w:val="2"/>
                      <w:sz w:val="21"/>
                      <w:szCs w:val="21"/>
                      <w:highlight w:val="none"/>
                      <w:vertAlign w:val="baseline"/>
                      <w:lang w:val="en-US" w:eastAsia="zh-CN" w:bidi="ar-SA"/>
                    </w:rPr>
                    <w:t>5</w:t>
                  </w:r>
                </w:p>
              </w:tc>
              <w:tc>
                <w:tcPr>
                  <w:tcW w:w="1381" w:type="dxa"/>
                  <w:shd w:val="clear" w:color="auto" w:fill="auto"/>
                  <w:vAlign w:val="center"/>
                </w:tcPr>
                <w:p w14:paraId="0CE9259C">
                  <w:pPr>
                    <w:keepNext w:val="0"/>
                    <w:keepLines w:val="0"/>
                    <w:widowControl/>
                    <w:suppressLineNumbers w:val="0"/>
                    <w:jc w:val="center"/>
                    <w:textAlignment w:val="center"/>
                    <w:rPr>
                      <w:rFonts w:hint="default" w:ascii="Times New Roman" w:hAnsi="Times New Roman" w:eastAsia="仿宋" w:cs="Times New Roman"/>
                      <w:bCs/>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0.00</w:t>
                  </w:r>
                  <w:r>
                    <w:rPr>
                      <w:rFonts w:hint="eastAsia" w:cs="Times New Roman"/>
                      <w:i w:val="0"/>
                      <w:iCs w:val="0"/>
                      <w:color w:val="000000"/>
                      <w:kern w:val="0"/>
                      <w:sz w:val="21"/>
                      <w:szCs w:val="21"/>
                      <w:highlight w:val="none"/>
                      <w:u w:val="none"/>
                      <w:lang w:val="en-US" w:eastAsia="zh-CN" w:bidi="ar"/>
                    </w:rPr>
                    <w:t>2</w:t>
                  </w:r>
                </w:p>
              </w:tc>
            </w:tr>
            <w:tr w14:paraId="4FD2142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7AB2FCE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4</w:t>
                  </w:r>
                </w:p>
              </w:tc>
              <w:tc>
                <w:tcPr>
                  <w:tcW w:w="1744" w:type="dxa"/>
                  <w:vAlign w:val="center"/>
                </w:tcPr>
                <w:p w14:paraId="2442680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仿宋" w:cs="Times New Roman"/>
                      <w:bCs/>
                      <w:color w:val="auto"/>
                      <w:sz w:val="21"/>
                      <w:szCs w:val="21"/>
                      <w:highlight w:val="none"/>
                      <w:vertAlign w:val="baseline"/>
                      <w:lang w:val="en-US" w:eastAsia="zh-CN"/>
                    </w:rPr>
                    <w:t>废</w:t>
                  </w:r>
                  <w:r>
                    <w:rPr>
                      <w:rFonts w:hint="eastAsia" w:eastAsia="仿宋" w:cs="Times New Roman"/>
                      <w:bCs/>
                      <w:color w:val="auto"/>
                      <w:sz w:val="21"/>
                      <w:szCs w:val="21"/>
                      <w:highlight w:val="none"/>
                      <w:vertAlign w:val="baseline"/>
                      <w:lang w:val="en-US" w:eastAsia="zh-CN"/>
                    </w:rPr>
                    <w:t>液压油</w:t>
                  </w:r>
                </w:p>
              </w:tc>
              <w:tc>
                <w:tcPr>
                  <w:tcW w:w="2133" w:type="dxa"/>
                  <w:vAlign w:val="center"/>
                </w:tcPr>
                <w:p w14:paraId="1D8614E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仿宋" w:cs="Times New Roman"/>
                      <w:bCs/>
                      <w:color w:val="auto"/>
                      <w:sz w:val="21"/>
                      <w:szCs w:val="21"/>
                      <w:highlight w:val="none"/>
                      <w:vertAlign w:val="baseline"/>
                      <w:lang w:val="en-US" w:eastAsia="zh-CN"/>
                    </w:rPr>
                    <w:t>2500</w:t>
                  </w:r>
                </w:p>
              </w:tc>
              <w:tc>
                <w:tcPr>
                  <w:tcW w:w="1785" w:type="dxa"/>
                  <w:vAlign w:val="center"/>
                </w:tcPr>
                <w:p w14:paraId="745DC91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eastAsia" w:eastAsia="仿宋" w:cs="Times New Roman"/>
                      <w:bCs/>
                      <w:color w:val="auto"/>
                      <w:sz w:val="21"/>
                      <w:szCs w:val="21"/>
                      <w:highlight w:val="none"/>
                      <w:vertAlign w:val="baseline"/>
                      <w:lang w:val="en-US" w:eastAsia="zh-CN"/>
                    </w:rPr>
                    <w:t>0.136</w:t>
                  </w:r>
                </w:p>
              </w:tc>
              <w:tc>
                <w:tcPr>
                  <w:tcW w:w="1381" w:type="dxa"/>
                  <w:vAlign w:val="center"/>
                </w:tcPr>
                <w:p w14:paraId="77F3AF4E">
                  <w:pPr>
                    <w:keepNext w:val="0"/>
                    <w:keepLines w:val="0"/>
                    <w:widowControl/>
                    <w:suppressLineNumbers w:val="0"/>
                    <w:jc w:val="center"/>
                    <w:textAlignment w:val="center"/>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0.0000544</w:t>
                  </w:r>
                </w:p>
              </w:tc>
            </w:tr>
            <w:tr w14:paraId="25D17A4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6526" w:type="dxa"/>
                  <w:gridSpan w:val="4"/>
                  <w:vAlign w:val="center"/>
                </w:tcPr>
                <w:p w14:paraId="4A7D616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仿宋" w:cs="Times New Roman"/>
                      <w:bCs/>
                      <w:color w:val="auto"/>
                      <w:sz w:val="21"/>
                      <w:szCs w:val="21"/>
                      <w:highlight w:val="none"/>
                      <w:vertAlign w:val="baseline"/>
                      <w:lang w:val="en-US" w:eastAsia="zh-CN"/>
                    </w:rPr>
                    <w:t>合计</w:t>
                  </w:r>
                </w:p>
              </w:tc>
              <w:tc>
                <w:tcPr>
                  <w:tcW w:w="1381" w:type="dxa"/>
                  <w:vAlign w:val="center"/>
                </w:tcPr>
                <w:p w14:paraId="4F861342">
                  <w:pPr>
                    <w:keepNext w:val="0"/>
                    <w:keepLines w:val="0"/>
                    <w:widowControl/>
                    <w:suppressLineNumbers w:val="0"/>
                    <w:jc w:val="center"/>
                    <w:textAlignment w:val="center"/>
                    <w:rPr>
                      <w:rFonts w:hint="default" w:ascii="Times New Roman" w:hAnsi="Times New Roman" w:eastAsia="仿宋" w:cs="Times New Roman"/>
                      <w:bCs/>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0.0022344</w:t>
                  </w:r>
                </w:p>
              </w:tc>
            </w:tr>
          </w:tbl>
          <w:p w14:paraId="2B3032EB">
            <w:pPr>
              <w:spacing w:line="360" w:lineRule="auto"/>
              <w:ind w:firstLine="480" w:firstLineChars="200"/>
              <w:rPr>
                <w:bCs/>
                <w:color w:val="auto"/>
                <w:szCs w:val="21"/>
                <w:highlight w:val="none"/>
              </w:rPr>
            </w:pPr>
            <w:r>
              <w:rPr>
                <w:rFonts w:hint="eastAsia"/>
                <w:bCs/>
                <w:color w:val="auto"/>
                <w:sz w:val="24"/>
                <w:szCs w:val="24"/>
                <w:highlight w:val="none"/>
              </w:rPr>
              <w:t>由</w:t>
            </w:r>
            <w:r>
              <w:rPr>
                <w:rFonts w:hint="eastAsia"/>
                <w:bCs/>
                <w:color w:val="auto"/>
                <w:sz w:val="24"/>
                <w:szCs w:val="24"/>
                <w:highlight w:val="none"/>
                <w:lang w:val="en-US" w:eastAsia="zh-CN"/>
              </w:rPr>
              <w:t>上表</w:t>
            </w:r>
            <w:r>
              <w:rPr>
                <w:rFonts w:hint="eastAsia"/>
                <w:bCs/>
                <w:color w:val="auto"/>
                <w:sz w:val="24"/>
                <w:szCs w:val="24"/>
                <w:highlight w:val="none"/>
              </w:rPr>
              <w:t>可知，本项目</w:t>
            </w:r>
            <w:r>
              <w:rPr>
                <w:bCs/>
                <w:color w:val="auto"/>
                <w:sz w:val="24"/>
                <w:szCs w:val="24"/>
                <w:highlight w:val="none"/>
              </w:rPr>
              <w:t>Q</w:t>
            </w:r>
            <w:r>
              <w:rPr>
                <w:rFonts w:hint="eastAsia"/>
                <w:bCs/>
                <w:color w:val="auto"/>
                <w:sz w:val="24"/>
                <w:szCs w:val="24"/>
                <w:highlight w:val="none"/>
              </w:rPr>
              <w:t>＜</w:t>
            </w:r>
            <w:r>
              <w:rPr>
                <w:bCs/>
                <w:color w:val="auto"/>
                <w:sz w:val="24"/>
                <w:szCs w:val="24"/>
                <w:highlight w:val="none"/>
              </w:rPr>
              <w:t>1</w:t>
            </w:r>
            <w:r>
              <w:rPr>
                <w:rFonts w:hint="eastAsia"/>
                <w:bCs/>
                <w:color w:val="auto"/>
                <w:sz w:val="24"/>
                <w:szCs w:val="24"/>
                <w:highlight w:val="none"/>
                <w:lang w:eastAsia="zh-CN"/>
              </w:rPr>
              <w:t>，</w:t>
            </w:r>
            <w:r>
              <w:rPr>
                <w:rFonts w:hint="default" w:ascii="Times New Roman" w:hAnsi="Times New Roman" w:cs="Times New Roman"/>
                <w:color w:val="auto"/>
                <w:kern w:val="0"/>
                <w:sz w:val="24"/>
                <w:szCs w:val="24"/>
                <w:highlight w:val="none"/>
              </w:rPr>
              <w:t>环境风险潜势为Ⅰ</w:t>
            </w:r>
            <w:r>
              <w:rPr>
                <w:rFonts w:hint="default" w:ascii="Times New Roman" w:hAnsi="Times New Roman" w:cs="Times New Roman"/>
                <w:color w:val="auto"/>
                <w:kern w:val="0"/>
                <w:sz w:val="24"/>
                <w:szCs w:val="24"/>
                <w:highlight w:val="none"/>
                <w:lang w:eastAsia="zh-CN"/>
              </w:rPr>
              <w:t>，可进行简单分析</w:t>
            </w:r>
            <w:r>
              <w:rPr>
                <w:rFonts w:hint="eastAsia"/>
                <w:bCs/>
                <w:color w:val="auto"/>
                <w:sz w:val="24"/>
                <w:szCs w:val="24"/>
                <w:highlight w:val="none"/>
              </w:rPr>
              <w:t>。</w:t>
            </w:r>
          </w:p>
          <w:p w14:paraId="0E66BB27">
            <w:pPr>
              <w:spacing w:line="360" w:lineRule="auto"/>
              <w:rPr>
                <w:rFonts w:hint="default" w:ascii="Times New Roman" w:hAnsi="Times New Roman" w:eastAsia="宋体" w:cs="Times New Roman"/>
                <w:b/>
                <w:color w:val="auto"/>
                <w:sz w:val="24"/>
                <w:szCs w:val="24"/>
                <w:highlight w:val="none"/>
              </w:rPr>
            </w:pPr>
            <w:r>
              <w:rPr>
                <w:rFonts w:hint="eastAsia" w:cs="Times New Roman"/>
                <w:b/>
                <w:color w:val="auto"/>
                <w:sz w:val="24"/>
                <w:szCs w:val="24"/>
                <w:highlight w:val="none"/>
                <w:lang w:val="en-US" w:eastAsia="zh-CN"/>
              </w:rPr>
              <w:t>7</w:t>
            </w:r>
            <w:r>
              <w:rPr>
                <w:rFonts w:hint="default" w:ascii="Times New Roman" w:hAnsi="Times New Roman" w:eastAsia="宋体" w:cs="Times New Roman"/>
                <w:b/>
                <w:color w:val="auto"/>
                <w:sz w:val="24"/>
                <w:szCs w:val="24"/>
                <w:highlight w:val="none"/>
              </w:rPr>
              <w:t>.2  环境风险识别</w:t>
            </w:r>
          </w:p>
          <w:p w14:paraId="67F97EE7">
            <w:pPr>
              <w:widowControl/>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本项目环境风险类型、危险物质向环境转移的可能途径和影响方式见下表。</w:t>
            </w:r>
          </w:p>
          <w:p w14:paraId="3F23C259">
            <w:pPr>
              <w:adjustRightInd w:val="0"/>
              <w:snapToGrid w:val="0"/>
              <w:jc w:val="center"/>
              <w:rPr>
                <w:rFonts w:hint="eastAsia"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表4-2</w:t>
            </w:r>
            <w:r>
              <w:rPr>
                <w:rFonts w:hint="eastAsia" w:cs="Times New Roman"/>
                <w:b/>
                <w:bCs/>
                <w:color w:val="auto"/>
                <w:sz w:val="24"/>
                <w:szCs w:val="24"/>
                <w:highlight w:val="none"/>
                <w:lang w:val="en-US" w:eastAsia="zh-CN"/>
              </w:rPr>
              <w:t>9</w:t>
            </w:r>
            <w:r>
              <w:rPr>
                <w:rFonts w:hint="eastAsia" w:ascii="Times New Roman" w:hAnsi="Times New Roman" w:eastAsia="宋体" w:cs="Times New Roman"/>
                <w:b/>
                <w:bCs/>
                <w:color w:val="auto"/>
                <w:sz w:val="24"/>
                <w:szCs w:val="24"/>
                <w:highlight w:val="none"/>
              </w:rPr>
              <w:t xml:space="preserve">   环境风险类型、转移途径和影响方式</w:t>
            </w:r>
          </w:p>
          <w:tbl>
            <w:tblPr>
              <w:tblStyle w:val="23"/>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315"/>
              <w:gridCol w:w="1375"/>
              <w:gridCol w:w="2042"/>
              <w:gridCol w:w="985"/>
              <w:gridCol w:w="1518"/>
            </w:tblGrid>
            <w:tr w14:paraId="6C62B0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pct"/>
                  <w:tcBorders>
                    <w:tl2br w:val="nil"/>
                    <w:tr2bl w:val="nil"/>
                  </w:tcBorders>
                  <w:vAlign w:val="center"/>
                </w:tcPr>
                <w:p w14:paraId="1CEFCE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风险单元</w:t>
                  </w:r>
                </w:p>
              </w:tc>
              <w:tc>
                <w:tcPr>
                  <w:tcW w:w="828" w:type="pct"/>
                  <w:tcBorders>
                    <w:tl2br w:val="nil"/>
                    <w:tr2bl w:val="nil"/>
                  </w:tcBorders>
                  <w:vAlign w:val="center"/>
                </w:tcPr>
                <w:p w14:paraId="5E4099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风险源</w:t>
                  </w:r>
                </w:p>
              </w:tc>
              <w:tc>
                <w:tcPr>
                  <w:tcW w:w="865" w:type="pct"/>
                  <w:tcBorders>
                    <w:tl2br w:val="nil"/>
                    <w:tr2bl w:val="nil"/>
                  </w:tcBorders>
                  <w:vAlign w:val="center"/>
                </w:tcPr>
                <w:p w14:paraId="3F2E85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主要</w:t>
                  </w:r>
                  <w:r>
                    <w:rPr>
                      <w:rFonts w:hint="eastAsia" w:eastAsia="仿宋" w:cs="Times New Roman"/>
                      <w:b/>
                      <w:bCs/>
                      <w:color w:val="auto"/>
                      <w:sz w:val="21"/>
                      <w:szCs w:val="21"/>
                      <w:highlight w:val="none"/>
                      <w:lang w:val="en-US" w:eastAsia="zh-CN"/>
                    </w:rPr>
                    <w:t>风险</w:t>
                  </w:r>
                  <w:r>
                    <w:rPr>
                      <w:rFonts w:hint="default" w:ascii="Times New Roman" w:hAnsi="Times New Roman" w:eastAsia="仿宋" w:cs="Times New Roman"/>
                      <w:b/>
                      <w:bCs/>
                      <w:color w:val="auto"/>
                      <w:sz w:val="21"/>
                      <w:szCs w:val="21"/>
                      <w:highlight w:val="none"/>
                    </w:rPr>
                    <w:t>物质</w:t>
                  </w:r>
                </w:p>
              </w:tc>
              <w:tc>
                <w:tcPr>
                  <w:tcW w:w="1285" w:type="pct"/>
                  <w:tcBorders>
                    <w:tl2br w:val="nil"/>
                    <w:tr2bl w:val="nil"/>
                  </w:tcBorders>
                  <w:vAlign w:val="center"/>
                </w:tcPr>
                <w:p w14:paraId="1F0B20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环境风险类型</w:t>
                  </w:r>
                </w:p>
              </w:tc>
              <w:tc>
                <w:tcPr>
                  <w:tcW w:w="620" w:type="pct"/>
                  <w:tcBorders>
                    <w:tl2br w:val="nil"/>
                    <w:tr2bl w:val="nil"/>
                  </w:tcBorders>
                  <w:vAlign w:val="center"/>
                </w:tcPr>
                <w:p w14:paraId="7C5188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环境影响途径</w:t>
                  </w:r>
                </w:p>
              </w:tc>
              <w:tc>
                <w:tcPr>
                  <w:tcW w:w="955" w:type="pct"/>
                  <w:tcBorders>
                    <w:tl2br w:val="nil"/>
                    <w:tr2bl w:val="nil"/>
                  </w:tcBorders>
                  <w:vAlign w:val="center"/>
                </w:tcPr>
                <w:p w14:paraId="4E2C22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可能受影响的环境敏感目标</w:t>
                  </w:r>
                </w:p>
              </w:tc>
            </w:tr>
            <w:tr w14:paraId="3DE7BF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pct"/>
                  <w:vMerge w:val="restart"/>
                  <w:tcBorders>
                    <w:tl2br w:val="nil"/>
                    <w:tr2bl w:val="nil"/>
                  </w:tcBorders>
                  <w:vAlign w:val="center"/>
                </w:tcPr>
                <w:p w14:paraId="73BB3F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本项目</w:t>
                  </w:r>
                </w:p>
              </w:tc>
              <w:tc>
                <w:tcPr>
                  <w:tcW w:w="828" w:type="pct"/>
                  <w:tcBorders>
                    <w:tl2br w:val="nil"/>
                    <w:tr2bl w:val="nil"/>
                  </w:tcBorders>
                  <w:vAlign w:val="center"/>
                </w:tcPr>
                <w:p w14:paraId="6F29CE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生产车间</w:t>
                  </w:r>
                </w:p>
              </w:tc>
              <w:tc>
                <w:tcPr>
                  <w:tcW w:w="865" w:type="pct"/>
                  <w:vMerge w:val="restart"/>
                  <w:tcBorders>
                    <w:tl2br w:val="nil"/>
                    <w:tr2bl w:val="nil"/>
                  </w:tcBorders>
                  <w:vAlign w:val="center"/>
                </w:tcPr>
                <w:p w14:paraId="26072C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切削液、液压油</w:t>
                  </w:r>
                </w:p>
              </w:tc>
              <w:tc>
                <w:tcPr>
                  <w:tcW w:w="1285" w:type="pct"/>
                  <w:vMerge w:val="restart"/>
                  <w:tcBorders>
                    <w:tl2br w:val="nil"/>
                    <w:tr2bl w:val="nil"/>
                  </w:tcBorders>
                  <w:vAlign w:val="center"/>
                </w:tcPr>
                <w:p w14:paraId="0E1421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泄漏</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火灾爆炸</w:t>
                  </w:r>
                  <w:r>
                    <w:rPr>
                      <w:rFonts w:hint="default" w:ascii="Times New Roman" w:hAnsi="Times New Roman" w:eastAsia="仿宋" w:cs="Times New Roman"/>
                      <w:color w:val="auto"/>
                      <w:sz w:val="21"/>
                      <w:szCs w:val="21"/>
                      <w:highlight w:val="none"/>
                    </w:rPr>
                    <w:t>引发次生/伴生污染</w:t>
                  </w:r>
                </w:p>
              </w:tc>
              <w:tc>
                <w:tcPr>
                  <w:tcW w:w="620" w:type="pct"/>
                  <w:vMerge w:val="restart"/>
                  <w:tcBorders>
                    <w:tl2br w:val="nil"/>
                    <w:tr2bl w:val="nil"/>
                  </w:tcBorders>
                  <w:vAlign w:val="center"/>
                </w:tcPr>
                <w:p w14:paraId="0D18A3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扩散，漫流、渗透、吸收</w:t>
                  </w:r>
                </w:p>
              </w:tc>
              <w:tc>
                <w:tcPr>
                  <w:tcW w:w="955" w:type="pct"/>
                  <w:vMerge w:val="restart"/>
                  <w:tcBorders>
                    <w:tl2br w:val="nil"/>
                    <w:tr2bl w:val="nil"/>
                  </w:tcBorders>
                  <w:vAlign w:val="center"/>
                </w:tcPr>
                <w:p w14:paraId="147E43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周边居民，地表水，地下水，土壤</w:t>
                  </w:r>
                </w:p>
              </w:tc>
            </w:tr>
            <w:tr w14:paraId="5043C3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pct"/>
                  <w:vMerge w:val="continue"/>
                  <w:tcBorders>
                    <w:tl2br w:val="nil"/>
                    <w:tr2bl w:val="nil"/>
                  </w:tcBorders>
                  <w:vAlign w:val="center"/>
                </w:tcPr>
                <w:p w14:paraId="395888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828" w:type="pct"/>
                  <w:tcBorders>
                    <w:tl2br w:val="nil"/>
                    <w:tr2bl w:val="nil"/>
                  </w:tcBorders>
                  <w:vAlign w:val="center"/>
                </w:tcPr>
                <w:p w14:paraId="587C4C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物料运输</w:t>
                  </w:r>
                </w:p>
              </w:tc>
              <w:tc>
                <w:tcPr>
                  <w:tcW w:w="865" w:type="pct"/>
                  <w:vMerge w:val="continue"/>
                  <w:tcBorders>
                    <w:tl2br w:val="nil"/>
                    <w:tr2bl w:val="nil"/>
                  </w:tcBorders>
                  <w:vAlign w:val="center"/>
                </w:tcPr>
                <w:p w14:paraId="103023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1285" w:type="pct"/>
                  <w:vMerge w:val="continue"/>
                  <w:tcBorders>
                    <w:tl2br w:val="nil"/>
                    <w:tr2bl w:val="nil"/>
                  </w:tcBorders>
                  <w:vAlign w:val="center"/>
                </w:tcPr>
                <w:p w14:paraId="4103CE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620" w:type="pct"/>
                  <w:vMerge w:val="continue"/>
                  <w:tcBorders>
                    <w:tl2br w:val="nil"/>
                    <w:tr2bl w:val="nil"/>
                  </w:tcBorders>
                  <w:vAlign w:val="center"/>
                </w:tcPr>
                <w:p w14:paraId="35CE0D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955" w:type="pct"/>
                  <w:vMerge w:val="continue"/>
                  <w:tcBorders>
                    <w:tl2br w:val="nil"/>
                    <w:tr2bl w:val="nil"/>
                  </w:tcBorders>
                  <w:vAlign w:val="center"/>
                </w:tcPr>
                <w:p w14:paraId="42EF0E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r>
            <w:tr w14:paraId="17538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pct"/>
                  <w:vMerge w:val="continue"/>
                  <w:tcBorders>
                    <w:tl2br w:val="nil"/>
                    <w:tr2bl w:val="nil"/>
                  </w:tcBorders>
                  <w:vAlign w:val="center"/>
                </w:tcPr>
                <w:p w14:paraId="3E7FAB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828" w:type="pct"/>
                  <w:tcBorders>
                    <w:tl2br w:val="nil"/>
                    <w:tr2bl w:val="nil"/>
                  </w:tcBorders>
                  <w:vAlign w:val="center"/>
                </w:tcPr>
                <w:p w14:paraId="580646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物料装卸</w:t>
                  </w:r>
                </w:p>
              </w:tc>
              <w:tc>
                <w:tcPr>
                  <w:tcW w:w="865" w:type="pct"/>
                  <w:vMerge w:val="continue"/>
                  <w:tcBorders>
                    <w:tl2br w:val="nil"/>
                    <w:tr2bl w:val="nil"/>
                  </w:tcBorders>
                  <w:vAlign w:val="center"/>
                </w:tcPr>
                <w:p w14:paraId="3789BF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1285" w:type="pct"/>
                  <w:vMerge w:val="continue"/>
                  <w:tcBorders>
                    <w:tl2br w:val="nil"/>
                    <w:tr2bl w:val="nil"/>
                  </w:tcBorders>
                  <w:vAlign w:val="center"/>
                </w:tcPr>
                <w:p w14:paraId="7876D9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620" w:type="pct"/>
                  <w:vMerge w:val="continue"/>
                  <w:tcBorders>
                    <w:tl2br w:val="nil"/>
                    <w:tr2bl w:val="nil"/>
                  </w:tcBorders>
                  <w:vAlign w:val="center"/>
                </w:tcPr>
                <w:p w14:paraId="568C03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955" w:type="pct"/>
                  <w:vMerge w:val="continue"/>
                  <w:tcBorders>
                    <w:tl2br w:val="nil"/>
                    <w:tr2bl w:val="nil"/>
                  </w:tcBorders>
                  <w:vAlign w:val="center"/>
                </w:tcPr>
                <w:p w14:paraId="0F9A3F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r>
            <w:tr w14:paraId="453126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pct"/>
                  <w:vMerge w:val="continue"/>
                  <w:tcBorders>
                    <w:tl2br w:val="nil"/>
                    <w:tr2bl w:val="nil"/>
                  </w:tcBorders>
                  <w:vAlign w:val="center"/>
                </w:tcPr>
                <w:p w14:paraId="27555C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828" w:type="pct"/>
                  <w:tcBorders>
                    <w:tl2br w:val="nil"/>
                    <w:tr2bl w:val="nil"/>
                  </w:tcBorders>
                  <w:vAlign w:val="center"/>
                </w:tcPr>
                <w:p w14:paraId="1A1440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仿宋" w:cs="Times New Roman"/>
                      <w:color w:val="auto"/>
                      <w:sz w:val="21"/>
                      <w:szCs w:val="21"/>
                      <w:highlight w:val="none"/>
                      <w:lang w:eastAsia="zh-CN"/>
                    </w:rPr>
                  </w:pPr>
                  <w:r>
                    <w:rPr>
                      <w:rFonts w:hint="eastAsia" w:eastAsia="仿宋" w:cs="Times New Roman"/>
                      <w:color w:val="auto"/>
                      <w:sz w:val="21"/>
                      <w:szCs w:val="21"/>
                      <w:highlight w:val="none"/>
                      <w:lang w:val="en-US" w:eastAsia="zh-CN"/>
                    </w:rPr>
                    <w:t>化学品仓库</w:t>
                  </w:r>
                </w:p>
              </w:tc>
              <w:tc>
                <w:tcPr>
                  <w:tcW w:w="865" w:type="pct"/>
                  <w:vMerge w:val="continue"/>
                  <w:tcBorders>
                    <w:tl2br w:val="nil"/>
                    <w:tr2bl w:val="nil"/>
                  </w:tcBorders>
                  <w:vAlign w:val="center"/>
                </w:tcPr>
                <w:p w14:paraId="6BE7F3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1285" w:type="pct"/>
                  <w:vMerge w:val="continue"/>
                  <w:tcBorders>
                    <w:tl2br w:val="nil"/>
                    <w:tr2bl w:val="nil"/>
                  </w:tcBorders>
                  <w:vAlign w:val="center"/>
                </w:tcPr>
                <w:p w14:paraId="666455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620" w:type="pct"/>
                  <w:vMerge w:val="continue"/>
                  <w:tcBorders>
                    <w:tl2br w:val="nil"/>
                    <w:tr2bl w:val="nil"/>
                  </w:tcBorders>
                  <w:vAlign w:val="center"/>
                </w:tcPr>
                <w:p w14:paraId="3B047F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955" w:type="pct"/>
                  <w:vMerge w:val="continue"/>
                  <w:tcBorders>
                    <w:tl2br w:val="nil"/>
                    <w:tr2bl w:val="nil"/>
                  </w:tcBorders>
                  <w:vAlign w:val="center"/>
                </w:tcPr>
                <w:p w14:paraId="3E906E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r>
            <w:tr w14:paraId="12EA24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pct"/>
                  <w:vMerge w:val="continue"/>
                  <w:tcBorders>
                    <w:tl2br w:val="nil"/>
                    <w:tr2bl w:val="nil"/>
                  </w:tcBorders>
                  <w:vAlign w:val="center"/>
                </w:tcPr>
                <w:p w14:paraId="33ECBD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828" w:type="pct"/>
                  <w:tcBorders>
                    <w:tl2br w:val="nil"/>
                    <w:tr2bl w:val="nil"/>
                  </w:tcBorders>
                  <w:vAlign w:val="center"/>
                </w:tcPr>
                <w:p w14:paraId="40EF93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废气处理设施</w:t>
                  </w:r>
                </w:p>
              </w:tc>
              <w:tc>
                <w:tcPr>
                  <w:tcW w:w="865" w:type="pct"/>
                  <w:tcBorders>
                    <w:tl2br w:val="nil"/>
                    <w:tr2bl w:val="nil"/>
                  </w:tcBorders>
                  <w:vAlign w:val="center"/>
                </w:tcPr>
                <w:p w14:paraId="5D85F5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eastAsia" w:eastAsia="仿宋" w:cs="Times New Roman"/>
                      <w:color w:val="auto"/>
                      <w:sz w:val="21"/>
                      <w:szCs w:val="21"/>
                      <w:highlight w:val="none"/>
                      <w:lang w:val="en-US" w:eastAsia="zh-CN"/>
                    </w:rPr>
                    <w:t>非甲烷总烃</w:t>
                  </w:r>
                </w:p>
              </w:tc>
              <w:tc>
                <w:tcPr>
                  <w:tcW w:w="1285" w:type="pct"/>
                  <w:tcBorders>
                    <w:tl2br w:val="nil"/>
                    <w:tr2bl w:val="nil"/>
                  </w:tcBorders>
                  <w:shd w:val="clear" w:color="auto" w:fill="auto"/>
                  <w:vAlign w:val="center"/>
                </w:tcPr>
                <w:p w14:paraId="0F11C3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lang w:val="en-US" w:eastAsia="zh-CN"/>
                    </w:rPr>
                    <w:t>污染物超标排放</w:t>
                  </w:r>
                </w:p>
              </w:tc>
              <w:tc>
                <w:tcPr>
                  <w:tcW w:w="620" w:type="pct"/>
                  <w:tcBorders>
                    <w:tl2br w:val="nil"/>
                    <w:tr2bl w:val="nil"/>
                  </w:tcBorders>
                  <w:shd w:val="clear" w:color="auto" w:fill="auto"/>
                  <w:vAlign w:val="center"/>
                </w:tcPr>
                <w:p w14:paraId="15D050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扩散</w:t>
                  </w:r>
                </w:p>
              </w:tc>
              <w:tc>
                <w:tcPr>
                  <w:tcW w:w="955" w:type="pct"/>
                  <w:tcBorders>
                    <w:tl2br w:val="nil"/>
                    <w:tr2bl w:val="nil"/>
                  </w:tcBorders>
                  <w:shd w:val="clear" w:color="auto" w:fill="auto"/>
                  <w:vAlign w:val="center"/>
                </w:tcPr>
                <w:p w14:paraId="21CB12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sz w:val="21"/>
                      <w:szCs w:val="21"/>
                      <w:highlight w:val="none"/>
                    </w:rPr>
                    <w:t>周边居民</w:t>
                  </w:r>
                </w:p>
              </w:tc>
            </w:tr>
            <w:tr w14:paraId="5F740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pct"/>
                  <w:vMerge w:val="continue"/>
                  <w:tcBorders>
                    <w:tl2br w:val="nil"/>
                    <w:tr2bl w:val="nil"/>
                  </w:tcBorders>
                  <w:vAlign w:val="center"/>
                </w:tcPr>
                <w:p w14:paraId="5CEC4E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p>
              </w:tc>
              <w:tc>
                <w:tcPr>
                  <w:tcW w:w="828" w:type="pct"/>
                  <w:tcBorders>
                    <w:tl2br w:val="nil"/>
                    <w:tr2bl w:val="nil"/>
                  </w:tcBorders>
                  <w:vAlign w:val="center"/>
                </w:tcPr>
                <w:p w14:paraId="05EF59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危废仓库</w:t>
                  </w:r>
                </w:p>
              </w:tc>
              <w:tc>
                <w:tcPr>
                  <w:tcW w:w="865" w:type="pct"/>
                  <w:tcBorders>
                    <w:tl2br w:val="nil"/>
                    <w:tr2bl w:val="nil"/>
                  </w:tcBorders>
                  <w:vAlign w:val="center"/>
                </w:tcPr>
                <w:p w14:paraId="54E309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废切削液</w:t>
                  </w:r>
                  <w:r>
                    <w:rPr>
                      <w:rFonts w:hint="eastAsia" w:eastAsia="仿宋" w:cs="Times New Roman"/>
                      <w:color w:val="auto"/>
                      <w:sz w:val="21"/>
                      <w:szCs w:val="21"/>
                      <w:highlight w:val="none"/>
                      <w:lang w:val="en-US" w:eastAsia="zh-CN"/>
                    </w:rPr>
                    <w:t>、</w:t>
                  </w:r>
                  <w:r>
                    <w:rPr>
                      <w:rFonts w:hint="default" w:ascii="Times New Roman" w:hAnsi="Times New Roman" w:eastAsia="仿宋" w:cs="Times New Roman"/>
                      <w:color w:val="auto"/>
                      <w:sz w:val="21"/>
                      <w:szCs w:val="21"/>
                      <w:highlight w:val="none"/>
                      <w:lang w:val="en-US" w:eastAsia="zh-CN"/>
                    </w:rPr>
                    <w:t>废液压油</w:t>
                  </w:r>
                  <w:r>
                    <w:rPr>
                      <w:rFonts w:hint="eastAsia" w:eastAsia="仿宋" w:cs="Times New Roman"/>
                      <w:color w:val="auto"/>
                      <w:sz w:val="21"/>
                      <w:szCs w:val="21"/>
                      <w:highlight w:val="none"/>
                      <w:lang w:val="en-US" w:eastAsia="zh-CN"/>
                    </w:rPr>
                    <w:t>、</w:t>
                  </w:r>
                </w:p>
              </w:tc>
              <w:tc>
                <w:tcPr>
                  <w:tcW w:w="1285" w:type="pct"/>
                  <w:tcBorders>
                    <w:tl2br w:val="nil"/>
                    <w:tr2bl w:val="nil"/>
                  </w:tcBorders>
                  <w:vAlign w:val="center"/>
                </w:tcPr>
                <w:p w14:paraId="259FCE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泄漏、火灾爆炸引发次生/伴生污染</w:t>
                  </w:r>
                </w:p>
              </w:tc>
              <w:tc>
                <w:tcPr>
                  <w:tcW w:w="620" w:type="pct"/>
                  <w:tcBorders>
                    <w:tl2br w:val="nil"/>
                    <w:tr2bl w:val="nil"/>
                  </w:tcBorders>
                  <w:vAlign w:val="center"/>
                </w:tcPr>
                <w:p w14:paraId="0C8E34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扩散，渗透、吸收</w:t>
                  </w:r>
                </w:p>
              </w:tc>
              <w:tc>
                <w:tcPr>
                  <w:tcW w:w="955" w:type="pct"/>
                  <w:tcBorders>
                    <w:tl2br w:val="nil"/>
                    <w:tr2bl w:val="nil"/>
                  </w:tcBorders>
                  <w:vAlign w:val="center"/>
                </w:tcPr>
                <w:p w14:paraId="545B08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周边居民，地表水，地下水，土壤</w:t>
                  </w:r>
                </w:p>
              </w:tc>
            </w:tr>
          </w:tbl>
          <w:p w14:paraId="36A38B45">
            <w:pPr>
              <w:spacing w:line="360" w:lineRule="auto"/>
              <w:rPr>
                <w:rFonts w:hint="default" w:ascii="Times New Roman" w:hAnsi="Times New Roman" w:eastAsia="宋体" w:cs="Times New Roman"/>
                <w:b/>
                <w:bCs/>
                <w:color w:val="auto"/>
                <w:sz w:val="24"/>
                <w:szCs w:val="24"/>
                <w:highlight w:val="none"/>
                <w:lang w:val="en-US"/>
              </w:rPr>
            </w:pP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.3  典型事故情形</w:t>
            </w:r>
          </w:p>
          <w:p w14:paraId="340F80D9">
            <w:pPr>
              <w:pStyle w:val="8"/>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w:t>
            </w:r>
            <w:r>
              <w:rPr>
                <w:rFonts w:hint="default"/>
                <w:color w:val="auto"/>
                <w:szCs w:val="24"/>
                <w:highlight w:val="none"/>
              </w:rPr>
              <w:t>环境风险物质在贮存、使用、运输和处置过程中因泄漏、扩散所造成的突发性环境污染事件</w:t>
            </w:r>
            <w:r>
              <w:rPr>
                <w:rFonts w:hint="default" w:ascii="Times New Roman" w:hAnsi="Times New Roman" w:eastAsia="宋体" w:cs="Times New Roman"/>
                <w:color w:val="auto"/>
                <w:sz w:val="24"/>
                <w:szCs w:val="24"/>
                <w:highlight w:val="none"/>
              </w:rPr>
              <w:t>；</w:t>
            </w:r>
          </w:p>
          <w:p w14:paraId="7207854E">
            <w:pPr>
              <w:pStyle w:val="8"/>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②厂区废气处理设施若发生故障，废气未经处理直接排放至大气，对周围大气环境造成污染；</w:t>
            </w:r>
          </w:p>
          <w:p w14:paraId="7901BB75">
            <w:pPr>
              <w:pStyle w:val="8"/>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③</w:t>
            </w:r>
            <w:r>
              <w:rPr>
                <w:rFonts w:hint="eastAsia"/>
                <w:color w:val="auto"/>
                <w:szCs w:val="24"/>
                <w:highlight w:val="none"/>
              </w:rPr>
              <w:t>危险废物</w:t>
            </w:r>
            <w:r>
              <w:rPr>
                <w:rFonts w:hint="eastAsia"/>
                <w:color w:val="auto"/>
                <w:szCs w:val="24"/>
                <w:highlight w:val="none"/>
                <w:lang w:val="en-US" w:eastAsia="zh-CN"/>
              </w:rPr>
              <w:t>在</w:t>
            </w:r>
            <w:r>
              <w:rPr>
                <w:rFonts w:hint="eastAsia"/>
                <w:color w:val="auto"/>
                <w:szCs w:val="24"/>
                <w:highlight w:val="none"/>
              </w:rPr>
              <w:t>贮存、处置、转移等过程中发生的</w:t>
            </w:r>
            <w:r>
              <w:rPr>
                <w:rFonts w:hint="eastAsia"/>
                <w:color w:val="auto"/>
                <w:szCs w:val="24"/>
                <w:highlight w:val="none"/>
                <w:lang w:val="en-US" w:eastAsia="zh-CN"/>
              </w:rPr>
              <w:t>泄漏、</w:t>
            </w:r>
            <w:r>
              <w:rPr>
                <w:rFonts w:hint="eastAsia"/>
                <w:color w:val="auto"/>
                <w:szCs w:val="24"/>
                <w:highlight w:val="none"/>
              </w:rPr>
              <w:t>爆炸、燃烧、渗漏等事故</w:t>
            </w:r>
            <w:r>
              <w:rPr>
                <w:rFonts w:hint="eastAsia" w:cs="Times New Roman"/>
                <w:color w:val="auto"/>
                <w:sz w:val="24"/>
                <w:szCs w:val="24"/>
                <w:highlight w:val="none"/>
                <w:lang w:eastAsia="zh-CN"/>
              </w:rPr>
              <w:t>。</w:t>
            </w:r>
          </w:p>
          <w:p w14:paraId="300E9A5D">
            <w:pPr>
              <w:spacing w:line="360" w:lineRule="auto"/>
              <w:rPr>
                <w:rFonts w:hint="default" w:ascii="Times New Roman" w:hAnsi="Times New Roman" w:eastAsia="宋体" w:cs="Times New Roman"/>
                <w:b/>
                <w:bCs/>
                <w:color w:val="auto"/>
                <w:spacing w:val="-3"/>
                <w:sz w:val="24"/>
                <w:szCs w:val="24"/>
                <w:highlight w:val="none"/>
              </w:rPr>
            </w:pPr>
            <w:r>
              <w:rPr>
                <w:rFonts w:hint="eastAsia" w:cs="Times New Roman"/>
                <w:b/>
                <w:bCs/>
                <w:color w:val="auto"/>
                <w:spacing w:val="-3"/>
                <w:sz w:val="24"/>
                <w:szCs w:val="24"/>
                <w:highlight w:val="none"/>
                <w:lang w:val="en-US" w:eastAsia="zh-CN"/>
              </w:rPr>
              <w:t>7</w:t>
            </w:r>
            <w:r>
              <w:rPr>
                <w:rFonts w:hint="default" w:ascii="Times New Roman" w:hAnsi="Times New Roman" w:eastAsia="宋体" w:cs="Times New Roman"/>
                <w:b/>
                <w:bCs/>
                <w:color w:val="auto"/>
                <w:spacing w:val="-3"/>
                <w:sz w:val="24"/>
                <w:szCs w:val="24"/>
                <w:highlight w:val="none"/>
              </w:rPr>
              <w:t>.4  环境风险防范措施</w:t>
            </w:r>
          </w:p>
          <w:p w14:paraId="5857CF18">
            <w:pPr>
              <w:pStyle w:val="8"/>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2" w:firstLineChars="200"/>
              <w:textAlignment w:val="auto"/>
              <w:rPr>
                <w:rFonts w:hint="eastAsia" w:ascii="Times New Roman" w:hAnsi="Times New Roman" w:eastAsia="宋体" w:cs="Times New Roman"/>
                <w:b/>
                <w:bCs/>
                <w:color w:val="auto"/>
                <w:sz w:val="24"/>
                <w:szCs w:val="24"/>
                <w:highlight w:val="none"/>
                <w:lang w:eastAsia="zh-CN"/>
              </w:rPr>
            </w:pPr>
            <w:r>
              <w:rPr>
                <w:rFonts w:hint="eastAsia" w:ascii="Times New Roman" w:hAnsi="Times New Roman" w:eastAsia="宋体" w:cs="Times New Roman"/>
                <w:b/>
                <w:bCs/>
                <w:color w:val="auto"/>
                <w:sz w:val="24"/>
                <w:szCs w:val="24"/>
                <w:highlight w:val="none"/>
                <w:lang w:eastAsia="zh-CN"/>
              </w:rPr>
              <w:t>（</w:t>
            </w:r>
            <w:r>
              <w:rPr>
                <w:rFonts w:hint="eastAsia" w:ascii="Times New Roman" w:hAnsi="Times New Roman" w:eastAsia="宋体" w:cs="Times New Roman"/>
                <w:b/>
                <w:bCs/>
                <w:color w:val="auto"/>
                <w:sz w:val="24"/>
                <w:szCs w:val="24"/>
                <w:highlight w:val="none"/>
                <w:lang w:val="en-US" w:eastAsia="zh-CN"/>
              </w:rPr>
              <w:t>1</w:t>
            </w:r>
            <w:r>
              <w:rPr>
                <w:rFonts w:hint="eastAsia"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贮运工程风险防范措施</w:t>
            </w:r>
            <w:r>
              <w:rPr>
                <w:rFonts w:hint="eastAsia" w:ascii="Times New Roman" w:hAnsi="Times New Roman" w:eastAsia="宋体" w:cs="Times New Roman"/>
                <w:b/>
                <w:bCs/>
                <w:color w:val="auto"/>
                <w:sz w:val="24"/>
                <w:szCs w:val="24"/>
                <w:highlight w:val="none"/>
                <w:lang w:eastAsia="zh-CN"/>
              </w:rPr>
              <w:t>：</w:t>
            </w:r>
          </w:p>
          <w:p w14:paraId="4686E0D2">
            <w:pPr>
              <w:spacing w:line="360" w:lineRule="auto"/>
              <w:ind w:firstLine="480" w:firstLineChars="20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切削液、液压油放置于化学品仓库防渗漏托盘上</w:t>
            </w:r>
            <w:r>
              <w:rPr>
                <w:rFonts w:hint="default" w:ascii="Times New Roman" w:hAnsi="Times New Roman" w:eastAsia="宋体" w:cs="Times New Roman"/>
                <w:color w:val="auto"/>
                <w:sz w:val="24"/>
                <w:szCs w:val="24"/>
                <w:highlight w:val="none"/>
              </w:rPr>
              <w:t>，储存于阴凉通风的</w:t>
            </w:r>
            <w:r>
              <w:rPr>
                <w:rFonts w:hint="default" w:ascii="Times New Roman" w:hAnsi="Times New Roman" w:eastAsia="宋体" w:cs="Times New Roman"/>
                <w:color w:val="auto"/>
                <w:sz w:val="24"/>
                <w:szCs w:val="24"/>
                <w:highlight w:val="none"/>
                <w:lang w:val="en-US" w:eastAsia="zh-CN"/>
              </w:rPr>
              <w:t>原料</w:t>
            </w:r>
            <w:r>
              <w:rPr>
                <w:rFonts w:hint="default" w:ascii="Times New Roman" w:hAnsi="Times New Roman" w:eastAsia="宋体" w:cs="Times New Roman"/>
                <w:color w:val="auto"/>
                <w:sz w:val="24"/>
                <w:szCs w:val="24"/>
                <w:highlight w:val="none"/>
              </w:rPr>
              <w:t>仓库，远离火种、热源，防止阳光直射。搬运时轻装轻卸，防止破损或倾倒</w:t>
            </w:r>
            <w:r>
              <w:rPr>
                <w:rFonts w:hint="default" w:ascii="Times New Roman" w:hAnsi="Times New Roman" w:eastAsia="宋体" w:cs="Times New Roman"/>
                <w:color w:val="auto"/>
                <w:sz w:val="24"/>
                <w:szCs w:val="24"/>
                <w:highlight w:val="none"/>
                <w:lang w:eastAsia="zh-CN"/>
              </w:rPr>
              <w:t>。</w:t>
            </w:r>
          </w:p>
          <w:p w14:paraId="07224065">
            <w:pPr>
              <w:pStyle w:val="8"/>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2" w:firstLineChars="200"/>
              <w:textAlignment w:val="auto"/>
              <w:rPr>
                <w:rFonts w:hint="eastAsia" w:ascii="Times New Roman" w:hAnsi="Times New Roman" w:eastAsia="宋体" w:cs="Times New Roman"/>
                <w:b/>
                <w:bCs/>
                <w:color w:val="auto"/>
                <w:sz w:val="24"/>
                <w:szCs w:val="24"/>
                <w:highlight w:val="none"/>
                <w:lang w:eastAsia="zh-CN"/>
              </w:rPr>
            </w:pPr>
            <w:r>
              <w:rPr>
                <w:rFonts w:hint="eastAsia" w:ascii="Times New Roman" w:hAnsi="Times New Roman" w:eastAsia="宋体" w:cs="Times New Roman"/>
                <w:b/>
                <w:bCs/>
                <w:color w:val="auto"/>
                <w:sz w:val="24"/>
                <w:szCs w:val="24"/>
                <w:highlight w:val="none"/>
                <w:lang w:eastAsia="zh-CN"/>
              </w:rPr>
              <w:t>（</w:t>
            </w:r>
            <w:r>
              <w:rPr>
                <w:rFonts w:hint="eastAsia"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危废</w:t>
            </w:r>
            <w:r>
              <w:rPr>
                <w:rFonts w:hint="eastAsia" w:cs="Times New Roman"/>
                <w:b/>
                <w:bCs/>
                <w:color w:val="auto"/>
                <w:sz w:val="24"/>
                <w:szCs w:val="24"/>
                <w:highlight w:val="none"/>
                <w:lang w:val="en-US" w:eastAsia="zh-CN"/>
              </w:rPr>
              <w:t>仓库</w:t>
            </w:r>
            <w:r>
              <w:rPr>
                <w:rFonts w:hint="default" w:ascii="Times New Roman" w:hAnsi="Times New Roman" w:eastAsia="宋体" w:cs="Times New Roman"/>
                <w:b/>
                <w:bCs/>
                <w:color w:val="auto"/>
                <w:sz w:val="24"/>
                <w:szCs w:val="24"/>
                <w:highlight w:val="none"/>
              </w:rPr>
              <w:t>防范措施</w:t>
            </w:r>
            <w:r>
              <w:rPr>
                <w:rFonts w:hint="eastAsia" w:ascii="Times New Roman" w:hAnsi="Times New Roman" w:eastAsia="宋体" w:cs="Times New Roman"/>
                <w:b/>
                <w:bCs/>
                <w:color w:val="auto"/>
                <w:sz w:val="24"/>
                <w:szCs w:val="24"/>
                <w:highlight w:val="none"/>
                <w:lang w:eastAsia="zh-CN"/>
              </w:rPr>
              <w:t>：</w:t>
            </w:r>
          </w:p>
          <w:p w14:paraId="09509D83">
            <w:pPr>
              <w:spacing w:line="360" w:lineRule="auto"/>
              <w:ind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危废仓库</w:t>
            </w:r>
            <w:r>
              <w:rPr>
                <w:rFonts w:hint="default" w:ascii="Times New Roman" w:hAnsi="Times New Roman" w:eastAsia="宋体" w:cs="Times New Roman"/>
                <w:color w:val="auto"/>
                <w:sz w:val="24"/>
                <w:szCs w:val="24"/>
                <w:highlight w:val="none"/>
              </w:rPr>
              <w:t>内危险废物分类</w:t>
            </w:r>
            <w:r>
              <w:rPr>
                <w:rFonts w:hint="eastAsia" w:cs="Times New Roman"/>
                <w:color w:val="auto"/>
                <w:sz w:val="24"/>
                <w:szCs w:val="24"/>
                <w:highlight w:val="none"/>
                <w:lang w:val="en-US" w:eastAsia="zh-CN"/>
              </w:rPr>
              <w:t>收集和存放</w:t>
            </w:r>
            <w:r>
              <w:rPr>
                <w:rFonts w:hint="default" w:ascii="Times New Roman" w:hAnsi="Times New Roman" w:eastAsia="宋体" w:cs="Times New Roman"/>
                <w:color w:val="auto"/>
                <w:sz w:val="24"/>
                <w:szCs w:val="24"/>
                <w:highlight w:val="none"/>
              </w:rPr>
              <w:t>，危废仓库</w:t>
            </w:r>
            <w:r>
              <w:rPr>
                <w:rFonts w:hint="default"/>
                <w:color w:val="auto"/>
                <w:sz w:val="24"/>
                <w:highlight w:val="none"/>
              </w:rPr>
              <w:t>防风、防晒、防雨、防漏、防渗、防腐</w:t>
            </w:r>
            <w:r>
              <w:rPr>
                <w:rFonts w:hint="default" w:ascii="Times New Roman" w:hAnsi="Times New Roman" w:eastAsia="宋体" w:cs="Times New Roman"/>
                <w:color w:val="auto"/>
                <w:sz w:val="24"/>
                <w:szCs w:val="24"/>
                <w:highlight w:val="none"/>
              </w:rPr>
              <w:t>，远离火种、热源；划定禁火区，在明显地点设有警示标志，输配电线、灯具、火灾事故照明和疏散指示标志均应符合安全要求。</w:t>
            </w:r>
          </w:p>
          <w:p w14:paraId="0DE4B81E">
            <w:pPr>
              <w:spacing w:line="360" w:lineRule="auto"/>
              <w:ind w:firstLine="482" w:firstLineChars="200"/>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eastAsia="zh-CN"/>
              </w:rPr>
              <w:t>（</w:t>
            </w:r>
            <w:r>
              <w:rPr>
                <w:rFonts w:hint="eastAsia"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废气处理装置事故排放风险防范措施</w:t>
            </w:r>
          </w:p>
          <w:p w14:paraId="13129AA7">
            <w:pPr>
              <w:pStyle w:val="8"/>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废气处理装置风险</w:t>
            </w:r>
            <w:r>
              <w:rPr>
                <w:rFonts w:hint="eastAsia" w:cs="Times New Roman"/>
                <w:color w:val="auto"/>
                <w:sz w:val="24"/>
                <w:szCs w:val="24"/>
                <w:highlight w:val="none"/>
                <w:lang w:val="en-US" w:eastAsia="zh-CN"/>
              </w:rPr>
              <w:t>防范措施</w:t>
            </w:r>
            <w:r>
              <w:rPr>
                <w:rFonts w:hint="default" w:ascii="Times New Roman" w:hAnsi="Times New Roman" w:eastAsia="宋体" w:cs="Times New Roman"/>
                <w:color w:val="auto"/>
                <w:sz w:val="24"/>
                <w:szCs w:val="24"/>
                <w:highlight w:val="none"/>
              </w:rPr>
              <w:t>：本项目</w:t>
            </w:r>
            <w:r>
              <w:rPr>
                <w:rFonts w:hint="eastAsia" w:cs="Times New Roman"/>
                <w:color w:val="auto"/>
                <w:sz w:val="24"/>
                <w:szCs w:val="24"/>
                <w:highlight w:val="none"/>
                <w:lang w:val="en-US" w:eastAsia="zh-CN"/>
              </w:rPr>
              <w:t>机加工油雾废气经油雾净化装置处理后在车间无组织排放</w:t>
            </w:r>
            <w:r>
              <w:rPr>
                <w:rFonts w:hint="default" w:ascii="Times New Roman" w:hAnsi="Times New Roman" w:eastAsia="宋体" w:cs="Times New Roman"/>
                <w:color w:val="auto"/>
                <w:sz w:val="24"/>
                <w:szCs w:val="24"/>
                <w:highlight w:val="none"/>
              </w:rPr>
              <w:t>，采取的风险防范措施如下：</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1</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平时加强废气处理设施的维护保养，及时发现处理设备的隐患，并及时进行维修，确保废气处理系统正常运行；</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2</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建立健全的环保机构，对管理人员和技术人员进行岗位培训，对废气处理实行全过程跟踪控制。</w:t>
            </w:r>
          </w:p>
          <w:p w14:paraId="721239EE">
            <w:pPr>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物料泄漏事故的防范措施</w:t>
            </w:r>
          </w:p>
          <w:p w14:paraId="7610615A">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泄漏事故的预防是生产和储运过程中最重要的环节，发生泄漏事故可能引起火灾和爆炸等一系列重大事故。经验表明：设备失灵和人为的操作失误是引发泄漏的主要原因。因此选用较好的设备、精心设计、认真</w:t>
            </w:r>
            <w:r>
              <w:rPr>
                <w:rFonts w:hint="default"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管理和操作人员的责任心是减少泄漏事故的关键。建设单位应采取以下物料泄漏事故的预防措施：</w:t>
            </w:r>
          </w:p>
          <w:p w14:paraId="5220EEAC">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生产车间内设置机械通风系统；</w:t>
            </w:r>
          </w:p>
          <w:p w14:paraId="6394A3E3">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操作人员在操作时，检查通风装置是否在启动状态；在停产时，先停设备，待设备清理干净后，再停通风装置；</w:t>
            </w:r>
          </w:p>
          <w:p w14:paraId="2F955BE6">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生产车间、危废仓库等地面采用抗渗混凝土浇制地面底板，防腐基体上铺设环氧树脂玻璃钢；原料、废液等采用防漏托盘盛装；</w:t>
            </w:r>
          </w:p>
          <w:p w14:paraId="538ADB6D">
            <w:pPr>
              <w:pStyle w:val="28"/>
              <w:spacing w:line="360" w:lineRule="auto"/>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本项目依托厂区雨水总排口的雨水截止阀，防止事故废水外排外环境。</w:t>
            </w:r>
          </w:p>
          <w:p w14:paraId="59243EE5">
            <w:pPr>
              <w:pStyle w:val="8"/>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82" w:firstLineChars="200"/>
              <w:textAlignment w:val="auto"/>
              <w:rPr>
                <w:rFonts w:hint="eastAsia" w:ascii="Times New Roman" w:hAnsi="Times New Roman" w:eastAsia="宋体" w:cs="Times New Roman"/>
                <w:b/>
                <w:bCs/>
                <w:color w:val="auto"/>
                <w:sz w:val="24"/>
                <w:szCs w:val="24"/>
                <w:highlight w:val="none"/>
                <w:lang w:eastAsia="zh-CN"/>
              </w:rPr>
            </w:pPr>
            <w:r>
              <w:rPr>
                <w:rFonts w:hint="eastAsia"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管理方面的防范措施</w:t>
            </w:r>
            <w:r>
              <w:rPr>
                <w:rFonts w:hint="eastAsia" w:ascii="Times New Roman" w:hAnsi="Times New Roman" w:eastAsia="宋体" w:cs="Times New Roman"/>
                <w:b/>
                <w:bCs/>
                <w:color w:val="auto"/>
                <w:sz w:val="24"/>
                <w:szCs w:val="24"/>
                <w:highlight w:val="none"/>
                <w:lang w:eastAsia="zh-CN"/>
              </w:rPr>
              <w:t>：</w:t>
            </w:r>
          </w:p>
          <w:p w14:paraId="6E5614D2">
            <w:pPr>
              <w:pStyle w:val="28"/>
              <w:spacing w:line="360" w:lineRule="auto"/>
              <w:ind w:firstLine="480" w:firstLineChars="200"/>
              <w:jc w:val="both"/>
              <w:rPr>
                <w:highlight w:val="none"/>
              </w:rPr>
            </w:pPr>
            <w:r>
              <w:rPr>
                <w:rFonts w:hint="default" w:ascii="Times New Roman" w:hAnsi="Times New Roman" w:eastAsia="宋体" w:cs="Times New Roman"/>
                <w:color w:val="auto"/>
                <w:sz w:val="24"/>
                <w:szCs w:val="24"/>
                <w:highlight w:val="none"/>
              </w:rPr>
              <w:t>平时加强对操作人员的安全培训，制定严格的操作规程，操作人员需进行必要的安全培训后方可上岗。</w:t>
            </w:r>
          </w:p>
          <w:p w14:paraId="7A0308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mallCaps w:val="0"/>
                <w:color w:val="auto"/>
                <w:spacing w:val="0"/>
                <w:w w:val="100"/>
                <w:position w:val="0"/>
                <w:sz w:val="24"/>
                <w:szCs w:val="24"/>
                <w:highlight w:val="none"/>
                <w:lang w:val="en-US" w:eastAsia="zh-CN"/>
              </w:rPr>
            </w:pPr>
            <w:r>
              <w:rPr>
                <w:rFonts w:hint="eastAsia" w:ascii="Times New Roman" w:hAnsi="Times New Roman" w:eastAsia="宋体" w:cs="Times New Roman"/>
                <w:smallCaps w:val="0"/>
                <w:color w:val="auto"/>
                <w:spacing w:val="0"/>
                <w:w w:val="100"/>
                <w:position w:val="0"/>
                <w:sz w:val="24"/>
                <w:szCs w:val="24"/>
                <w:highlight w:val="none"/>
                <w:lang w:val="en-US" w:eastAsia="zh-CN"/>
              </w:rPr>
              <w:t>（6）</w:t>
            </w:r>
            <w:r>
              <w:rPr>
                <w:rFonts w:hint="default" w:ascii="Times New Roman" w:hAnsi="Times New Roman" w:eastAsia="宋体" w:cs="Times New Roman"/>
                <w:smallCaps w:val="0"/>
                <w:color w:val="auto"/>
                <w:spacing w:val="0"/>
                <w:w w:val="100"/>
                <w:position w:val="0"/>
                <w:sz w:val="24"/>
                <w:szCs w:val="24"/>
                <w:highlight w:val="none"/>
                <w:lang w:val="en-US" w:eastAsia="zh-CN"/>
              </w:rPr>
              <w:t>事故应急收集措施</w:t>
            </w:r>
          </w:p>
          <w:p w14:paraId="7AE5B3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mallCaps w:val="0"/>
                <w:color w:val="auto"/>
                <w:spacing w:val="0"/>
                <w:w w:val="100"/>
                <w:position w:val="0"/>
                <w:sz w:val="24"/>
                <w:szCs w:val="24"/>
                <w:highlight w:val="none"/>
                <w:lang w:val="en-US" w:eastAsia="zh-CN"/>
              </w:rPr>
            </w:pPr>
            <w:r>
              <w:rPr>
                <w:rFonts w:hint="default" w:ascii="Times New Roman" w:hAnsi="Times New Roman" w:eastAsia="宋体" w:cs="Times New Roman"/>
                <w:smallCaps w:val="0"/>
                <w:color w:val="auto"/>
                <w:spacing w:val="0"/>
                <w:w w:val="100"/>
                <w:position w:val="0"/>
                <w:sz w:val="24"/>
                <w:szCs w:val="24"/>
                <w:highlight w:val="none"/>
                <w:lang w:val="en-US" w:eastAsia="zh-CN"/>
              </w:rPr>
              <w:t>在泄漏、火灾爆炸事故情况下，由于消防水含有有毒有害物质，必须加以收集处理，不得直接排入清净下水、雨水系统。由于企业为租赁厂房，雨污水排口及各项应急工程均依托出租方，目前雨水排口已设置阀门，尚未建设事故应急池，企业不具备建设应急池的条件，自行在厂区内配备应急</w:t>
            </w:r>
            <w:r>
              <w:rPr>
                <w:rFonts w:hint="eastAsia" w:ascii="Times New Roman" w:hAnsi="Times New Roman" w:eastAsia="宋体" w:cs="Times New Roman"/>
                <w:smallCaps w:val="0"/>
                <w:color w:val="auto"/>
                <w:spacing w:val="0"/>
                <w:w w:val="100"/>
                <w:position w:val="0"/>
                <w:sz w:val="24"/>
                <w:szCs w:val="24"/>
                <w:highlight w:val="none"/>
                <w:lang w:val="en-US" w:eastAsia="zh-CN"/>
              </w:rPr>
              <w:t>水桶</w:t>
            </w:r>
            <w:r>
              <w:rPr>
                <w:rFonts w:hint="default" w:ascii="Times New Roman" w:hAnsi="Times New Roman" w:eastAsia="宋体" w:cs="Times New Roman"/>
                <w:smallCaps w:val="0"/>
                <w:color w:val="auto"/>
                <w:spacing w:val="0"/>
                <w:w w:val="100"/>
                <w:position w:val="0"/>
                <w:sz w:val="24"/>
                <w:szCs w:val="24"/>
                <w:highlight w:val="none"/>
                <w:lang w:val="en-US" w:eastAsia="zh-CN"/>
              </w:rPr>
              <w:t>，后续与出租方积极协商，完善相关应急收集设施。</w:t>
            </w:r>
          </w:p>
          <w:p w14:paraId="7A0B614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snapToGrid w:val="0"/>
                <w:color w:val="auto"/>
                <w:spacing w:val="0"/>
                <w:kern w:val="0"/>
                <w:position w:val="0"/>
                <w:sz w:val="24"/>
                <w:szCs w:val="24"/>
                <w:highlight w:val="none"/>
              </w:rPr>
            </w:pPr>
            <w:r>
              <w:rPr>
                <w:rFonts w:hint="default" w:ascii="Times New Roman" w:hAnsi="Times New Roman" w:eastAsia="宋体" w:cs="Times New Roman"/>
                <w:snapToGrid w:val="0"/>
                <w:color w:val="auto"/>
                <w:spacing w:val="0"/>
                <w:kern w:val="0"/>
                <w:position w:val="0"/>
                <w:sz w:val="24"/>
                <w:szCs w:val="24"/>
                <w:highlight w:val="none"/>
              </w:rPr>
              <w:t>事故池容量V</w:t>
            </w:r>
            <w:r>
              <w:rPr>
                <w:rFonts w:hint="default" w:ascii="Times New Roman" w:hAnsi="Times New Roman" w:eastAsia="宋体" w:cs="Times New Roman"/>
                <w:snapToGrid w:val="0"/>
                <w:color w:val="auto"/>
                <w:spacing w:val="0"/>
                <w:kern w:val="0"/>
                <w:position w:val="0"/>
                <w:sz w:val="24"/>
                <w:szCs w:val="24"/>
                <w:highlight w:val="none"/>
                <w:vertAlign w:val="subscript"/>
              </w:rPr>
              <w:t>总</w:t>
            </w:r>
            <w:r>
              <w:rPr>
                <w:rFonts w:hint="default" w:ascii="Times New Roman" w:hAnsi="Times New Roman" w:eastAsia="宋体" w:cs="Times New Roman"/>
                <w:snapToGrid w:val="0"/>
                <w:color w:val="auto"/>
                <w:spacing w:val="0"/>
                <w:kern w:val="0"/>
                <w:position w:val="0"/>
                <w:sz w:val="24"/>
                <w:szCs w:val="24"/>
                <w:highlight w:val="none"/>
              </w:rPr>
              <w:t>=（V</w:t>
            </w:r>
            <w:r>
              <w:rPr>
                <w:rFonts w:hint="default" w:ascii="Times New Roman" w:hAnsi="Times New Roman" w:eastAsia="宋体" w:cs="Times New Roman"/>
                <w:snapToGrid w:val="0"/>
                <w:color w:val="auto"/>
                <w:spacing w:val="0"/>
                <w:kern w:val="0"/>
                <w:position w:val="0"/>
                <w:sz w:val="24"/>
                <w:szCs w:val="24"/>
                <w:highlight w:val="none"/>
                <w:vertAlign w:val="subscript"/>
              </w:rPr>
              <w:t>1</w:t>
            </w:r>
            <w:r>
              <w:rPr>
                <w:rFonts w:hint="default" w:ascii="Times New Roman" w:hAnsi="Times New Roman" w:eastAsia="宋体" w:cs="Times New Roman"/>
                <w:snapToGrid w:val="0"/>
                <w:color w:val="auto"/>
                <w:spacing w:val="0"/>
                <w:kern w:val="0"/>
                <w:position w:val="0"/>
                <w:sz w:val="24"/>
                <w:szCs w:val="24"/>
                <w:highlight w:val="none"/>
              </w:rPr>
              <w:t>+V</w:t>
            </w:r>
            <w:r>
              <w:rPr>
                <w:rFonts w:hint="default" w:ascii="Times New Roman" w:hAnsi="Times New Roman" w:eastAsia="宋体" w:cs="Times New Roman"/>
                <w:snapToGrid w:val="0"/>
                <w:color w:val="auto"/>
                <w:spacing w:val="0"/>
                <w:kern w:val="0"/>
                <w:position w:val="0"/>
                <w:sz w:val="24"/>
                <w:szCs w:val="24"/>
                <w:highlight w:val="none"/>
                <w:vertAlign w:val="subscript"/>
              </w:rPr>
              <w:t>2</w:t>
            </w:r>
            <w:r>
              <w:rPr>
                <w:rFonts w:hint="default" w:ascii="Times New Roman" w:hAnsi="Times New Roman" w:eastAsia="宋体" w:cs="Times New Roman"/>
                <w:snapToGrid w:val="0"/>
                <w:color w:val="auto"/>
                <w:spacing w:val="0"/>
                <w:kern w:val="0"/>
                <w:position w:val="0"/>
                <w:sz w:val="24"/>
                <w:szCs w:val="24"/>
                <w:highlight w:val="none"/>
              </w:rPr>
              <w:t>-V</w:t>
            </w:r>
            <w:r>
              <w:rPr>
                <w:rFonts w:hint="default" w:ascii="Times New Roman" w:hAnsi="Times New Roman" w:eastAsia="宋体" w:cs="Times New Roman"/>
                <w:snapToGrid w:val="0"/>
                <w:color w:val="auto"/>
                <w:spacing w:val="0"/>
                <w:kern w:val="0"/>
                <w:position w:val="0"/>
                <w:sz w:val="24"/>
                <w:szCs w:val="24"/>
                <w:highlight w:val="none"/>
                <w:vertAlign w:val="subscript"/>
              </w:rPr>
              <w:t>3</w:t>
            </w:r>
            <w:r>
              <w:rPr>
                <w:rFonts w:hint="default" w:ascii="Times New Roman" w:hAnsi="Times New Roman" w:eastAsia="宋体" w:cs="Times New Roman"/>
                <w:snapToGrid w:val="0"/>
                <w:color w:val="auto"/>
                <w:spacing w:val="0"/>
                <w:kern w:val="0"/>
                <w:position w:val="0"/>
                <w:sz w:val="24"/>
                <w:szCs w:val="24"/>
                <w:highlight w:val="none"/>
              </w:rPr>
              <w:t>）max+V</w:t>
            </w:r>
            <w:r>
              <w:rPr>
                <w:rFonts w:hint="default" w:ascii="Times New Roman" w:hAnsi="Times New Roman" w:eastAsia="宋体" w:cs="Times New Roman"/>
                <w:snapToGrid w:val="0"/>
                <w:color w:val="auto"/>
                <w:spacing w:val="0"/>
                <w:kern w:val="0"/>
                <w:position w:val="0"/>
                <w:sz w:val="24"/>
                <w:szCs w:val="24"/>
                <w:highlight w:val="none"/>
                <w:vertAlign w:val="subscript"/>
              </w:rPr>
              <w:t>4</w:t>
            </w:r>
            <w:r>
              <w:rPr>
                <w:rFonts w:hint="default" w:ascii="Times New Roman" w:hAnsi="Times New Roman" w:eastAsia="宋体" w:cs="Times New Roman"/>
                <w:snapToGrid w:val="0"/>
                <w:color w:val="auto"/>
                <w:spacing w:val="0"/>
                <w:kern w:val="0"/>
                <w:position w:val="0"/>
                <w:sz w:val="24"/>
                <w:szCs w:val="24"/>
                <w:highlight w:val="none"/>
              </w:rPr>
              <w:t>+V</w:t>
            </w:r>
            <w:r>
              <w:rPr>
                <w:rFonts w:hint="default" w:ascii="Times New Roman" w:hAnsi="Times New Roman" w:eastAsia="宋体" w:cs="Times New Roman"/>
                <w:snapToGrid w:val="0"/>
                <w:color w:val="auto"/>
                <w:spacing w:val="0"/>
                <w:kern w:val="0"/>
                <w:position w:val="0"/>
                <w:sz w:val="24"/>
                <w:szCs w:val="24"/>
                <w:highlight w:val="none"/>
                <w:vertAlign w:val="subscript"/>
              </w:rPr>
              <w:t>5</w:t>
            </w:r>
          </w:p>
          <w:p w14:paraId="2A66ACE2">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aps w:val="0"/>
                <w:smallCaps w:val="0"/>
                <w:color w:val="auto"/>
                <w:spacing w:val="0"/>
                <w:position w:val="0"/>
                <w:sz w:val="24"/>
                <w:szCs w:val="24"/>
                <w:highlight w:val="none"/>
              </w:rPr>
            </w:pPr>
            <w:r>
              <w:rPr>
                <w:rFonts w:hint="default" w:ascii="Times New Roman" w:hAnsi="Times New Roman" w:eastAsia="宋体" w:cs="Times New Roman"/>
                <w:snapToGrid w:val="0"/>
                <w:color w:val="auto"/>
                <w:spacing w:val="0"/>
                <w:kern w:val="0"/>
                <w:position w:val="0"/>
                <w:sz w:val="24"/>
                <w:szCs w:val="24"/>
                <w:highlight w:val="none"/>
              </w:rPr>
              <w:t>其中：</w:t>
            </w:r>
            <w:r>
              <w:rPr>
                <w:rFonts w:hint="default" w:ascii="Times New Roman" w:hAnsi="Times New Roman" w:eastAsia="宋体" w:cs="Times New Roman"/>
                <w:caps w:val="0"/>
                <w:smallCaps w:val="0"/>
                <w:color w:val="auto"/>
                <w:spacing w:val="0"/>
                <w:position w:val="0"/>
                <w:sz w:val="24"/>
                <w:szCs w:val="24"/>
                <w:highlight w:val="none"/>
              </w:rPr>
              <w:t>V</w:t>
            </w:r>
            <w:r>
              <w:rPr>
                <w:rFonts w:hint="default" w:ascii="Times New Roman" w:hAnsi="Times New Roman" w:eastAsia="宋体" w:cs="Times New Roman"/>
                <w:caps w:val="0"/>
                <w:smallCaps w:val="0"/>
                <w:color w:val="auto"/>
                <w:spacing w:val="0"/>
                <w:position w:val="0"/>
                <w:sz w:val="24"/>
                <w:szCs w:val="24"/>
                <w:highlight w:val="none"/>
                <w:vertAlign w:val="subscript"/>
              </w:rPr>
              <w:t>1</w:t>
            </w:r>
            <w:r>
              <w:rPr>
                <w:rFonts w:hint="default" w:ascii="Times New Roman" w:hAnsi="Times New Roman" w:eastAsia="宋体" w:cs="Times New Roman"/>
                <w:caps w:val="0"/>
                <w:smallCaps w:val="0"/>
                <w:color w:val="auto"/>
                <w:spacing w:val="0"/>
                <w:position w:val="0"/>
                <w:sz w:val="24"/>
                <w:szCs w:val="24"/>
                <w:highlight w:val="none"/>
              </w:rPr>
              <w:t>：事故一个罐或一个装置物料；</w:t>
            </w:r>
          </w:p>
          <w:p w14:paraId="209442FB">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1200" w:firstLineChars="500"/>
              <w:textAlignment w:val="auto"/>
              <w:rPr>
                <w:rFonts w:hint="default" w:ascii="Times New Roman" w:hAnsi="Times New Roman" w:eastAsia="宋体" w:cs="Times New Roman"/>
                <w:caps w:val="0"/>
                <w:smallCaps w:val="0"/>
                <w:color w:val="auto"/>
                <w:spacing w:val="0"/>
                <w:position w:val="0"/>
                <w:sz w:val="24"/>
                <w:szCs w:val="24"/>
                <w:highlight w:val="none"/>
              </w:rPr>
            </w:pPr>
            <w:r>
              <w:rPr>
                <w:rFonts w:hint="default" w:ascii="Times New Roman" w:hAnsi="Times New Roman" w:eastAsia="宋体" w:cs="Times New Roman"/>
                <w:caps w:val="0"/>
                <w:smallCaps w:val="0"/>
                <w:color w:val="auto"/>
                <w:spacing w:val="0"/>
                <w:position w:val="0"/>
                <w:sz w:val="24"/>
                <w:szCs w:val="24"/>
                <w:highlight w:val="none"/>
              </w:rPr>
              <w:t>V</w:t>
            </w:r>
            <w:r>
              <w:rPr>
                <w:rFonts w:hint="default" w:ascii="Times New Roman" w:hAnsi="Times New Roman" w:eastAsia="宋体" w:cs="Times New Roman"/>
                <w:caps w:val="0"/>
                <w:smallCaps w:val="0"/>
                <w:color w:val="auto"/>
                <w:spacing w:val="0"/>
                <w:position w:val="0"/>
                <w:sz w:val="24"/>
                <w:szCs w:val="24"/>
                <w:highlight w:val="none"/>
                <w:vertAlign w:val="subscript"/>
              </w:rPr>
              <w:t>2</w:t>
            </w:r>
            <w:r>
              <w:rPr>
                <w:rFonts w:hint="default" w:ascii="Times New Roman" w:hAnsi="Times New Roman" w:eastAsia="宋体" w:cs="Times New Roman"/>
                <w:caps w:val="0"/>
                <w:smallCaps w:val="0"/>
                <w:color w:val="auto"/>
                <w:spacing w:val="0"/>
                <w:position w:val="0"/>
                <w:sz w:val="24"/>
                <w:szCs w:val="24"/>
                <w:highlight w:val="none"/>
              </w:rPr>
              <w:t>：事故的储罐或消防水量；</w:t>
            </w:r>
          </w:p>
          <w:p w14:paraId="14026506">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1200" w:firstLineChars="500"/>
              <w:textAlignment w:val="auto"/>
              <w:rPr>
                <w:rFonts w:hint="default" w:ascii="Times New Roman" w:hAnsi="Times New Roman" w:eastAsia="宋体" w:cs="Times New Roman"/>
                <w:caps w:val="0"/>
                <w:smallCaps w:val="0"/>
                <w:color w:val="auto"/>
                <w:spacing w:val="0"/>
                <w:position w:val="0"/>
                <w:sz w:val="24"/>
                <w:szCs w:val="24"/>
                <w:highlight w:val="none"/>
              </w:rPr>
            </w:pPr>
            <w:r>
              <w:rPr>
                <w:rFonts w:hint="default" w:ascii="Times New Roman" w:hAnsi="Times New Roman" w:eastAsia="宋体" w:cs="Times New Roman"/>
                <w:caps w:val="0"/>
                <w:smallCaps w:val="0"/>
                <w:color w:val="auto"/>
                <w:spacing w:val="0"/>
                <w:position w:val="0"/>
                <w:sz w:val="24"/>
                <w:szCs w:val="24"/>
                <w:highlight w:val="none"/>
              </w:rPr>
              <w:t>V</w:t>
            </w:r>
            <w:r>
              <w:rPr>
                <w:rFonts w:hint="default" w:ascii="Times New Roman" w:hAnsi="Times New Roman" w:eastAsia="宋体" w:cs="Times New Roman"/>
                <w:caps w:val="0"/>
                <w:smallCaps w:val="0"/>
                <w:color w:val="auto"/>
                <w:spacing w:val="0"/>
                <w:position w:val="0"/>
                <w:sz w:val="24"/>
                <w:szCs w:val="24"/>
                <w:highlight w:val="none"/>
                <w:vertAlign w:val="subscript"/>
              </w:rPr>
              <w:t>3</w:t>
            </w:r>
            <w:r>
              <w:rPr>
                <w:rFonts w:hint="default" w:ascii="Times New Roman" w:hAnsi="Times New Roman" w:eastAsia="宋体" w:cs="Times New Roman"/>
                <w:caps w:val="0"/>
                <w:smallCaps w:val="0"/>
                <w:color w:val="auto"/>
                <w:spacing w:val="0"/>
                <w:position w:val="0"/>
                <w:sz w:val="24"/>
                <w:szCs w:val="24"/>
                <w:highlight w:val="none"/>
              </w:rPr>
              <w:t>：事故时可以转输到其它储存或处理设施的物料量；</w:t>
            </w:r>
          </w:p>
          <w:p w14:paraId="54E03058">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1200" w:firstLineChars="500"/>
              <w:textAlignment w:val="auto"/>
              <w:rPr>
                <w:rFonts w:hint="default" w:ascii="Times New Roman" w:hAnsi="Times New Roman" w:eastAsia="宋体" w:cs="Times New Roman"/>
                <w:caps w:val="0"/>
                <w:smallCaps w:val="0"/>
                <w:color w:val="auto"/>
                <w:spacing w:val="0"/>
                <w:position w:val="0"/>
                <w:sz w:val="24"/>
                <w:szCs w:val="24"/>
                <w:highlight w:val="none"/>
              </w:rPr>
            </w:pPr>
            <w:r>
              <w:rPr>
                <w:rFonts w:hint="default" w:ascii="Times New Roman" w:hAnsi="Times New Roman" w:eastAsia="宋体" w:cs="Times New Roman"/>
                <w:caps w:val="0"/>
                <w:smallCaps w:val="0"/>
                <w:color w:val="auto"/>
                <w:spacing w:val="0"/>
                <w:position w:val="0"/>
                <w:sz w:val="24"/>
                <w:szCs w:val="24"/>
                <w:highlight w:val="none"/>
              </w:rPr>
              <w:t>V</w:t>
            </w:r>
            <w:r>
              <w:rPr>
                <w:rFonts w:hint="default" w:ascii="Times New Roman" w:hAnsi="Times New Roman" w:eastAsia="宋体" w:cs="Times New Roman"/>
                <w:caps w:val="0"/>
                <w:smallCaps w:val="0"/>
                <w:color w:val="auto"/>
                <w:spacing w:val="0"/>
                <w:position w:val="0"/>
                <w:sz w:val="24"/>
                <w:szCs w:val="24"/>
                <w:highlight w:val="none"/>
                <w:vertAlign w:val="subscript"/>
              </w:rPr>
              <w:t>4</w:t>
            </w:r>
            <w:r>
              <w:rPr>
                <w:rFonts w:hint="default" w:ascii="Times New Roman" w:hAnsi="Times New Roman" w:eastAsia="宋体" w:cs="Times New Roman"/>
                <w:caps w:val="0"/>
                <w:smallCaps w:val="0"/>
                <w:color w:val="auto"/>
                <w:spacing w:val="0"/>
                <w:position w:val="0"/>
                <w:sz w:val="24"/>
                <w:szCs w:val="24"/>
                <w:highlight w:val="none"/>
              </w:rPr>
              <w:t>：发生事故时必须进入该收集系统的生产废水量；</w:t>
            </w:r>
          </w:p>
          <w:p w14:paraId="113F5CA1">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1200" w:firstLineChars="500"/>
              <w:textAlignment w:val="auto"/>
              <w:rPr>
                <w:rFonts w:hint="default" w:ascii="Times New Roman" w:hAnsi="Times New Roman" w:eastAsia="宋体" w:cs="Times New Roman"/>
                <w:caps w:val="0"/>
                <w:smallCaps w:val="0"/>
                <w:color w:val="auto"/>
                <w:spacing w:val="0"/>
                <w:position w:val="0"/>
                <w:sz w:val="24"/>
                <w:szCs w:val="24"/>
                <w:highlight w:val="none"/>
              </w:rPr>
            </w:pPr>
            <w:r>
              <w:rPr>
                <w:rFonts w:hint="default" w:ascii="Times New Roman" w:hAnsi="Times New Roman" w:eastAsia="宋体" w:cs="Times New Roman"/>
                <w:caps w:val="0"/>
                <w:smallCaps w:val="0"/>
                <w:color w:val="auto"/>
                <w:spacing w:val="0"/>
                <w:position w:val="0"/>
                <w:sz w:val="24"/>
                <w:szCs w:val="24"/>
                <w:highlight w:val="none"/>
              </w:rPr>
              <w:t>V</w:t>
            </w:r>
            <w:r>
              <w:rPr>
                <w:rFonts w:hint="default" w:ascii="Times New Roman" w:hAnsi="Times New Roman" w:eastAsia="宋体" w:cs="Times New Roman"/>
                <w:caps w:val="0"/>
                <w:smallCaps w:val="0"/>
                <w:color w:val="auto"/>
                <w:spacing w:val="0"/>
                <w:position w:val="0"/>
                <w:sz w:val="24"/>
                <w:szCs w:val="24"/>
                <w:highlight w:val="none"/>
                <w:vertAlign w:val="subscript"/>
              </w:rPr>
              <w:t>5</w:t>
            </w:r>
            <w:r>
              <w:rPr>
                <w:rFonts w:hint="default" w:ascii="Times New Roman" w:hAnsi="Times New Roman" w:eastAsia="宋体" w:cs="Times New Roman"/>
                <w:caps w:val="0"/>
                <w:smallCaps w:val="0"/>
                <w:color w:val="auto"/>
                <w:spacing w:val="0"/>
                <w:position w:val="0"/>
                <w:sz w:val="24"/>
                <w:szCs w:val="24"/>
                <w:highlight w:val="none"/>
              </w:rPr>
              <w:t>：发生事故时可能进入该收集系统的降雨量。</w:t>
            </w:r>
          </w:p>
          <w:p w14:paraId="2752BD8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spacing w:val="0"/>
                <w:position w:val="0"/>
                <w:sz w:val="24"/>
                <w:szCs w:val="24"/>
                <w:highlight w:val="none"/>
                <w:shd w:val="clear" w:color="auto" w:fill="FFFFFF"/>
                <w:lang w:bidi="ar"/>
              </w:rPr>
            </w:pPr>
            <w:r>
              <w:rPr>
                <w:rFonts w:hint="default" w:ascii="Times New Roman" w:hAnsi="Times New Roman" w:eastAsia="宋体" w:cs="Times New Roman"/>
                <w:caps w:val="0"/>
                <w:smallCaps w:val="0"/>
                <w:color w:val="auto"/>
                <w:spacing w:val="0"/>
                <w:position w:val="0"/>
                <w:sz w:val="24"/>
                <w:szCs w:val="24"/>
                <w:highlight w:val="none"/>
                <w:shd w:val="clear" w:color="auto" w:fill="FFFFFF"/>
                <w:lang w:bidi="ar"/>
              </w:rPr>
              <w:t>事故应急池具体容积大小计算如下：</w:t>
            </w:r>
          </w:p>
          <w:p w14:paraId="6A10C039">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pPr>
            <w:r>
              <w:rPr>
                <w:rFonts w:hint="default" w:ascii="Times New Roman" w:hAnsi="Times New Roman" w:eastAsia="宋体" w:cs="Times New Roman"/>
                <w:caps w:val="0"/>
                <w:smallCaps w:val="0"/>
                <w:color w:val="auto"/>
                <w:spacing w:val="0"/>
                <w:position w:val="0"/>
                <w:sz w:val="24"/>
                <w:szCs w:val="24"/>
                <w:highlight w:val="none"/>
              </w:rPr>
              <w:t>V</w:t>
            </w:r>
            <w:r>
              <w:rPr>
                <w:rFonts w:hint="default" w:ascii="Times New Roman" w:hAnsi="Times New Roman" w:eastAsia="宋体" w:cs="Times New Roman"/>
                <w:caps w:val="0"/>
                <w:smallCaps w:val="0"/>
                <w:color w:val="auto"/>
                <w:spacing w:val="0"/>
                <w:position w:val="0"/>
                <w:sz w:val="24"/>
                <w:szCs w:val="24"/>
                <w:highlight w:val="none"/>
                <w:vertAlign w:val="subscript"/>
              </w:rPr>
              <w:t>1</w:t>
            </w:r>
            <w:r>
              <w:rPr>
                <w:rFonts w:hint="default" w:ascii="Times New Roman" w:hAnsi="Times New Roman" w:eastAsia="宋体" w:cs="Times New Roman"/>
                <w:caps w:val="0"/>
                <w:smallCaps w:val="0"/>
                <w:color w:val="auto"/>
                <w:spacing w:val="0"/>
                <w:position w:val="0"/>
                <w:sz w:val="24"/>
                <w:szCs w:val="24"/>
                <w:highlight w:val="none"/>
              </w:rPr>
              <w:t>：</w:t>
            </w:r>
            <w:r>
              <w:rPr>
                <w:rFonts w:hint="eastAsia" w:ascii="Times New Roman" w:hAnsi="Times New Roman" w:eastAsia="宋体" w:cs="Times New Roman"/>
                <w:caps w:val="0"/>
                <w:smallCaps w:val="0"/>
                <w:color w:val="auto"/>
                <w:spacing w:val="0"/>
                <w:position w:val="0"/>
                <w:sz w:val="24"/>
                <w:szCs w:val="24"/>
                <w:highlight w:val="none"/>
                <w:lang w:val="en-US" w:eastAsia="zh-CN"/>
              </w:rPr>
              <w:t>生产</w:t>
            </w:r>
            <w:r>
              <w:rPr>
                <w:rFonts w:hint="eastAsia" w:ascii="Times New Roman" w:hAnsi="Times New Roman" w:eastAsia="宋体" w:cs="Times New Roman"/>
                <w:caps w:val="0"/>
                <w:smallCaps w:val="0"/>
                <w:color w:val="000000" w:themeColor="text1"/>
                <w:spacing w:val="0"/>
                <w:position w:val="0"/>
                <w:sz w:val="24"/>
                <w:szCs w:val="24"/>
                <w:highlight w:val="none"/>
                <w:lang w:val="en-US" w:eastAsia="zh-CN"/>
                <w14:textFill>
                  <w14:solidFill>
                    <w14:schemeClr w14:val="tx1"/>
                  </w14:solidFill>
                </w14:textFill>
              </w:rPr>
              <w:t>车间切削液单桶为204L</w:t>
            </w:r>
            <w:r>
              <w:rPr>
                <w:rFonts w:hint="default" w:ascii="Times New Roman" w:hAnsi="Times New Roman" w:eastAsia="宋体" w:cs="Times New Roman"/>
                <w:caps w:val="0"/>
                <w:smallCaps w:val="0"/>
                <w:color w:val="000000" w:themeColor="text1"/>
                <w:spacing w:val="0"/>
                <w:position w:val="0"/>
                <w:sz w:val="24"/>
                <w:szCs w:val="24"/>
                <w:highlight w:val="none"/>
                <w:lang w:val="en-US" w:eastAsia="zh-CN"/>
                <w14:textFill>
                  <w14:solidFill>
                    <w14:schemeClr w14:val="tx1"/>
                  </w14:solidFill>
                </w14:textFill>
              </w:rPr>
              <w:t>/桶，</w:t>
            </w: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则V</w:t>
            </w:r>
            <w:r>
              <w:rPr>
                <w:rFonts w:hint="default" w:ascii="Times New Roman" w:hAnsi="Times New Roman" w:eastAsia="宋体" w:cs="Times New Roman"/>
                <w:caps w:val="0"/>
                <w:smallCaps w:val="0"/>
                <w:color w:val="000000" w:themeColor="text1"/>
                <w:spacing w:val="0"/>
                <w:position w:val="0"/>
                <w:sz w:val="24"/>
                <w:szCs w:val="24"/>
                <w:highlight w:val="none"/>
                <w:vertAlign w:val="subscript"/>
                <w14:textFill>
                  <w14:solidFill>
                    <w14:schemeClr w14:val="tx1"/>
                  </w14:solidFill>
                </w14:textFill>
              </w:rPr>
              <w:t>1</w:t>
            </w: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w:t>
            </w:r>
            <w:r>
              <w:rPr>
                <w:rFonts w:hint="eastAsia" w:ascii="Times New Roman" w:hAnsi="Times New Roman" w:eastAsia="宋体" w:cs="Times New Roman"/>
                <w:caps w:val="0"/>
                <w:smallCaps w:val="0"/>
                <w:color w:val="000000" w:themeColor="text1"/>
                <w:spacing w:val="0"/>
                <w:position w:val="0"/>
                <w:sz w:val="24"/>
                <w:szCs w:val="24"/>
                <w:highlight w:val="none"/>
                <w:lang w:val="en-US" w:eastAsia="zh-CN"/>
                <w14:textFill>
                  <w14:solidFill>
                    <w14:schemeClr w14:val="tx1"/>
                  </w14:solidFill>
                </w14:textFill>
              </w:rPr>
              <w:t>0.204</w:t>
            </w: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m</w:t>
            </w:r>
            <w:r>
              <w:rPr>
                <w:rFonts w:hint="default" w:ascii="Times New Roman" w:hAnsi="Times New Roman" w:eastAsia="宋体" w:cs="Times New Roman"/>
                <w:caps w:val="0"/>
                <w:smallCaps w:val="0"/>
                <w:color w:val="000000" w:themeColor="text1"/>
                <w:spacing w:val="0"/>
                <w:position w:val="0"/>
                <w:sz w:val="24"/>
                <w:szCs w:val="24"/>
                <w:highlight w:val="none"/>
                <w:vertAlign w:val="superscript"/>
                <w14:textFill>
                  <w14:solidFill>
                    <w14:schemeClr w14:val="tx1"/>
                  </w14:solidFill>
                </w14:textFill>
              </w:rPr>
              <w:t>3</w:t>
            </w: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w:t>
            </w:r>
          </w:p>
          <w:p w14:paraId="1A302C17">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aps w:val="0"/>
                <w:smallCaps w:val="0"/>
                <w:color w:val="000000" w:themeColor="text1"/>
                <w:spacing w:val="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V</w:t>
            </w:r>
            <w:r>
              <w:rPr>
                <w:rFonts w:hint="default" w:ascii="Times New Roman" w:hAnsi="Times New Roman" w:eastAsia="宋体" w:cs="Times New Roman"/>
                <w:caps w:val="0"/>
                <w:smallCaps w:val="0"/>
                <w:color w:val="000000" w:themeColor="text1"/>
                <w:spacing w:val="0"/>
                <w:position w:val="0"/>
                <w:sz w:val="24"/>
                <w:szCs w:val="24"/>
                <w:highlight w:val="none"/>
                <w:vertAlign w:val="subscript"/>
                <w14:textFill>
                  <w14:solidFill>
                    <w14:schemeClr w14:val="tx1"/>
                  </w14:solidFill>
                </w14:textFill>
              </w:rPr>
              <w:t>2</w:t>
            </w: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根据《消防给水及消火栓系统技术规范》</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GB50974-2014</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）3.6.1规定，</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建筑的全部消防用水量应为其室内、室外消防用水量之和。</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企业为丙类厂房</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，建筑体积小于50000m，厂房建筑高度为1</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0m。</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室内消防水量</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根据规范3.5.2，室内消火栓用水量取20L/s，火灾持续时间按3h，合计消防水量为20L/s</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3600s=216m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。室外消防水量</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根据规范3.3.2</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室外消火栓用水量取30L/s，火灾持续时间按3h，则室外消防水量为30L/s</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3600s=324m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。合计消防水量为540m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，消防尾水产生量为V</w:t>
            </w:r>
            <w:r>
              <w:rPr>
                <w:rFonts w:hint="default"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=540m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p>
          <w:p w14:paraId="70930081">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pP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V</w:t>
            </w:r>
            <w:r>
              <w:rPr>
                <w:rFonts w:hint="default" w:ascii="Times New Roman" w:hAnsi="Times New Roman" w:eastAsia="宋体" w:cs="Times New Roman"/>
                <w:caps w:val="0"/>
                <w:smallCaps w:val="0"/>
                <w:color w:val="000000" w:themeColor="text1"/>
                <w:spacing w:val="0"/>
                <w:position w:val="0"/>
                <w:sz w:val="24"/>
                <w:szCs w:val="24"/>
                <w:highlight w:val="none"/>
                <w:vertAlign w:val="subscript"/>
                <w14:textFill>
                  <w14:solidFill>
                    <w14:schemeClr w14:val="tx1"/>
                  </w14:solidFill>
                </w14:textFill>
              </w:rPr>
              <w:t>3</w:t>
            </w: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：事故时</w:t>
            </w:r>
            <w:r>
              <w:rPr>
                <w:rFonts w:hint="default" w:ascii="Times New Roman" w:hAnsi="Times New Roman" w:eastAsia="宋体" w:cs="Times New Roman"/>
                <w:caps w:val="0"/>
                <w:smallCaps w:val="0"/>
                <w:color w:val="000000" w:themeColor="text1"/>
                <w:spacing w:val="0"/>
                <w:position w:val="0"/>
                <w:sz w:val="24"/>
                <w:szCs w:val="24"/>
                <w:highlight w:val="none"/>
                <w:lang w:val="en-US" w:eastAsia="zh-CN"/>
                <w14:textFill>
                  <w14:solidFill>
                    <w14:schemeClr w14:val="tx1"/>
                  </w14:solidFill>
                </w14:textFill>
              </w:rPr>
              <w:t>无</w:t>
            </w: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可转输到其它储存或处理设施的物料量</w:t>
            </w:r>
            <w:r>
              <w:rPr>
                <w:rFonts w:hint="default" w:ascii="Times New Roman" w:hAnsi="Times New Roman" w:eastAsia="宋体" w:cs="Times New Roman"/>
                <w:snapToGrid w:val="0"/>
                <w:color w:val="000000" w:themeColor="text1"/>
                <w:spacing w:val="0"/>
                <w:kern w:val="0"/>
                <w:position w:val="0"/>
                <w:sz w:val="24"/>
                <w:szCs w:val="24"/>
                <w:highlight w:val="none"/>
                <w:lang w:eastAsia="zh-CN"/>
                <w14:textFill>
                  <w14:solidFill>
                    <w14:schemeClr w14:val="tx1"/>
                  </w14:solidFill>
                </w14:textFill>
              </w:rPr>
              <w:t>，</w:t>
            </w:r>
            <w:r>
              <w:rPr>
                <w:rFonts w:hint="default" w:ascii="Times New Roman" w:hAnsi="Times New Roman" w:eastAsia="宋体" w:cs="Times New Roman"/>
                <w:snapToGrid w:val="0"/>
                <w:color w:val="000000" w:themeColor="text1"/>
                <w:spacing w:val="0"/>
                <w:kern w:val="0"/>
                <w:position w:val="0"/>
                <w:sz w:val="24"/>
                <w:szCs w:val="24"/>
                <w:highlight w:val="none"/>
                <w14:textFill>
                  <w14:solidFill>
                    <w14:schemeClr w14:val="tx1"/>
                  </w14:solidFill>
                </w14:textFill>
              </w:rPr>
              <w:t>V</w:t>
            </w:r>
            <w:r>
              <w:rPr>
                <w:rFonts w:hint="default" w:ascii="Times New Roman" w:hAnsi="Times New Roman" w:eastAsia="宋体" w:cs="Times New Roman"/>
                <w:snapToGrid w:val="0"/>
                <w:color w:val="000000" w:themeColor="text1"/>
                <w:spacing w:val="0"/>
                <w:kern w:val="0"/>
                <w:position w:val="0"/>
                <w:sz w:val="24"/>
                <w:szCs w:val="24"/>
                <w:highlight w:val="none"/>
                <w:vertAlign w:val="subscript"/>
                <w14:textFill>
                  <w14:solidFill>
                    <w14:schemeClr w14:val="tx1"/>
                  </w14:solidFill>
                </w14:textFill>
              </w:rPr>
              <w:t>3</w:t>
            </w:r>
            <w:r>
              <w:rPr>
                <w:rFonts w:hint="default" w:ascii="Times New Roman" w:hAnsi="Times New Roman" w:eastAsia="宋体" w:cs="Times New Roman"/>
                <w:snapToGrid w:val="0"/>
                <w:color w:val="000000" w:themeColor="text1"/>
                <w:spacing w:val="0"/>
                <w:kern w:val="0"/>
                <w:position w:val="0"/>
                <w:sz w:val="24"/>
                <w:szCs w:val="24"/>
                <w:highlight w:val="none"/>
                <w14:textFill>
                  <w14:solidFill>
                    <w14:schemeClr w14:val="tx1"/>
                  </w14:solidFill>
                </w14:textFill>
              </w:rPr>
              <w:t>=0m</w:t>
            </w:r>
            <w:r>
              <w:rPr>
                <w:rFonts w:hint="default" w:ascii="Times New Roman" w:hAnsi="Times New Roman" w:eastAsia="宋体" w:cs="Times New Roman"/>
                <w:snapToGrid w:val="0"/>
                <w:color w:val="000000" w:themeColor="text1"/>
                <w:spacing w:val="0"/>
                <w:kern w:val="0"/>
                <w:position w:val="0"/>
                <w:sz w:val="24"/>
                <w:szCs w:val="24"/>
                <w:highlight w:val="none"/>
                <w:vertAlign w:val="superscript"/>
                <w14:textFill>
                  <w14:solidFill>
                    <w14:schemeClr w14:val="tx1"/>
                  </w14:solidFill>
                </w14:textFill>
              </w:rPr>
              <w:t>3</w:t>
            </w: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w:t>
            </w:r>
          </w:p>
          <w:p w14:paraId="0FEB3E2B">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pP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V</w:t>
            </w:r>
            <w:r>
              <w:rPr>
                <w:rFonts w:hint="default" w:ascii="Times New Roman" w:hAnsi="Times New Roman" w:eastAsia="宋体" w:cs="Times New Roman"/>
                <w:caps w:val="0"/>
                <w:smallCaps w:val="0"/>
                <w:color w:val="000000" w:themeColor="text1"/>
                <w:spacing w:val="0"/>
                <w:position w:val="0"/>
                <w:sz w:val="24"/>
                <w:szCs w:val="24"/>
                <w:highlight w:val="none"/>
                <w:vertAlign w:val="subscript"/>
                <w14:textFill>
                  <w14:solidFill>
                    <w14:schemeClr w14:val="tx1"/>
                  </w14:solidFill>
                </w14:textFill>
              </w:rPr>
              <w:t>4</w:t>
            </w: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：发生事故时无工艺废水进入该系统，则V</w:t>
            </w:r>
            <w:r>
              <w:rPr>
                <w:rFonts w:hint="default" w:ascii="Times New Roman" w:hAnsi="Times New Roman" w:eastAsia="宋体" w:cs="Times New Roman"/>
                <w:caps w:val="0"/>
                <w:smallCaps w:val="0"/>
                <w:color w:val="000000" w:themeColor="text1"/>
                <w:spacing w:val="0"/>
                <w:position w:val="0"/>
                <w:sz w:val="24"/>
                <w:szCs w:val="24"/>
                <w:highlight w:val="none"/>
                <w:vertAlign w:val="subscript"/>
                <w14:textFill>
                  <w14:solidFill>
                    <w14:schemeClr w14:val="tx1"/>
                  </w14:solidFill>
                </w14:textFill>
              </w:rPr>
              <w:t>4</w:t>
            </w:r>
            <w:r>
              <w:rPr>
                <w:rFonts w:hint="default" w:ascii="Times New Roman" w:hAnsi="Times New Roman" w:eastAsia="宋体" w:cs="Times New Roman"/>
                <w:caps w:val="0"/>
                <w:smallCaps w:val="0"/>
                <w:color w:val="000000" w:themeColor="text1"/>
                <w:spacing w:val="0"/>
                <w:position w:val="0"/>
                <w:sz w:val="24"/>
                <w:szCs w:val="24"/>
                <w:highlight w:val="none"/>
                <w14:textFill>
                  <w14:solidFill>
                    <w14:schemeClr w14:val="tx1"/>
                  </w14:solidFill>
                </w14:textFill>
              </w:rPr>
              <w:t>=0。</w:t>
            </w:r>
          </w:p>
          <w:p w14:paraId="75A3DC56">
            <w:pPr>
              <w:keepNext w:val="0"/>
              <w:keepLines w:val="0"/>
              <w:suppressLineNumbers w:val="0"/>
              <w:snapToGrid w:val="0"/>
              <w:spacing w:before="0" w:beforeAutospacing="0" w:after="0" w:afterAutospacing="0" w:line="360" w:lineRule="auto"/>
              <w:ind w:right="0" w:firstLine="480" w:firstLineChars="20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V</w:t>
            </w:r>
            <w:r>
              <w:rPr>
                <w:rFonts w:hint="default"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：苏州地区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平均年降水量</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为1214.2mm，平均降水天数为110天，平均降水11毫米/天，企业</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车间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占地面积约</w:t>
            </w:r>
            <w:r>
              <w:rPr>
                <w:rFonts w:hint="eastAsia" w:cs="Times New Roman"/>
                <w:color w:val="000000" w:themeColor="text1"/>
                <w:kern w:val="2"/>
                <w:sz w:val="24"/>
                <w:szCs w:val="24"/>
                <w:highlight w:val="none"/>
                <w:lang w:val="en-US" w:eastAsia="zh-CN" w:bidi="ar-SA"/>
                <w14:textFill>
                  <w14:solidFill>
                    <w14:schemeClr w14:val="tx1"/>
                  </w14:solidFill>
                </w14:textFill>
              </w:rPr>
              <w:t>4738.27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09D9B9DF">
            <w:pPr>
              <w:keepNext w:val="0"/>
              <w:keepLines w:val="0"/>
              <w:suppressLineNumbers w:val="0"/>
              <w:snapToGrid w:val="0"/>
              <w:spacing w:before="0" w:beforeAutospacing="0" w:after="0" w:afterAutospacing="0" w:line="360" w:lineRule="auto"/>
              <w:ind w:left="0" w:right="0" w:firstLine="56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计算公式：V5=10×q×f，q=qa/n，</w:t>
            </w:r>
          </w:p>
          <w:p w14:paraId="197BA70F">
            <w:pPr>
              <w:keepNext w:val="0"/>
              <w:keepLines w:val="0"/>
              <w:suppressLineNumbers w:val="0"/>
              <w:snapToGrid w:val="0"/>
              <w:spacing w:before="0" w:beforeAutospacing="0" w:after="0" w:afterAutospacing="0" w:line="360" w:lineRule="auto"/>
              <w:ind w:left="0" w:right="0" w:firstLine="56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其中：q——降雨强度，mm；按平均日降雨量；</w:t>
            </w:r>
          </w:p>
          <w:p w14:paraId="05546871">
            <w:pPr>
              <w:keepNext w:val="0"/>
              <w:keepLines w:val="0"/>
              <w:suppressLineNumbers w:val="0"/>
              <w:snapToGrid w:val="0"/>
              <w:spacing w:before="0" w:beforeAutospacing="0" w:after="0" w:afterAutospacing="0" w:line="360" w:lineRule="auto"/>
              <w:ind w:left="0" w:right="0" w:firstLine="56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qa——年平均降雨量，mm；</w:t>
            </w:r>
          </w:p>
          <w:p w14:paraId="77F7C365">
            <w:pPr>
              <w:keepNext w:val="0"/>
              <w:keepLines w:val="0"/>
              <w:suppressLineNumbers w:val="0"/>
              <w:snapToGrid w:val="0"/>
              <w:spacing w:before="0" w:beforeAutospacing="0" w:after="0" w:afterAutospacing="0" w:line="360" w:lineRule="auto"/>
              <w:ind w:left="0" w:right="0" w:firstLine="56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n——年平均降雨天数，天；</w:t>
            </w:r>
          </w:p>
          <w:p w14:paraId="24CFB053">
            <w:pPr>
              <w:keepNext w:val="0"/>
              <w:keepLines w:val="0"/>
              <w:suppressLineNumbers w:val="0"/>
              <w:snapToGrid w:val="0"/>
              <w:spacing w:before="0" w:beforeAutospacing="0" w:after="0" w:afterAutospacing="0" w:line="360" w:lineRule="auto"/>
              <w:ind w:left="0" w:right="0" w:firstLine="56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f——必须进入事故废水收集系统的雨水汇水面积，hm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410CFBF">
            <w:pPr>
              <w:keepNext w:val="0"/>
              <w:keepLines w:val="0"/>
              <w:suppressLineNumbers w:val="0"/>
              <w:snapToGrid w:val="0"/>
              <w:spacing w:before="0" w:beforeAutospacing="0" w:after="0" w:afterAutospacing="0" w:line="360" w:lineRule="auto"/>
              <w:ind w:left="0" w:right="0" w:firstLine="1200" w:firstLineChars="50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则V</w:t>
            </w:r>
            <w:r>
              <w:rPr>
                <w:rFonts w:hint="default"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=10</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11</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*0.</w:t>
            </w:r>
            <w:r>
              <w:rPr>
                <w:rFonts w:hint="eastAsia" w:cs="Times New Roman"/>
                <w:color w:val="000000" w:themeColor="text1"/>
                <w:kern w:val="2"/>
                <w:sz w:val="24"/>
                <w:szCs w:val="24"/>
                <w:highlight w:val="none"/>
                <w:lang w:val="en-US" w:eastAsia="zh-CN" w:bidi="ar-SA"/>
                <w14:textFill>
                  <w14:solidFill>
                    <w14:schemeClr w14:val="tx1"/>
                  </w14:solidFill>
                </w14:textFill>
              </w:rPr>
              <w:t>473827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52.12097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cs="Times New Roman"/>
                <w:color w:val="000000" w:themeColor="text1"/>
                <w:kern w:val="2"/>
                <w:sz w:val="24"/>
                <w:szCs w:val="24"/>
                <w:highlight w:val="none"/>
                <w:lang w:val="en-US" w:eastAsia="zh-CN" w:bidi="ar-SA"/>
                <w14:textFill>
                  <w14:solidFill>
                    <w14:schemeClr w14:val="tx1"/>
                  </w14:solidFill>
                </w14:textFill>
              </w:rPr>
              <w:t>≈52.121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p>
          <w:p w14:paraId="7F5C6E48">
            <w:pPr>
              <w:keepNext w:val="0"/>
              <w:keepLines w:val="0"/>
              <w:suppressLineNumbers w:val="0"/>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V总=（V</w:t>
            </w:r>
            <w:r>
              <w:rPr>
                <w:rFonts w:hint="default"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+V</w:t>
            </w:r>
            <w:r>
              <w:rPr>
                <w:rFonts w:hint="default"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-V</w:t>
            </w:r>
            <w:r>
              <w:rPr>
                <w:rFonts w:hint="default"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）max+V</w:t>
            </w:r>
            <w:r>
              <w:rPr>
                <w:rFonts w:hint="default"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+V</w:t>
            </w:r>
            <w:r>
              <w:rPr>
                <w:rFonts w:hint="default" w:ascii="Times New Roman" w:hAnsi="Times New Roman" w:eastAsia="宋体" w:cs="Times New Roman"/>
                <w:color w:val="000000" w:themeColor="text1"/>
                <w:kern w:val="2"/>
                <w:sz w:val="24"/>
                <w:szCs w:val="24"/>
                <w:highlight w:val="none"/>
                <w:vertAlign w:val="subscript"/>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0.2</w:t>
            </w:r>
            <w:r>
              <w:rPr>
                <w:rFonts w:hint="eastAsia" w:cs="Times New Roman"/>
                <w:color w:val="000000" w:themeColor="text1"/>
                <w:kern w:val="2"/>
                <w:sz w:val="24"/>
                <w:szCs w:val="24"/>
                <w:highlight w:val="none"/>
                <w:lang w:val="en-US" w:eastAsia="zh-CN" w:bidi="ar-SA"/>
                <w14:textFill>
                  <w14:solidFill>
                    <w14:schemeClr w14:val="tx1"/>
                  </w14:solidFill>
                </w14:textFill>
              </w:rPr>
              <w:t>04</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540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52.121</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5</w:t>
            </w:r>
            <w:r>
              <w:rPr>
                <w:rFonts w:hint="eastAsia" w:cs="Times New Roman"/>
                <w:color w:val="000000" w:themeColor="text1"/>
                <w:kern w:val="2"/>
                <w:sz w:val="24"/>
                <w:szCs w:val="24"/>
                <w:highlight w:val="none"/>
                <w:lang w:val="en-US" w:eastAsia="zh-CN" w:bidi="ar-SA"/>
                <w14:textFill>
                  <w14:solidFill>
                    <w14:schemeClr w14:val="tx1"/>
                  </w14:solidFill>
                </w14:textFill>
              </w:rPr>
              <w:t>92.325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2985B5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mallCaps w:val="0"/>
                <w:color w:val="000000" w:themeColor="text1"/>
                <w:spacing w:val="0"/>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项目应设置</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5</w:t>
            </w:r>
            <w:r>
              <w:rPr>
                <w:rFonts w:hint="eastAsia" w:cs="Times New Roman"/>
                <w:color w:val="000000" w:themeColor="text1"/>
                <w:kern w:val="2"/>
                <w:sz w:val="24"/>
                <w:szCs w:val="24"/>
                <w:highlight w:val="none"/>
                <w:lang w:val="en-US" w:eastAsia="zh-CN" w:bidi="ar-SA"/>
                <w14:textFill>
                  <w14:solidFill>
                    <w14:schemeClr w14:val="tx1"/>
                  </w14:solidFill>
                </w14:textFill>
              </w:rPr>
              <w:t>92.325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w:t>
            </w:r>
            <w:r>
              <w:rPr>
                <w:rFonts w:ascii="宋体" w:hAnsi="宋体" w:eastAsia="宋体" w:cs="宋体"/>
                <w:color w:val="000000" w:themeColor="text1"/>
                <w:sz w:val="24"/>
                <w:szCs w:val="24"/>
                <w:highlight w:val="none"/>
                <w14:textFill>
                  <w14:solidFill>
                    <w14:schemeClr w14:val="tx1"/>
                  </w14:solidFill>
                </w14:textFill>
              </w:rPr>
              <w:t>事故应急池或其他事故废水收集</w:t>
            </w:r>
            <w:r>
              <w:rPr>
                <w:rFonts w:hint="eastAsia" w:ascii="Times New Roman" w:hAnsi="Times New Roman" w:eastAsia="宋体" w:cs="Times New Roman"/>
                <w:color w:val="000000" w:themeColor="text1"/>
                <w:sz w:val="24"/>
                <w:szCs w:val="24"/>
                <w:highlight w:val="none"/>
                <w14:textFill>
                  <w14:solidFill>
                    <w14:schemeClr w14:val="tx1"/>
                  </w14:solidFill>
                </w14:textFill>
              </w:rPr>
              <w:t>设施</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如：</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应急充气水池等</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，以应对事故突发时产生的</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消防尾水</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。该数据为初步核算数据，如后期企业编制突发环境事件应急预案</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时，数据与本环评不一致，以突发环境事件应急预案中的数据为准。</w:t>
            </w:r>
          </w:p>
          <w:p w14:paraId="020613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mallCaps w:val="0"/>
                <w:color w:val="auto"/>
                <w:spacing w:val="0"/>
                <w:w w:val="100"/>
                <w:position w:val="0"/>
                <w:sz w:val="24"/>
                <w:szCs w:val="24"/>
                <w:highlight w:val="none"/>
                <w:lang w:val="en-US" w:eastAsia="zh-CN"/>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由于企业为租赁厂房，雨污水排口及各项应急工程均依托</w:t>
            </w:r>
            <w:r>
              <w:rPr>
                <w:rFonts w:hint="eastAsia" w:cs="Times New Roman"/>
                <w:color w:val="000000" w:themeColor="text1"/>
                <w:sz w:val="24"/>
                <w:szCs w:val="24"/>
                <w:highlight w:val="none"/>
                <w:lang w:val="en-US" w:eastAsia="zh-CN"/>
                <w14:textFill>
                  <w14:solidFill>
                    <w14:schemeClr w14:val="tx1"/>
                  </w14:solidFill>
                </w14:textFill>
              </w:rPr>
              <w:t>出租方</w:t>
            </w:r>
            <w:r>
              <w:rPr>
                <w:rFonts w:hint="default" w:ascii="Times New Roman" w:hAnsi="Times New Roman" w:eastAsia="宋体" w:cs="Times New Roman"/>
                <w:color w:val="000000" w:themeColor="text1"/>
                <w:sz w:val="24"/>
                <w:szCs w:val="24"/>
                <w:highlight w:val="none"/>
                <w14:textFill>
                  <w14:solidFill>
                    <w14:schemeClr w14:val="tx1"/>
                  </w14:solidFill>
                </w14:textFill>
              </w:rPr>
              <w:t>，目前雨水排口已设置阀门，尚未建设事故应急池，企业不具备建设应急池的条件，目前企业已自行在厂区内配备应急</w:t>
            </w:r>
            <w:r>
              <w:rPr>
                <w:rFonts w:hint="eastAsia" w:cs="Times New Roman"/>
                <w:color w:val="000000" w:themeColor="text1"/>
                <w:sz w:val="24"/>
                <w:szCs w:val="24"/>
                <w:highlight w:val="none"/>
                <w:lang w:val="en-US" w:eastAsia="zh-CN"/>
                <w14:textFill>
                  <w14:solidFill>
                    <w14:schemeClr w14:val="tx1"/>
                  </w14:solidFill>
                </w14:textFill>
              </w:rPr>
              <w:t>水袋，</w:t>
            </w:r>
            <w:r>
              <w:rPr>
                <w:rFonts w:hint="default" w:ascii="Times New Roman" w:hAnsi="Times New Roman" w:eastAsia="宋体" w:cs="Times New Roman"/>
                <w:color w:val="000000" w:themeColor="text1"/>
                <w:sz w:val="24"/>
                <w:szCs w:val="24"/>
                <w:highlight w:val="none"/>
                <w14:textFill>
                  <w14:solidFill>
                    <w14:schemeClr w14:val="tx1"/>
                  </w14:solidFill>
                </w14:textFill>
              </w:rPr>
              <w:t>后续与</w:t>
            </w:r>
            <w:r>
              <w:rPr>
                <w:rFonts w:hint="eastAsia" w:cs="Times New Roman"/>
                <w:color w:val="000000" w:themeColor="text1"/>
                <w:sz w:val="24"/>
                <w:szCs w:val="24"/>
                <w:highlight w:val="none"/>
                <w:lang w:val="en-US" w:eastAsia="zh-CN"/>
                <w14:textFill>
                  <w14:solidFill>
                    <w14:schemeClr w14:val="tx1"/>
                  </w14:solidFill>
                </w14:textFill>
              </w:rPr>
              <w:t>出</w:t>
            </w:r>
            <w:r>
              <w:rPr>
                <w:rFonts w:hint="eastAsia" w:cs="Times New Roman"/>
                <w:color w:val="auto"/>
                <w:sz w:val="24"/>
                <w:szCs w:val="24"/>
                <w:highlight w:val="none"/>
                <w:lang w:val="en-US" w:eastAsia="zh-CN"/>
              </w:rPr>
              <w:t>租方</w:t>
            </w:r>
            <w:r>
              <w:rPr>
                <w:rFonts w:hint="default" w:ascii="Times New Roman" w:hAnsi="Times New Roman" w:eastAsia="宋体" w:cs="Times New Roman"/>
                <w:color w:val="auto"/>
                <w:sz w:val="24"/>
                <w:szCs w:val="24"/>
                <w:highlight w:val="none"/>
              </w:rPr>
              <w:t>积极协商，完善相关应急收集设施。同时，出租方公司设有专门环保专员负责整个厂区的环境管理、环境统计及长效管理；当发生小面积火灾时应立即利用消防设施灭火；若火情不可控应及时通知出租方环保专员，并辅助指导疏散撤离全厂工作人员，采取应急响应措施。出租方雨水排口</w:t>
            </w:r>
            <w:r>
              <w:rPr>
                <w:rFonts w:hint="eastAsia" w:cs="Times New Roman"/>
                <w:color w:val="auto"/>
                <w:sz w:val="24"/>
                <w:szCs w:val="24"/>
                <w:highlight w:val="none"/>
                <w:lang w:eastAsia="zh-CN"/>
              </w:rPr>
              <w:t>已设置</w:t>
            </w:r>
            <w:r>
              <w:rPr>
                <w:rFonts w:hint="default" w:ascii="Times New Roman" w:hAnsi="Times New Roman" w:eastAsia="宋体" w:cs="Times New Roman"/>
                <w:color w:val="auto"/>
                <w:sz w:val="24"/>
                <w:szCs w:val="24"/>
                <w:highlight w:val="none"/>
              </w:rPr>
              <w:t>有切断阀，一旦发生火灾、爆炸事故，事故废水中将会含有泄漏化学品物质，发生事故时，立即关闭雨水管阀门，防止事故废水进入周边地表水。事故废水及消防废水应收集处理达标后，方可排入市政污水管网，严格落实三级环境风险防控要求，确保事故废水不进入外环境。</w:t>
            </w:r>
          </w:p>
          <w:p w14:paraId="09928346">
            <w:pPr>
              <w:spacing w:line="360" w:lineRule="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 xml:space="preserve">.5  </w:t>
            </w:r>
            <w:r>
              <w:rPr>
                <w:rFonts w:hint="default" w:ascii="Times New Roman" w:hAnsi="Times New Roman" w:eastAsia="宋体" w:cs="Times New Roman"/>
                <w:b/>
                <w:bCs/>
                <w:color w:val="auto"/>
                <w:sz w:val="24"/>
                <w:szCs w:val="24"/>
                <w:highlight w:val="none"/>
              </w:rPr>
              <w:t>应急</w:t>
            </w:r>
            <w:r>
              <w:rPr>
                <w:rFonts w:hint="default" w:ascii="Times New Roman" w:hAnsi="Times New Roman" w:eastAsia="宋体" w:cs="Times New Roman"/>
                <w:b/>
                <w:bCs/>
                <w:color w:val="auto"/>
                <w:sz w:val="24"/>
                <w:szCs w:val="24"/>
                <w:highlight w:val="none"/>
                <w:lang w:val="en-US" w:eastAsia="zh-CN"/>
              </w:rPr>
              <w:t>管理制度</w:t>
            </w:r>
          </w:p>
          <w:p w14:paraId="3979AF94">
            <w:pPr>
              <w:spacing w:line="360" w:lineRule="auto"/>
              <w:ind w:firstLine="470" w:firstLineChars="196"/>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企业须按照《企事业单位和工业园区突发环境事件应急预案编制导则》的通知（DB32/T</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3795-2020）的要求</w:t>
            </w:r>
            <w:r>
              <w:rPr>
                <w:rFonts w:hint="eastAsia" w:cs="Times New Roman"/>
                <w:color w:val="auto"/>
                <w:sz w:val="24"/>
                <w:szCs w:val="24"/>
                <w:highlight w:val="none"/>
                <w:lang w:val="en-US" w:eastAsia="zh-CN"/>
              </w:rPr>
              <w:t>进行</w:t>
            </w:r>
            <w:r>
              <w:rPr>
                <w:rFonts w:hint="default" w:ascii="Times New Roman" w:hAnsi="Times New Roman" w:eastAsia="宋体" w:cs="Times New Roman"/>
                <w:color w:val="auto"/>
                <w:sz w:val="24"/>
                <w:szCs w:val="24"/>
                <w:highlight w:val="none"/>
              </w:rPr>
              <w:t>突发环境事件应急预案</w:t>
            </w:r>
            <w:r>
              <w:rPr>
                <w:rFonts w:hint="eastAsia" w:cs="Times New Roman"/>
                <w:color w:val="auto"/>
                <w:sz w:val="24"/>
                <w:szCs w:val="24"/>
                <w:highlight w:val="none"/>
                <w:lang w:val="en-US" w:eastAsia="zh-CN"/>
              </w:rPr>
              <w:t>编制</w:t>
            </w:r>
            <w:r>
              <w:rPr>
                <w:rFonts w:hint="default" w:ascii="Times New Roman" w:hAnsi="Times New Roman" w:eastAsia="宋体" w:cs="Times New Roman"/>
                <w:color w:val="auto"/>
                <w:sz w:val="24"/>
                <w:szCs w:val="24"/>
                <w:highlight w:val="none"/>
              </w:rPr>
              <w:t>并报相关部门备案。定期组织学习事故应急预案和演练，根据演习情况结合实际对预案进行适当修改；应急队伍要进行专业培训，并要有培训记录和档案；同时，加强各应急救援专业队伍的建设，配备相应器材并确保设备性能完好，保证与相城区各级应急预案相衔接与联动有效，接受上级应急机构的指导。</w:t>
            </w:r>
          </w:p>
          <w:p w14:paraId="4D010689">
            <w:pPr>
              <w:spacing w:line="360" w:lineRule="auto"/>
              <w:ind w:firstLine="470" w:firstLineChars="196"/>
              <w:rPr>
                <w:rFonts w:hint="eastAsia"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针对应急救援，企业应配备相应的应急救援物资，如防护服、灭火器、紧急喷淋装置等。当有事故发生时，能协助参与应急救援。</w:t>
            </w:r>
          </w:p>
          <w:p w14:paraId="76AFC02E">
            <w:pPr>
              <w:spacing w:line="360" w:lineRule="auto"/>
              <w:ind w:firstLine="470" w:firstLineChars="196"/>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本项目运行后，须加强事故防范措施的宣传教育，严格遵守事故防范措施及安全法律法规的要求开展项目的生产建设，并根据实际运行情况对安全事故隐患进行调查登记，将本项目风险事故发生概率控制在最小范围内。</w:t>
            </w:r>
          </w:p>
          <w:p w14:paraId="083DB1F6">
            <w:pPr>
              <w:spacing w:line="360" w:lineRule="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.6  竣工验收内容</w:t>
            </w:r>
          </w:p>
          <w:p w14:paraId="3DA0F0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建设单位应按照《建设项目竣工环境保护验收暂行办法》（原国家环境保护部，国环规环评〔2017〕4号）的要求，及时开展项目竣工环境保护验收工作。在验收时，须检查环评指出的风险防范措施是否落实，规章制度是否健全等。</w:t>
            </w:r>
          </w:p>
          <w:p w14:paraId="65430D77">
            <w:pPr>
              <w:spacing w:line="360" w:lineRule="auto"/>
              <w:rPr>
                <w:rFonts w:hint="default" w:ascii="Times New Roman" w:hAnsi="Times New Roman" w:eastAsia="宋体" w:cs="Times New Roman"/>
                <w:b/>
                <w:bCs/>
                <w:color w:val="auto"/>
                <w:sz w:val="24"/>
                <w:szCs w:val="24"/>
                <w:highlight w:val="none"/>
              </w:rPr>
            </w:pP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rPr>
              <w:t xml:space="preserve">  环境风险评价结论</w:t>
            </w:r>
          </w:p>
          <w:p w14:paraId="17D8ED7F">
            <w:pPr>
              <w:spacing w:line="360" w:lineRule="auto"/>
              <w:ind w:firstLine="480"/>
              <w:rPr>
                <w:rFonts w:hint="default" w:ascii="Times New Roman" w:hAnsi="Times New Roman" w:eastAsia="宋体" w:cs="Times New Roman"/>
                <w:bCs/>
                <w:color w:val="auto"/>
                <w:sz w:val="24"/>
                <w:szCs w:val="24"/>
                <w:highlight w:val="none"/>
              </w:rPr>
            </w:pPr>
            <w:r>
              <w:rPr>
                <w:rFonts w:ascii="Times New Roman" w:hAnsi="Times New Roman" w:cs="Times New Roman"/>
                <w:color w:val="auto"/>
                <w:kern w:val="0"/>
                <w:sz w:val="24"/>
                <w:highlight w:val="none"/>
                <w:lang w:bidi="ar"/>
              </w:rPr>
              <w:t>本项目无重大危险源，对周围环境影响有一定的影响，但在风险可接受范围内。企业应该认真做好各项风险防范措施，完善管理制度，储运应该严格操作，杜绝风险事故的发生。严格履行风险应急预案，一旦发生突发事故，企业除了根据内部制定和履行最快最有效的应急预案自救外，应立即报当地环保及其他相关行政部门。项目实施后的环境风险事故水平在可接受范围之内</w:t>
            </w:r>
            <w:r>
              <w:rPr>
                <w:rFonts w:hint="eastAsia" w:ascii="Times New Roman" w:hAnsi="Times New Roman" w:cs="Times New Roman"/>
                <w:color w:val="auto"/>
                <w:kern w:val="0"/>
                <w:sz w:val="24"/>
                <w:highlight w:val="none"/>
                <w:lang w:eastAsia="zh-CN" w:bidi="ar"/>
              </w:rPr>
              <w:t>。</w:t>
            </w:r>
          </w:p>
          <w:p w14:paraId="67FAE941">
            <w:pPr>
              <w:keepNext w:val="0"/>
              <w:keepLines w:val="0"/>
              <w:pageBreakBefore w:val="0"/>
              <w:widowControl w:val="0"/>
              <w:kinsoku/>
              <w:wordWrap/>
              <w:overflowPunct/>
              <w:topLinePunct w:val="0"/>
              <w:autoSpaceDE/>
              <w:autoSpaceDN/>
              <w:bidi w:val="0"/>
              <w:adjustRightInd/>
              <w:snapToGrid/>
              <w:spacing w:line="360" w:lineRule="auto"/>
              <w:ind w:leftChars="0" w:firstLine="482" w:firstLineChars="200"/>
              <w:jc w:val="both"/>
              <w:textAlignment w:val="auto"/>
              <w:rPr>
                <w:rFonts w:hint="eastAsia" w:ascii="Times New Roman" w:hAnsi="Times New Roman" w:eastAsia="宋体" w:cs="Times New Roman"/>
                <w:b/>
                <w:bCs/>
                <w:color w:val="auto"/>
                <w:sz w:val="24"/>
                <w:szCs w:val="24"/>
                <w:highlight w:val="none"/>
                <w:lang w:eastAsia="zh-CN"/>
              </w:rPr>
            </w:pPr>
            <w:r>
              <w:rPr>
                <w:rFonts w:hint="eastAsia" w:ascii="Times New Roman" w:hAnsi="Times New Roman" w:eastAsia="宋体" w:cs="Times New Roman"/>
                <w:b/>
                <w:bCs/>
                <w:color w:val="auto"/>
                <w:sz w:val="24"/>
                <w:szCs w:val="24"/>
                <w:highlight w:val="none"/>
                <w:lang w:val="en-US" w:eastAsia="zh-CN"/>
              </w:rPr>
              <w:t>8</w:t>
            </w:r>
            <w:r>
              <w:rPr>
                <w:rFonts w:hint="eastAsia" w:ascii="Times New Roman" w:hAnsi="Times New Roman" w:eastAsia="宋体" w:cs="Times New Roman"/>
                <w:b/>
                <w:bCs/>
                <w:color w:val="auto"/>
                <w:sz w:val="24"/>
                <w:szCs w:val="24"/>
                <w:highlight w:val="none"/>
                <w:lang w:eastAsia="zh-CN"/>
              </w:rPr>
              <w:t>、电磁辐射</w:t>
            </w:r>
          </w:p>
          <w:p w14:paraId="271705AA">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both"/>
              <w:textAlignment w:val="auto"/>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本项目不涉及电磁辐射源。</w:t>
            </w:r>
          </w:p>
          <w:p w14:paraId="64B369EC">
            <w:pPr>
              <w:adjustRightInd w:val="0"/>
              <w:snapToGrid w:val="0"/>
              <w:spacing w:line="360" w:lineRule="auto"/>
              <w:rPr>
                <w:bCs/>
                <w:color w:val="auto"/>
                <w:szCs w:val="21"/>
                <w:highlight w:val="none"/>
              </w:rPr>
            </w:pPr>
          </w:p>
        </w:tc>
      </w:tr>
    </w:tbl>
    <w:p w14:paraId="4FAEC2BA">
      <w:pPr>
        <w:adjustRightInd w:val="0"/>
        <w:snapToGrid w:val="0"/>
        <w:spacing w:line="360" w:lineRule="auto"/>
        <w:rPr>
          <w:b/>
          <w:color w:val="auto"/>
          <w:kern w:val="0"/>
          <w:sz w:val="28"/>
          <w:szCs w:val="28"/>
          <w:highlight w:val="none"/>
        </w:rPr>
        <w:sectPr>
          <w:pgSz w:w="11907" w:h="16840"/>
          <w:pgMar w:top="1440" w:right="1797" w:bottom="1440" w:left="1797" w:header="851" w:footer="851" w:gutter="0"/>
          <w:pgBorders>
            <w:top w:val="none" w:sz="0" w:space="0"/>
            <w:left w:val="none" w:sz="0" w:space="0"/>
            <w:bottom w:val="none" w:sz="0" w:space="0"/>
            <w:right w:val="none" w:sz="0" w:space="0"/>
          </w:pgBorders>
          <w:cols w:space="720" w:num="1"/>
          <w:docGrid w:linePitch="312" w:charSpace="0"/>
        </w:sectPr>
      </w:pPr>
    </w:p>
    <w:p w14:paraId="6DB99D62">
      <w:pPr>
        <w:pStyle w:val="19"/>
        <w:spacing w:before="0" w:beforeAutospacing="0" w:after="0" w:afterAutospacing="0" w:line="360" w:lineRule="auto"/>
        <w:jc w:val="center"/>
        <w:outlineLvl w:val="0"/>
        <w:rPr>
          <w:rFonts w:ascii="黑体" w:hAnsi="黑体" w:eastAsia="黑体"/>
          <w:snapToGrid w:val="0"/>
          <w:color w:val="auto"/>
          <w:sz w:val="30"/>
          <w:szCs w:val="30"/>
          <w:highlight w:val="none"/>
        </w:rPr>
      </w:pPr>
      <w:bookmarkStart w:id="15" w:name="_Toc20279"/>
      <w:bookmarkStart w:id="16" w:name="_Toc30990"/>
      <w:r>
        <w:rPr>
          <w:rFonts w:ascii="黑体" w:hAnsi="黑体" w:eastAsia="黑体"/>
          <w:snapToGrid w:val="0"/>
          <w:color w:val="auto"/>
          <w:sz w:val="30"/>
          <w:szCs w:val="30"/>
          <w:highlight w:val="none"/>
        </w:rPr>
        <w:t>五、</w:t>
      </w:r>
      <w:bookmarkStart w:id="17" w:name="_Hlk54167917"/>
      <w:r>
        <w:rPr>
          <w:rFonts w:ascii="黑体" w:hAnsi="黑体" w:eastAsia="黑体"/>
          <w:snapToGrid w:val="0"/>
          <w:color w:val="auto"/>
          <w:sz w:val="30"/>
          <w:szCs w:val="30"/>
          <w:highlight w:val="none"/>
        </w:rPr>
        <w:t>环境保护措施监督检查清单</w:t>
      </w:r>
      <w:bookmarkEnd w:id="15"/>
      <w:bookmarkEnd w:id="16"/>
      <w:bookmarkEnd w:id="17"/>
    </w:p>
    <w:tbl>
      <w:tblPr>
        <w:tblStyle w:val="22"/>
        <w:tblW w:w="905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559"/>
        <w:gridCol w:w="1418"/>
        <w:gridCol w:w="2126"/>
        <w:gridCol w:w="2693"/>
      </w:tblGrid>
      <w:tr w14:paraId="249C3B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4" w:type="dxa"/>
            <w:tcBorders>
              <w:top w:val="single" w:color="auto" w:sz="8" w:space="0"/>
              <w:bottom w:val="single" w:color="auto" w:sz="4" w:space="0"/>
              <w:tl2br w:val="single" w:color="auto" w:sz="4" w:space="0"/>
            </w:tcBorders>
          </w:tcPr>
          <w:p w14:paraId="24EE4354">
            <w:pPr>
              <w:keepNext w:val="0"/>
              <w:keepLines w:val="0"/>
              <w:pageBreakBefore w:val="0"/>
              <w:widowControl w:val="0"/>
              <w:kinsoku/>
              <w:wordWrap/>
              <w:overflowPunct/>
              <w:topLinePunct w:val="0"/>
              <w:bidi w:val="0"/>
              <w:adjustRightInd w:val="0"/>
              <w:snapToGrid w:val="0"/>
              <w:spacing w:line="240" w:lineRule="auto"/>
              <w:jc w:val="right"/>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内容</w:t>
            </w:r>
          </w:p>
          <w:p w14:paraId="54AEFE80">
            <w:pPr>
              <w:keepNext w:val="0"/>
              <w:keepLines w:val="0"/>
              <w:pageBreakBefore w:val="0"/>
              <w:widowControl w:val="0"/>
              <w:kinsoku/>
              <w:wordWrap/>
              <w:overflowPunct/>
              <w:topLinePunct w:val="0"/>
              <w:bidi w:val="0"/>
              <w:adjustRightInd w:val="0"/>
              <w:snapToGrid w:val="0"/>
              <w:spacing w:line="240" w:lineRule="auto"/>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要素</w:t>
            </w:r>
          </w:p>
        </w:tc>
        <w:tc>
          <w:tcPr>
            <w:tcW w:w="1559" w:type="dxa"/>
            <w:tcBorders>
              <w:top w:val="single" w:color="auto" w:sz="8" w:space="0"/>
              <w:bottom w:val="single" w:color="auto" w:sz="4" w:space="0"/>
            </w:tcBorders>
            <w:vAlign w:val="center"/>
          </w:tcPr>
          <w:p w14:paraId="5A039770">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w:t>
            </w:r>
            <w:r>
              <w:rPr>
                <w:rFonts w:hint="eastAsia"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编号、名称</w:t>
            </w:r>
            <w:r>
              <w:rPr>
                <w:rFonts w:hint="eastAsia"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/污染源</w:t>
            </w:r>
          </w:p>
        </w:tc>
        <w:tc>
          <w:tcPr>
            <w:tcW w:w="1418" w:type="dxa"/>
            <w:tcBorders>
              <w:top w:val="single" w:color="auto" w:sz="8" w:space="0"/>
              <w:bottom w:val="single" w:color="auto" w:sz="4" w:space="0"/>
            </w:tcBorders>
            <w:vAlign w:val="center"/>
          </w:tcPr>
          <w:p w14:paraId="3B70B351">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污染物项目</w:t>
            </w:r>
          </w:p>
        </w:tc>
        <w:tc>
          <w:tcPr>
            <w:tcW w:w="2126" w:type="dxa"/>
            <w:tcBorders>
              <w:top w:val="single" w:color="auto" w:sz="8" w:space="0"/>
              <w:bottom w:val="single" w:color="auto" w:sz="4" w:space="0"/>
            </w:tcBorders>
            <w:vAlign w:val="center"/>
          </w:tcPr>
          <w:p w14:paraId="30808F2E">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环境保护措施</w:t>
            </w:r>
          </w:p>
        </w:tc>
        <w:tc>
          <w:tcPr>
            <w:tcW w:w="2693" w:type="dxa"/>
            <w:tcBorders>
              <w:top w:val="single" w:color="auto" w:sz="8" w:space="0"/>
              <w:bottom w:val="single" w:color="auto" w:sz="4" w:space="0"/>
            </w:tcBorders>
            <w:vAlign w:val="center"/>
          </w:tcPr>
          <w:p w14:paraId="14EE0F47">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执行标准</w:t>
            </w:r>
          </w:p>
        </w:tc>
      </w:tr>
      <w:tr w14:paraId="4BCE4E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4" w:type="dxa"/>
            <w:vMerge w:val="restart"/>
            <w:tcBorders>
              <w:top w:val="single" w:color="auto" w:sz="4" w:space="0"/>
            </w:tcBorders>
            <w:vAlign w:val="center"/>
          </w:tcPr>
          <w:p w14:paraId="7D416D2D">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大气环境</w:t>
            </w:r>
          </w:p>
        </w:tc>
        <w:tc>
          <w:tcPr>
            <w:tcW w:w="1559" w:type="dxa"/>
            <w:tcBorders>
              <w:top w:val="single" w:color="auto" w:sz="4" w:space="0"/>
            </w:tcBorders>
            <w:vAlign w:val="center"/>
          </w:tcPr>
          <w:p w14:paraId="6612B435">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厂界无组织</w:t>
            </w:r>
          </w:p>
        </w:tc>
        <w:tc>
          <w:tcPr>
            <w:tcW w:w="1418" w:type="dxa"/>
            <w:tcBorders>
              <w:top w:val="single" w:color="auto" w:sz="4" w:space="0"/>
            </w:tcBorders>
            <w:vAlign w:val="center"/>
          </w:tcPr>
          <w:p w14:paraId="61FC1D94">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非甲烷总烃</w:t>
            </w:r>
          </w:p>
        </w:tc>
        <w:tc>
          <w:tcPr>
            <w:tcW w:w="2126" w:type="dxa"/>
            <w:tcBorders>
              <w:top w:val="single" w:color="auto" w:sz="4" w:space="0"/>
            </w:tcBorders>
            <w:vAlign w:val="center"/>
          </w:tcPr>
          <w:p w14:paraId="79FB30C5">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油雾净化装置</w:t>
            </w:r>
          </w:p>
        </w:tc>
        <w:tc>
          <w:tcPr>
            <w:tcW w:w="2693" w:type="dxa"/>
            <w:tcBorders>
              <w:top w:val="single" w:color="auto" w:sz="4" w:space="0"/>
            </w:tcBorders>
            <w:vAlign w:val="center"/>
          </w:tcPr>
          <w:p w14:paraId="0B167C47">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《大气污染物综合排放标准》（DB</w:t>
            </w:r>
            <w:r>
              <w:rPr>
                <w:rFonts w:hint="eastAsia"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32/4041-2021）表</w:t>
            </w:r>
            <w:r>
              <w:rPr>
                <w:rFonts w:hint="eastAsia" w:cs="Times New Roman"/>
                <w:color w:val="auto"/>
                <w:sz w:val="21"/>
                <w:szCs w:val="21"/>
                <w:highlight w:val="none"/>
                <w:lang w:val="en-US" w:eastAsia="zh-CN"/>
              </w:rPr>
              <w:t>1</w:t>
            </w:r>
          </w:p>
        </w:tc>
      </w:tr>
      <w:tr w14:paraId="4B8F91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4" w:type="dxa"/>
            <w:vMerge w:val="continue"/>
            <w:vAlign w:val="center"/>
          </w:tcPr>
          <w:p w14:paraId="1E2C86CC">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p>
        </w:tc>
        <w:tc>
          <w:tcPr>
            <w:tcW w:w="1559" w:type="dxa"/>
            <w:tcBorders>
              <w:top w:val="single" w:color="auto" w:sz="4" w:space="0"/>
            </w:tcBorders>
            <w:vAlign w:val="center"/>
          </w:tcPr>
          <w:p w14:paraId="3A037D64">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厂区内</w:t>
            </w:r>
            <w:r>
              <w:rPr>
                <w:rFonts w:ascii="Times New Roman" w:hAnsi="Times New Roman" w:eastAsia="宋体" w:cs="Times New Roman"/>
                <w:color w:val="auto"/>
                <w:szCs w:val="21"/>
                <w:highlight w:val="none"/>
              </w:rPr>
              <w:t>厂房外</w:t>
            </w:r>
          </w:p>
        </w:tc>
        <w:tc>
          <w:tcPr>
            <w:tcW w:w="1418" w:type="dxa"/>
            <w:tcBorders>
              <w:top w:val="single" w:color="auto" w:sz="4" w:space="0"/>
            </w:tcBorders>
            <w:vAlign w:val="center"/>
          </w:tcPr>
          <w:p w14:paraId="5AFF5C41">
            <w:pPr>
              <w:adjustRightInd w:val="0"/>
              <w:snapToGrid w:val="0"/>
              <w:jc w:val="center"/>
              <w:rPr>
                <w:rFonts w:hint="eastAsia" w:cs="Times New Roman"/>
                <w:color w:val="auto"/>
                <w:sz w:val="21"/>
                <w:szCs w:val="21"/>
                <w:highlight w:val="none"/>
                <w:lang w:val="en-US" w:eastAsia="zh-CN"/>
              </w:rPr>
            </w:pPr>
            <w:r>
              <w:rPr>
                <w:rFonts w:ascii="Times New Roman" w:hAnsi="Times New Roman" w:eastAsia="宋体" w:cs="Times New Roman"/>
                <w:color w:val="auto"/>
                <w:szCs w:val="21"/>
                <w:highlight w:val="none"/>
              </w:rPr>
              <w:t>非甲烷总烃</w:t>
            </w:r>
          </w:p>
        </w:tc>
        <w:tc>
          <w:tcPr>
            <w:tcW w:w="2126" w:type="dxa"/>
            <w:tcBorders>
              <w:top w:val="single" w:color="auto" w:sz="4" w:space="0"/>
            </w:tcBorders>
            <w:vAlign w:val="center"/>
          </w:tcPr>
          <w:p w14:paraId="5AF28A71">
            <w:pPr>
              <w:adjustRightInd w:val="0"/>
              <w:snapToGrid w:val="0"/>
              <w:jc w:val="center"/>
              <w:rPr>
                <w:rFonts w:hint="eastAsia" w:cs="Times New Roman"/>
                <w:color w:val="auto"/>
                <w:sz w:val="21"/>
                <w:szCs w:val="21"/>
                <w:highlight w:val="none"/>
                <w:lang w:val="en-US" w:eastAsia="zh-CN"/>
              </w:rPr>
            </w:pPr>
            <w:r>
              <w:rPr>
                <w:rFonts w:hint="eastAsia" w:ascii="Times New Roman" w:hAnsi="Times New Roman" w:eastAsia="宋体" w:cs="Times New Roman"/>
                <w:color w:val="auto"/>
                <w:szCs w:val="21"/>
                <w:highlight w:val="none"/>
                <w:lang w:val="en-US" w:eastAsia="zh-CN"/>
              </w:rPr>
              <w:t>加强通风，保持空气流通</w:t>
            </w:r>
          </w:p>
        </w:tc>
        <w:tc>
          <w:tcPr>
            <w:tcW w:w="2693" w:type="dxa"/>
            <w:tcBorders>
              <w:top w:val="single" w:color="auto" w:sz="4" w:space="0"/>
            </w:tcBorders>
            <w:vAlign w:val="center"/>
          </w:tcPr>
          <w:p w14:paraId="54B64ECC">
            <w:pPr>
              <w:keepNext w:val="0"/>
              <w:keepLines w:val="0"/>
              <w:pageBreakBefore w:val="0"/>
              <w:widowControl w:val="0"/>
              <w:kinsoku/>
              <w:wordWrap/>
              <w:overflowPunct/>
              <w:topLinePunct w:val="0"/>
              <w:bidi w:val="0"/>
              <w:spacing w:line="240" w:lineRule="auto"/>
              <w:jc w:val="center"/>
              <w:textAlignment w:val="auto"/>
              <w:rPr>
                <w:rFonts w:hint="default" w:cs="Times New Roman"/>
                <w:sz w:val="21"/>
                <w:szCs w:val="21"/>
                <w:highlight w:val="none"/>
              </w:rPr>
            </w:pPr>
            <w:r>
              <w:rPr>
                <w:rFonts w:hint="eastAsia" w:cs="Times New Roman"/>
                <w:sz w:val="21"/>
                <w:szCs w:val="21"/>
                <w:highlight w:val="none"/>
              </w:rPr>
              <w:t>《</w:t>
            </w:r>
            <w:r>
              <w:rPr>
                <w:rFonts w:hint="eastAsia" w:cs="Times New Roman"/>
                <w:sz w:val="21"/>
                <w:szCs w:val="21"/>
                <w:highlight w:val="none"/>
                <w:lang w:val="en-US" w:eastAsia="zh-CN"/>
              </w:rPr>
              <w:t>挥发性有机物无组织排放控制标准</w:t>
            </w:r>
            <w:r>
              <w:rPr>
                <w:rFonts w:hint="eastAsia" w:cs="Times New Roman"/>
                <w:sz w:val="21"/>
                <w:szCs w:val="21"/>
                <w:highlight w:val="none"/>
              </w:rPr>
              <w:t>》（</w:t>
            </w:r>
            <w:r>
              <w:rPr>
                <w:rFonts w:hint="eastAsia" w:cs="Times New Roman"/>
                <w:sz w:val="21"/>
                <w:szCs w:val="21"/>
                <w:highlight w:val="none"/>
                <w:lang w:val="en-US" w:eastAsia="zh-CN"/>
              </w:rPr>
              <w:t>GB 37822-2019</w:t>
            </w:r>
            <w:r>
              <w:rPr>
                <w:rFonts w:hint="eastAsia" w:cs="Times New Roman"/>
                <w:sz w:val="21"/>
                <w:szCs w:val="21"/>
                <w:highlight w:val="none"/>
              </w:rPr>
              <w:t>）表</w:t>
            </w:r>
            <w:r>
              <w:rPr>
                <w:rFonts w:hint="eastAsia" w:cs="Times New Roman"/>
                <w:sz w:val="21"/>
                <w:szCs w:val="21"/>
                <w:highlight w:val="none"/>
                <w:lang w:val="en-US" w:eastAsia="zh-CN"/>
              </w:rPr>
              <w:t>A.1</w:t>
            </w:r>
          </w:p>
        </w:tc>
      </w:tr>
      <w:tr w14:paraId="6C818C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4" w:type="dxa"/>
            <w:tcBorders>
              <w:top w:val="single" w:color="auto" w:sz="4" w:space="0"/>
              <w:right w:val="single" w:color="auto" w:sz="4" w:space="0"/>
            </w:tcBorders>
            <w:vAlign w:val="center"/>
          </w:tcPr>
          <w:p w14:paraId="608935CB">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地表水环境</w:t>
            </w:r>
          </w:p>
        </w:tc>
        <w:tc>
          <w:tcPr>
            <w:tcW w:w="1559" w:type="dxa"/>
            <w:tcBorders>
              <w:top w:val="single" w:color="auto" w:sz="4" w:space="0"/>
              <w:left w:val="single" w:color="auto" w:sz="4" w:space="0"/>
              <w:right w:val="single" w:color="auto" w:sz="4" w:space="0"/>
            </w:tcBorders>
            <w:vAlign w:val="center"/>
          </w:tcPr>
          <w:p w14:paraId="163E2BAC">
            <w:pPr>
              <w:keepNext w:val="0"/>
              <w:keepLines w:val="0"/>
              <w:pageBreakBefore w:val="0"/>
              <w:widowControl w:val="0"/>
              <w:kinsoku/>
              <w:wordWrap/>
              <w:overflowPunct/>
              <w:topLinePunct w:val="0"/>
              <w:bidi w:val="0"/>
              <w:spacing w:line="240" w:lineRule="auto"/>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生活污水</w:t>
            </w:r>
          </w:p>
        </w:tc>
        <w:tc>
          <w:tcPr>
            <w:tcW w:w="1418" w:type="dxa"/>
            <w:tcBorders>
              <w:top w:val="single" w:color="auto" w:sz="4" w:space="0"/>
              <w:left w:val="single" w:color="auto" w:sz="4" w:space="0"/>
              <w:right w:val="single" w:color="auto" w:sz="4" w:space="0"/>
            </w:tcBorders>
            <w:vAlign w:val="center"/>
          </w:tcPr>
          <w:p w14:paraId="6981BB95">
            <w:pPr>
              <w:pStyle w:val="3"/>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pH、</w:t>
            </w:r>
            <w:r>
              <w:rPr>
                <w:rFonts w:hint="default" w:ascii="Times New Roman" w:hAnsi="Times New Roman" w:eastAsia="宋体" w:cs="Times New Roman"/>
                <w:color w:val="auto"/>
                <w:sz w:val="21"/>
                <w:szCs w:val="21"/>
                <w:highlight w:val="none"/>
              </w:rPr>
              <w:t>COD、SS、NH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-N、TP、TN</w:t>
            </w:r>
          </w:p>
        </w:tc>
        <w:tc>
          <w:tcPr>
            <w:tcW w:w="2126" w:type="dxa"/>
            <w:tcBorders>
              <w:top w:val="single" w:color="auto" w:sz="4" w:space="0"/>
              <w:left w:val="single" w:color="auto" w:sz="4" w:space="0"/>
              <w:right w:val="single" w:color="auto" w:sz="4" w:space="0"/>
            </w:tcBorders>
            <w:vAlign w:val="center"/>
          </w:tcPr>
          <w:p w14:paraId="3AEB1E41">
            <w:pPr>
              <w:pStyle w:val="16"/>
              <w:keepNext w:val="0"/>
              <w:keepLines w:val="0"/>
              <w:pageBreakBefore w:val="0"/>
              <w:widowControl w:val="0"/>
              <w:kinsoku/>
              <w:wordWrap/>
              <w:overflowPunct/>
              <w:topLinePunct w:val="0"/>
              <w:bidi w:val="0"/>
              <w:spacing w:line="24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污水处理</w:t>
            </w:r>
            <w:r>
              <w:rPr>
                <w:rFonts w:hint="eastAsia" w:ascii="Times New Roman" w:hAnsi="Times New Roman" w:cs="Times New Roman"/>
                <w:color w:val="auto"/>
                <w:sz w:val="21"/>
                <w:szCs w:val="21"/>
                <w:highlight w:val="none"/>
                <w:lang w:val="en-US" w:eastAsia="zh-CN"/>
              </w:rPr>
              <w:t>设施</w:t>
            </w:r>
          </w:p>
        </w:tc>
        <w:tc>
          <w:tcPr>
            <w:tcW w:w="2693" w:type="dxa"/>
            <w:tcBorders>
              <w:top w:val="single" w:color="auto" w:sz="4" w:space="0"/>
              <w:left w:val="single" w:color="auto" w:sz="4" w:space="0"/>
              <w:right w:val="single" w:color="auto" w:sz="8" w:space="0"/>
            </w:tcBorders>
            <w:vAlign w:val="center"/>
          </w:tcPr>
          <w:p w14:paraId="3F213D84">
            <w:pPr>
              <w:keepNext w:val="0"/>
              <w:keepLines w:val="0"/>
              <w:pageBreakBefore w:val="0"/>
              <w:widowControl w:val="0"/>
              <w:kinsoku/>
              <w:wordWrap/>
              <w:overflowPunct/>
              <w:topLinePunct w:val="0"/>
              <w:bidi w:val="0"/>
              <w:spacing w:line="240" w:lineRule="auto"/>
              <w:jc w:val="center"/>
              <w:textAlignment w:val="auto"/>
              <w:rPr>
                <w:rFonts w:hint="default" w:cs="Times New Roman"/>
                <w:sz w:val="21"/>
                <w:szCs w:val="21"/>
                <w:highlight w:val="none"/>
              </w:rPr>
            </w:pPr>
            <w:r>
              <w:rPr>
                <w:rFonts w:hint="eastAsia" w:cs="Times New Roman"/>
                <w:sz w:val="21"/>
                <w:szCs w:val="21"/>
                <w:highlight w:val="none"/>
                <w:lang w:val="en-US" w:eastAsia="zh-CN"/>
              </w:rPr>
              <w:t>苏州市相润排水管理有限公司（漕湖污水处理厂）</w:t>
            </w:r>
          </w:p>
        </w:tc>
      </w:tr>
      <w:tr w14:paraId="5197AC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4" w:type="dxa"/>
            <w:tcBorders>
              <w:top w:val="single" w:color="auto" w:sz="4" w:space="0"/>
              <w:bottom w:val="single" w:color="auto" w:sz="4" w:space="0"/>
            </w:tcBorders>
            <w:vAlign w:val="center"/>
          </w:tcPr>
          <w:p w14:paraId="38281E9D">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w:t>
            </w:r>
          </w:p>
        </w:tc>
        <w:tc>
          <w:tcPr>
            <w:tcW w:w="1559" w:type="dxa"/>
            <w:tcBorders>
              <w:top w:val="single" w:color="auto" w:sz="4" w:space="0"/>
              <w:bottom w:val="single" w:color="auto" w:sz="4" w:space="0"/>
            </w:tcBorders>
            <w:vAlign w:val="center"/>
          </w:tcPr>
          <w:p w14:paraId="34CCA586">
            <w:pPr>
              <w:keepNext w:val="0"/>
              <w:keepLines w:val="0"/>
              <w:pageBreakBefore w:val="0"/>
              <w:widowControl w:val="0"/>
              <w:kinsoku/>
              <w:wordWrap/>
              <w:overflowPunct/>
              <w:topLinePunct w:val="0"/>
              <w:bidi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机械设备噪声</w:t>
            </w:r>
          </w:p>
        </w:tc>
        <w:tc>
          <w:tcPr>
            <w:tcW w:w="1418" w:type="dxa"/>
            <w:tcBorders>
              <w:top w:val="single" w:color="auto" w:sz="4" w:space="0"/>
              <w:bottom w:val="single" w:color="auto" w:sz="4" w:space="0"/>
            </w:tcBorders>
            <w:vAlign w:val="center"/>
          </w:tcPr>
          <w:p w14:paraId="5AFB2706">
            <w:pPr>
              <w:keepNext w:val="0"/>
              <w:keepLines w:val="0"/>
              <w:pageBreakBefore w:val="0"/>
              <w:widowControl w:val="0"/>
              <w:kinsoku/>
              <w:wordWrap/>
              <w:overflowPunct/>
              <w:topLinePunct w:val="0"/>
              <w:bidi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等效A声级</w:t>
            </w:r>
          </w:p>
        </w:tc>
        <w:tc>
          <w:tcPr>
            <w:tcW w:w="2126" w:type="dxa"/>
            <w:tcBorders>
              <w:top w:val="single" w:color="auto" w:sz="4" w:space="0"/>
              <w:bottom w:val="single" w:color="auto" w:sz="4" w:space="0"/>
            </w:tcBorders>
            <w:vAlign w:val="center"/>
          </w:tcPr>
          <w:p w14:paraId="16575B85">
            <w:pPr>
              <w:keepNext w:val="0"/>
              <w:keepLines w:val="0"/>
              <w:pageBreakBefore w:val="0"/>
              <w:widowControl w:val="0"/>
              <w:kinsoku/>
              <w:wordWrap/>
              <w:overflowPunct/>
              <w:topLinePunct w:val="0"/>
              <w:bidi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选用低噪声设备，利用墙体隔声、合理平面布局，距离衰减</w:t>
            </w:r>
          </w:p>
        </w:tc>
        <w:tc>
          <w:tcPr>
            <w:tcW w:w="2693" w:type="dxa"/>
            <w:tcBorders>
              <w:top w:val="single" w:color="auto" w:sz="4" w:space="0"/>
              <w:bottom w:val="single" w:color="auto" w:sz="4" w:space="0"/>
            </w:tcBorders>
            <w:vAlign w:val="center"/>
          </w:tcPr>
          <w:p w14:paraId="2252EB12">
            <w:pPr>
              <w:keepNext w:val="0"/>
              <w:keepLines w:val="0"/>
              <w:pageBreakBefore w:val="0"/>
              <w:widowControl w:val="0"/>
              <w:kinsoku/>
              <w:wordWrap/>
              <w:overflowPunct/>
              <w:topLinePunct w:val="0"/>
              <w:bidi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w:t>
            </w:r>
            <w:r>
              <w:rPr>
                <w:rFonts w:cs="Times New Roman"/>
                <w:sz w:val="21"/>
                <w:szCs w:val="21"/>
                <w:highlight w:val="none"/>
              </w:rPr>
              <w:t>（GB</w:t>
            </w:r>
            <w:r>
              <w:rPr>
                <w:rFonts w:hint="eastAsia" w:cs="Times New Roman"/>
                <w:sz w:val="21"/>
                <w:szCs w:val="21"/>
                <w:highlight w:val="none"/>
                <w:lang w:val="en-US" w:eastAsia="zh-CN"/>
              </w:rPr>
              <w:t xml:space="preserve"> </w:t>
            </w:r>
            <w:r>
              <w:rPr>
                <w:rFonts w:cs="Times New Roman"/>
                <w:sz w:val="21"/>
                <w:szCs w:val="21"/>
                <w:highlight w:val="none"/>
              </w:rPr>
              <w:t>12348-2008）</w:t>
            </w:r>
            <w:r>
              <w:rPr>
                <w:rFonts w:hint="default" w:ascii="Times New Roman" w:hAnsi="Times New Roman" w:eastAsia="宋体" w:cs="Times New Roman"/>
                <w:color w:val="auto"/>
                <w:sz w:val="21"/>
                <w:szCs w:val="21"/>
                <w:highlight w:val="none"/>
              </w:rPr>
              <w:t>3类标准</w:t>
            </w:r>
          </w:p>
        </w:tc>
      </w:tr>
      <w:tr w14:paraId="7247CA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254" w:type="dxa"/>
            <w:tcBorders>
              <w:top w:val="single" w:color="auto" w:sz="4" w:space="0"/>
              <w:bottom w:val="single" w:color="auto" w:sz="4" w:space="0"/>
            </w:tcBorders>
            <w:vAlign w:val="center"/>
          </w:tcPr>
          <w:p w14:paraId="65E33DAF">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电磁辐射</w:t>
            </w:r>
          </w:p>
        </w:tc>
        <w:tc>
          <w:tcPr>
            <w:tcW w:w="1559" w:type="dxa"/>
            <w:tcBorders>
              <w:top w:val="single" w:color="auto" w:sz="4" w:space="0"/>
              <w:bottom w:val="single" w:color="auto" w:sz="4" w:space="0"/>
            </w:tcBorders>
            <w:vAlign w:val="center"/>
          </w:tcPr>
          <w:p w14:paraId="0A4B36B5">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418" w:type="dxa"/>
            <w:tcBorders>
              <w:top w:val="single" w:color="auto" w:sz="4" w:space="0"/>
              <w:bottom w:val="single" w:color="auto" w:sz="4" w:space="0"/>
            </w:tcBorders>
            <w:vAlign w:val="center"/>
          </w:tcPr>
          <w:p w14:paraId="0974EB03">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126" w:type="dxa"/>
            <w:tcBorders>
              <w:top w:val="single" w:color="auto" w:sz="4" w:space="0"/>
              <w:bottom w:val="single" w:color="auto" w:sz="4" w:space="0"/>
            </w:tcBorders>
            <w:vAlign w:val="center"/>
          </w:tcPr>
          <w:p w14:paraId="495B40CD">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693" w:type="dxa"/>
            <w:tcBorders>
              <w:top w:val="single" w:color="auto" w:sz="4" w:space="0"/>
              <w:bottom w:val="single" w:color="auto" w:sz="4" w:space="0"/>
            </w:tcBorders>
            <w:vAlign w:val="center"/>
          </w:tcPr>
          <w:p w14:paraId="6DAE02C7">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2420C4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254" w:type="dxa"/>
            <w:tcBorders>
              <w:top w:val="single" w:color="auto" w:sz="4" w:space="0"/>
              <w:bottom w:val="single" w:color="auto" w:sz="4" w:space="0"/>
            </w:tcBorders>
            <w:vAlign w:val="center"/>
          </w:tcPr>
          <w:p w14:paraId="617DA68B">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7796" w:type="dxa"/>
            <w:gridSpan w:val="4"/>
            <w:tcBorders>
              <w:top w:val="single" w:color="auto" w:sz="4" w:space="0"/>
            </w:tcBorders>
            <w:vAlign w:val="center"/>
          </w:tcPr>
          <w:p w14:paraId="7A0EA87F">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一般工业固废暂存于一般固废暂存间，定期交由物资回收单位回收利用；危险废物</w:t>
            </w:r>
            <w:r>
              <w:rPr>
                <w:rFonts w:hint="eastAsia" w:cs="Times New Roman"/>
                <w:color w:val="auto"/>
                <w:sz w:val="21"/>
                <w:szCs w:val="21"/>
                <w:highlight w:val="none"/>
                <w:lang w:val="en-US" w:eastAsia="zh-CN"/>
              </w:rPr>
              <w:t>暂存于危废暂存间，定期</w:t>
            </w:r>
            <w:r>
              <w:rPr>
                <w:rFonts w:ascii="Times New Roman" w:hAnsi="Times New Roman" w:eastAsia="宋体" w:cs="Times New Roman"/>
                <w:color w:val="auto"/>
                <w:sz w:val="21"/>
                <w:szCs w:val="21"/>
                <w:highlight w:val="none"/>
              </w:rPr>
              <w:t>委托资质单位外运处置；生活垃圾交由环卫部门统一清运处理</w:t>
            </w:r>
          </w:p>
        </w:tc>
      </w:tr>
      <w:tr w14:paraId="055970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91" w:hRule="atLeast"/>
          <w:jc w:val="center"/>
        </w:trPr>
        <w:tc>
          <w:tcPr>
            <w:tcW w:w="1254" w:type="dxa"/>
            <w:tcBorders>
              <w:top w:val="single" w:color="auto" w:sz="4" w:space="0"/>
              <w:bottom w:val="single" w:color="auto" w:sz="4" w:space="0"/>
            </w:tcBorders>
            <w:vAlign w:val="center"/>
          </w:tcPr>
          <w:p w14:paraId="7493BAEC">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土壤及地下水污染防治措施</w:t>
            </w:r>
          </w:p>
        </w:tc>
        <w:tc>
          <w:tcPr>
            <w:tcW w:w="7796" w:type="dxa"/>
            <w:gridSpan w:val="4"/>
            <w:tcBorders>
              <w:top w:val="single" w:color="auto" w:sz="4" w:space="0"/>
              <w:bottom w:val="single" w:color="auto" w:sz="4" w:space="0"/>
            </w:tcBorders>
            <w:vAlign w:val="center"/>
          </w:tcPr>
          <w:p w14:paraId="0DE4A2D2">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①源头控制措施：主要包括提出各类废物循环利用的具体方案，减少污染物的排放量；提出工艺、管道、设备储存应采取的污染控制措施，制定渗漏监测方案，将污染物跑、冒、滴、漏降到最低限度。</w:t>
            </w:r>
          </w:p>
          <w:p w14:paraId="479B7BE3">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②分区防控措施：</w:t>
            </w:r>
            <w:r>
              <w:rPr>
                <w:rFonts w:hint="default" w:ascii="Times New Roman" w:hAnsi="Times New Roman" w:eastAsia="宋体" w:cs="Times New Roman"/>
                <w:color w:val="auto"/>
                <w:sz w:val="21"/>
                <w:szCs w:val="21"/>
                <w:highlight w:val="none"/>
                <w:lang w:eastAsia="zh-CN"/>
              </w:rPr>
              <w:t>按照划分的</w:t>
            </w:r>
            <w:r>
              <w:rPr>
                <w:rFonts w:hint="default" w:ascii="Times New Roman" w:hAnsi="Times New Roman" w:eastAsia="宋体" w:cs="Times New Roman"/>
                <w:color w:val="auto"/>
                <w:sz w:val="21"/>
                <w:szCs w:val="21"/>
                <w:highlight w:val="none"/>
              </w:rPr>
              <w:t>简单防渗区、一般防渗区、重点防渗区</w:t>
            </w:r>
            <w:r>
              <w:rPr>
                <w:rFonts w:hint="default" w:ascii="Times New Roman" w:hAnsi="Times New Roman" w:eastAsia="宋体" w:cs="Times New Roman"/>
                <w:color w:val="auto"/>
                <w:sz w:val="21"/>
                <w:szCs w:val="21"/>
                <w:highlight w:val="none"/>
                <w:lang w:eastAsia="zh-CN"/>
              </w:rPr>
              <w:t>的要求</w:t>
            </w:r>
            <w:r>
              <w:rPr>
                <w:rFonts w:hint="default" w:ascii="Times New Roman" w:hAnsi="Times New Roman" w:eastAsia="宋体" w:cs="Times New Roman"/>
                <w:color w:val="auto"/>
                <w:sz w:val="21"/>
                <w:szCs w:val="21"/>
                <w:highlight w:val="none"/>
              </w:rPr>
              <w:t>采取不同等级的防渗措施</w:t>
            </w:r>
            <w:r>
              <w:rPr>
                <w:rFonts w:hint="default" w:ascii="Times New Roman" w:hAnsi="Times New Roman" w:eastAsia="宋体" w:cs="Times New Roman"/>
                <w:color w:val="auto"/>
                <w:sz w:val="21"/>
                <w:szCs w:val="21"/>
                <w:highlight w:val="none"/>
                <w:lang w:eastAsia="zh-CN"/>
              </w:rPr>
              <w:t>。</w:t>
            </w:r>
          </w:p>
          <w:p w14:paraId="2AD59B9B">
            <w:pPr>
              <w:keepNext w:val="0"/>
              <w:keepLines w:val="0"/>
              <w:pageBreakBefore w:val="0"/>
              <w:widowControl w:val="0"/>
              <w:kinsoku/>
              <w:wordWrap/>
              <w:overflowPunct/>
              <w:topLinePunct w:val="0"/>
              <w:bidi w:val="0"/>
              <w:adjustRightInd w:val="0"/>
              <w:snapToGrid w:val="0"/>
              <w:spacing w:line="24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w:t>
            </w:r>
            <w:r>
              <w:rPr>
                <w:rFonts w:hint="default" w:ascii="Times New Roman" w:hAnsi="Times New Roman" w:eastAsia="宋体" w:cs="Times New Roman"/>
                <w:color w:val="auto"/>
                <w:sz w:val="21"/>
                <w:szCs w:val="21"/>
                <w:highlight w:val="none"/>
                <w:lang w:eastAsia="zh-CN"/>
              </w:rPr>
              <w:t>加强巡查，</w:t>
            </w:r>
            <w:r>
              <w:rPr>
                <w:rFonts w:hint="default" w:ascii="Times New Roman" w:hAnsi="Times New Roman" w:cs="Times New Roman"/>
                <w:color w:val="auto"/>
                <w:sz w:val="21"/>
                <w:szCs w:val="21"/>
                <w:highlight w:val="none"/>
              </w:rPr>
              <w:t>定期对</w:t>
            </w:r>
            <w:r>
              <w:rPr>
                <w:rFonts w:hint="default" w:ascii="Times New Roman" w:hAnsi="Times New Roman" w:cs="Times New Roman"/>
                <w:color w:val="auto"/>
                <w:sz w:val="21"/>
                <w:szCs w:val="21"/>
                <w:highlight w:val="none"/>
                <w:lang w:eastAsia="zh-CN"/>
              </w:rPr>
              <w:t>各生产</w:t>
            </w:r>
            <w:r>
              <w:rPr>
                <w:rFonts w:hint="default" w:ascii="Times New Roman" w:hAnsi="Times New Roman" w:cs="Times New Roman"/>
                <w:color w:val="auto"/>
                <w:sz w:val="21"/>
                <w:szCs w:val="21"/>
                <w:highlight w:val="none"/>
              </w:rPr>
              <w:t>设备</w:t>
            </w:r>
            <w:r>
              <w:rPr>
                <w:rFonts w:hint="default" w:ascii="Times New Roman" w:hAnsi="Times New Roman" w:cs="Times New Roman"/>
                <w:color w:val="auto"/>
                <w:sz w:val="21"/>
                <w:szCs w:val="21"/>
                <w:highlight w:val="none"/>
                <w:lang w:eastAsia="zh-CN"/>
              </w:rPr>
              <w:t>、废气处理设备</w:t>
            </w:r>
            <w:r>
              <w:rPr>
                <w:rFonts w:hint="default" w:ascii="Times New Roman" w:hAnsi="Times New Roman" w:cs="Times New Roman"/>
                <w:color w:val="auto"/>
                <w:sz w:val="21"/>
                <w:szCs w:val="21"/>
                <w:highlight w:val="none"/>
              </w:rPr>
              <w:t>等进行检修，防止跑、冒、滴、漏现象发生。</w:t>
            </w:r>
          </w:p>
        </w:tc>
      </w:tr>
      <w:tr w14:paraId="2E8DD4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254" w:type="dxa"/>
            <w:tcBorders>
              <w:top w:val="single" w:color="auto" w:sz="4" w:space="0"/>
              <w:bottom w:val="single" w:color="auto" w:sz="4" w:space="0"/>
            </w:tcBorders>
            <w:vAlign w:val="center"/>
          </w:tcPr>
          <w:p w14:paraId="6AA039EB">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生态保护措施</w:t>
            </w:r>
          </w:p>
        </w:tc>
        <w:tc>
          <w:tcPr>
            <w:tcW w:w="7796" w:type="dxa"/>
            <w:gridSpan w:val="4"/>
            <w:tcBorders>
              <w:top w:val="single" w:color="auto" w:sz="4" w:space="0"/>
              <w:bottom w:val="single" w:color="auto" w:sz="4" w:space="0"/>
            </w:tcBorders>
            <w:vAlign w:val="center"/>
          </w:tcPr>
          <w:p w14:paraId="2D76FF5D">
            <w:pPr>
              <w:keepNext w:val="0"/>
              <w:keepLines w:val="0"/>
              <w:pageBreakBefore w:val="0"/>
              <w:widowControl w:val="0"/>
              <w:kinsoku/>
              <w:wordWrap/>
              <w:overflowPunct/>
              <w:topLinePunct w:val="0"/>
              <w:bidi w:val="0"/>
              <w:adjustRightInd w:val="0"/>
              <w:snapToGrid w:val="0"/>
              <w:spacing w:line="24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0AFC1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254" w:type="dxa"/>
            <w:tcBorders>
              <w:top w:val="single" w:color="auto" w:sz="4" w:space="0"/>
              <w:bottom w:val="single" w:color="auto" w:sz="4" w:space="0"/>
            </w:tcBorders>
            <w:vAlign w:val="center"/>
          </w:tcPr>
          <w:p w14:paraId="66E9331A">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w:t>
            </w:r>
          </w:p>
          <w:p w14:paraId="72FFD7CA">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防范措施</w:t>
            </w:r>
          </w:p>
        </w:tc>
        <w:tc>
          <w:tcPr>
            <w:tcW w:w="7796" w:type="dxa"/>
            <w:gridSpan w:val="4"/>
            <w:tcBorders>
              <w:top w:val="single" w:color="auto" w:sz="4" w:space="0"/>
              <w:bottom w:val="single" w:color="auto" w:sz="4" w:space="0"/>
            </w:tcBorders>
            <w:vAlign w:val="center"/>
          </w:tcPr>
          <w:p w14:paraId="551498CF">
            <w:pPr>
              <w:keepNext w:val="0"/>
              <w:keepLines w:val="0"/>
              <w:pageBreakBefore w:val="0"/>
              <w:widowControl w:val="0"/>
              <w:kinsoku/>
              <w:wordWrap/>
              <w:overflowPunct/>
              <w:topLinePunct w:val="0"/>
              <w:bidi w:val="0"/>
              <w:adjustRightInd w:val="0"/>
              <w:snapToGrid w:val="0"/>
              <w:spacing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建立健全的环保机构，对管理人员和技术人员进行岗位培训；</w:t>
            </w:r>
          </w:p>
          <w:p w14:paraId="0B19149E">
            <w:pPr>
              <w:pStyle w:val="28"/>
              <w:keepNext w:val="0"/>
              <w:keepLines w:val="0"/>
              <w:pageBreakBefore w:val="0"/>
              <w:widowControl w:val="0"/>
              <w:kinsoku/>
              <w:wordWrap/>
              <w:overflowPunct/>
              <w:topLinePunct w:val="0"/>
              <w:bidi w:val="0"/>
              <w:spacing w:line="240" w:lineRule="auto"/>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配备应急物资，制定应急预案，定期</w:t>
            </w:r>
            <w:r>
              <w:rPr>
                <w:rFonts w:hint="eastAsia" w:ascii="Times New Roman" w:cs="Times New Roman"/>
                <w:color w:val="auto"/>
                <w:sz w:val="21"/>
                <w:szCs w:val="21"/>
                <w:highlight w:val="none"/>
                <w:lang w:eastAsia="zh-CN"/>
              </w:rPr>
              <w:t>进行</w:t>
            </w:r>
            <w:r>
              <w:rPr>
                <w:rFonts w:hint="default" w:ascii="Times New Roman" w:hAnsi="Times New Roman" w:eastAsia="宋体" w:cs="Times New Roman"/>
                <w:color w:val="auto"/>
                <w:sz w:val="21"/>
                <w:szCs w:val="21"/>
                <w:highlight w:val="none"/>
              </w:rPr>
              <w:t>演练；</w:t>
            </w:r>
          </w:p>
          <w:p w14:paraId="65999CD9">
            <w:pPr>
              <w:keepNext w:val="0"/>
              <w:keepLines w:val="0"/>
              <w:pageBreakBefore w:val="0"/>
              <w:widowControl w:val="0"/>
              <w:kinsoku/>
              <w:wordWrap/>
              <w:overflowPunct/>
              <w:topLinePunct w:val="0"/>
              <w:bidi w:val="0"/>
              <w:adjustRightInd w:val="0"/>
              <w:snapToGrid w:val="0"/>
              <w:spacing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设置防渗、截流措施。</w:t>
            </w:r>
          </w:p>
        </w:tc>
      </w:tr>
      <w:tr w14:paraId="01530F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9" w:hRule="atLeast"/>
          <w:jc w:val="center"/>
        </w:trPr>
        <w:tc>
          <w:tcPr>
            <w:tcW w:w="1254" w:type="dxa"/>
            <w:tcBorders>
              <w:top w:val="single" w:color="auto" w:sz="4" w:space="0"/>
              <w:bottom w:val="single" w:color="auto" w:sz="8" w:space="0"/>
            </w:tcBorders>
            <w:vAlign w:val="center"/>
          </w:tcPr>
          <w:p w14:paraId="6205B045">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其他环境</w:t>
            </w:r>
          </w:p>
          <w:p w14:paraId="61BA7F71">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管理要求</w:t>
            </w:r>
          </w:p>
        </w:tc>
        <w:tc>
          <w:tcPr>
            <w:tcW w:w="7796" w:type="dxa"/>
            <w:gridSpan w:val="4"/>
            <w:tcBorders>
              <w:top w:val="single" w:color="auto" w:sz="4" w:space="0"/>
              <w:bottom w:val="single" w:color="auto" w:sz="8" w:space="0"/>
            </w:tcBorders>
            <w:vAlign w:val="center"/>
          </w:tcPr>
          <w:p w14:paraId="6A584131">
            <w:pPr>
              <w:pStyle w:val="28"/>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建设单位应当依照《排污许可管理条例》规定申请取得排污许可证，未取得排污</w:t>
            </w:r>
            <w:r>
              <w:rPr>
                <w:rFonts w:hint="default" w:ascii="Times New Roman" w:cs="Times New Roman"/>
                <w:color w:val="auto"/>
                <w:sz w:val="21"/>
                <w:szCs w:val="21"/>
                <w:highlight w:val="none"/>
                <w:lang w:eastAsia="zh-CN"/>
              </w:rPr>
              <w:t>许可证</w:t>
            </w:r>
            <w:r>
              <w:rPr>
                <w:rFonts w:hint="default" w:ascii="Times New Roman" w:hAnsi="Times New Roman" w:eastAsia="宋体" w:cs="Times New Roman"/>
                <w:color w:val="auto"/>
                <w:sz w:val="21"/>
                <w:szCs w:val="21"/>
                <w:highlight w:val="none"/>
              </w:rPr>
              <w:t>的，不得排放污染物。项目建成后，环保设施调试前，建设单位应向社会公开并向环保部门报送竣工、环保设施调试日期，并在投入调试前取得相关许可证。调试期3个月内建设单位按照《建设项目竣工环境保护验收暂行办法》自行组织验收，建设单位应当在出具验收合格的意见后5个工作日内，通过网站或者其他便于公众知悉的方式，依法向社会公开验收报告和验收意见，公开的期限不得少于20个工作日。公开结束后5个工作日内，建设单位应当</w:t>
            </w:r>
            <w:r>
              <w:rPr>
                <w:rFonts w:hint="default" w:ascii="Times New Roman" w:cs="Times New Roman"/>
                <w:color w:val="auto"/>
                <w:sz w:val="21"/>
                <w:szCs w:val="21"/>
                <w:highlight w:val="none"/>
                <w:lang w:eastAsia="zh-CN"/>
              </w:rPr>
              <w:t>登录</w:t>
            </w:r>
            <w:r>
              <w:rPr>
                <w:rFonts w:hint="default" w:ascii="Times New Roman" w:hAnsi="Times New Roman" w:eastAsia="宋体" w:cs="Times New Roman"/>
                <w:color w:val="auto"/>
                <w:sz w:val="21"/>
                <w:szCs w:val="21"/>
                <w:highlight w:val="none"/>
              </w:rPr>
              <w:t>全国建设项目竣工环境保护验收信息平台，填报相关信息并对信息的真实性、准确性和完整性负责。</w:t>
            </w:r>
          </w:p>
        </w:tc>
      </w:tr>
    </w:tbl>
    <w:p w14:paraId="15D21606">
      <w:pPr>
        <w:pStyle w:val="19"/>
        <w:spacing w:before="0" w:beforeAutospacing="0" w:after="0" w:afterAutospacing="0"/>
        <w:jc w:val="center"/>
        <w:outlineLvl w:val="0"/>
        <w:rPr>
          <w:rFonts w:ascii="Times New Roman" w:hAnsi="Times New Roman"/>
          <w:snapToGrid w:val="0"/>
          <w:color w:val="auto"/>
          <w:sz w:val="30"/>
          <w:szCs w:val="30"/>
          <w:highlight w:val="none"/>
        </w:rPr>
      </w:pPr>
      <w:r>
        <w:rPr>
          <w:rFonts w:ascii="Times New Roman" w:hAnsi="Times New Roman"/>
          <w:snapToGrid w:val="0"/>
          <w:color w:val="auto"/>
          <w:highlight w:val="none"/>
        </w:rPr>
        <w:br w:type="page"/>
      </w:r>
      <w:bookmarkStart w:id="18" w:name="_Toc14023"/>
      <w:bookmarkStart w:id="19" w:name="_Toc3789"/>
      <w:r>
        <w:rPr>
          <w:rFonts w:ascii="Times New Roman" w:hAnsi="Times New Roman"/>
          <w:b/>
          <w:snapToGrid w:val="0"/>
          <w:color w:val="auto"/>
          <w:sz w:val="30"/>
          <w:szCs w:val="30"/>
          <w:highlight w:val="none"/>
        </w:rPr>
        <w:t>六、结论</w:t>
      </w:r>
      <w:bookmarkEnd w:id="18"/>
      <w:bookmarkEnd w:id="19"/>
    </w:p>
    <w:tbl>
      <w:tblPr>
        <w:tblStyle w:val="22"/>
        <w:tblW w:w="922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25"/>
      </w:tblGrid>
      <w:tr w14:paraId="09717C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16" w:hRule="atLeast"/>
          <w:jc w:val="center"/>
        </w:trPr>
        <w:tc>
          <w:tcPr>
            <w:tcW w:w="9225" w:type="dxa"/>
          </w:tcPr>
          <w:p w14:paraId="5DCA3612">
            <w:pPr>
              <w:adjustRightInd w:val="0"/>
              <w:snapToGrid w:val="0"/>
              <w:spacing w:line="360" w:lineRule="auto"/>
              <w:ind w:firstLine="600" w:firstLineChars="250"/>
              <w:jc w:val="left"/>
              <w:rPr>
                <w:rFonts w:cs="Times New Roman"/>
                <w:color w:val="auto"/>
                <w:sz w:val="24"/>
                <w:szCs w:val="24"/>
                <w:highlight w:val="none"/>
              </w:rPr>
            </w:pPr>
            <w:r>
              <w:rPr>
                <w:rFonts w:cs="Times New Roman"/>
                <w:color w:val="auto"/>
                <w:sz w:val="24"/>
                <w:szCs w:val="24"/>
                <w:highlight w:val="none"/>
              </w:rPr>
              <w:t>通过对项目所在地区的环境现状评价以及项目的环境影响分析，认为本项目在投入使用后，切实加强安全和环境管理，落实本报告表提出的各项对策和要求，有效控制污染物排放，将对周围环境影响控制在较小的范围内；因此评价认为，项目具有环境可行性。</w:t>
            </w:r>
          </w:p>
          <w:p w14:paraId="7A0D93B7">
            <w:pPr>
              <w:adjustRightInd w:val="0"/>
              <w:snapToGrid w:val="0"/>
              <w:spacing w:line="360" w:lineRule="auto"/>
              <w:ind w:firstLine="600" w:firstLineChars="250"/>
              <w:jc w:val="left"/>
              <w:rPr>
                <w:rFonts w:cs="Times New Roman"/>
                <w:color w:val="auto"/>
                <w:sz w:val="24"/>
                <w:szCs w:val="24"/>
                <w:highlight w:val="none"/>
              </w:rPr>
            </w:pPr>
            <w:r>
              <w:rPr>
                <w:rFonts w:cs="Times New Roman"/>
                <w:color w:val="auto"/>
                <w:sz w:val="24"/>
                <w:szCs w:val="24"/>
                <w:highlight w:val="none"/>
              </w:rPr>
              <w:t>综上所述，本项目建成后，能落实各项环保措施和本报告表提出的各项建议和要求，投产后周围环境状态基本保持原有的水平，因此从环保角度来说该项目基本可行。</w:t>
            </w:r>
          </w:p>
          <w:p w14:paraId="1AA4028C">
            <w:pPr>
              <w:adjustRightInd w:val="0"/>
              <w:snapToGrid w:val="0"/>
              <w:spacing w:line="360" w:lineRule="auto"/>
              <w:jc w:val="left"/>
              <w:rPr>
                <w:color w:val="auto"/>
                <w:szCs w:val="21"/>
                <w:highlight w:val="none"/>
              </w:rPr>
            </w:pPr>
          </w:p>
          <w:p w14:paraId="1ADC9E25">
            <w:pPr>
              <w:adjustRightInd w:val="0"/>
              <w:snapToGrid w:val="0"/>
              <w:spacing w:line="360" w:lineRule="auto"/>
              <w:jc w:val="left"/>
              <w:rPr>
                <w:color w:val="auto"/>
                <w:szCs w:val="21"/>
                <w:highlight w:val="none"/>
              </w:rPr>
            </w:pPr>
          </w:p>
        </w:tc>
      </w:tr>
    </w:tbl>
    <w:p w14:paraId="31DE83F7">
      <w:pPr>
        <w:rPr>
          <w:color w:val="auto"/>
          <w:highlight w:val="none"/>
        </w:rPr>
        <w:sectPr>
          <w:pgSz w:w="11906" w:h="16838"/>
          <w:pgMar w:top="1440" w:right="1797" w:bottom="1440" w:left="1797" w:header="851" w:footer="851" w:gutter="0"/>
          <w:pgBorders>
            <w:top w:val="none" w:sz="0" w:space="0"/>
            <w:left w:val="none" w:sz="0" w:space="0"/>
            <w:bottom w:val="none" w:sz="0" w:space="0"/>
            <w:right w:val="none" w:sz="0" w:space="0"/>
          </w:pgBorders>
          <w:cols w:space="720" w:num="1"/>
          <w:docGrid w:linePitch="312" w:charSpace="0"/>
        </w:sectPr>
      </w:pPr>
    </w:p>
    <w:p w14:paraId="11B220AC">
      <w:pPr>
        <w:pStyle w:val="19"/>
        <w:spacing w:before="0" w:beforeAutospacing="0" w:after="0" w:afterAutospacing="0"/>
        <w:outlineLvl w:val="0"/>
        <w:rPr>
          <w:rFonts w:ascii="Times New Roman" w:hAnsi="Times New Roman"/>
          <w:b/>
          <w:snapToGrid w:val="0"/>
          <w:color w:val="auto"/>
          <w:sz w:val="36"/>
          <w:szCs w:val="30"/>
          <w:highlight w:val="none"/>
        </w:rPr>
      </w:pPr>
      <w:bookmarkStart w:id="20" w:name="_Toc30349"/>
      <w:bookmarkStart w:id="21" w:name="_Toc7625"/>
      <w:r>
        <w:rPr>
          <w:rFonts w:ascii="Times New Roman" w:hAnsi="Times New Roman"/>
          <w:b/>
          <w:snapToGrid w:val="0"/>
          <w:color w:val="auto"/>
          <w:sz w:val="36"/>
          <w:szCs w:val="30"/>
          <w:highlight w:val="none"/>
        </w:rPr>
        <w:t>附表</w:t>
      </w:r>
      <w:bookmarkEnd w:id="20"/>
      <w:bookmarkEnd w:id="21"/>
    </w:p>
    <w:p w14:paraId="66D2D9DE">
      <w:pPr>
        <w:pStyle w:val="19"/>
        <w:spacing w:before="0" w:beforeAutospacing="0" w:after="0" w:afterAutospacing="0"/>
        <w:jc w:val="center"/>
        <w:outlineLvl w:val="0"/>
        <w:rPr>
          <w:rFonts w:ascii="Times New Roman" w:hAnsi="Times New Roman"/>
          <w:b/>
          <w:snapToGrid w:val="0"/>
          <w:color w:val="auto"/>
          <w:sz w:val="30"/>
          <w:szCs w:val="30"/>
          <w:highlight w:val="none"/>
        </w:rPr>
      </w:pPr>
      <w:bookmarkStart w:id="22" w:name="_Toc17947"/>
      <w:bookmarkStart w:id="23" w:name="_Toc6538"/>
      <w:r>
        <w:rPr>
          <w:rFonts w:ascii="Times New Roman" w:hAnsi="Times New Roman"/>
          <w:b/>
          <w:snapToGrid w:val="0"/>
          <w:color w:val="auto"/>
          <w:sz w:val="30"/>
          <w:szCs w:val="30"/>
          <w:highlight w:val="none"/>
        </w:rPr>
        <w:t>建设项目污染物排放量汇总表</w:t>
      </w:r>
      <w:bookmarkEnd w:id="22"/>
      <w:bookmarkEnd w:id="23"/>
    </w:p>
    <w:tbl>
      <w:tblPr>
        <w:tblStyle w:val="22"/>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690"/>
        <w:gridCol w:w="1680"/>
        <w:gridCol w:w="1687"/>
        <w:gridCol w:w="1313"/>
        <w:gridCol w:w="1781"/>
        <w:gridCol w:w="1594"/>
        <w:gridCol w:w="1500"/>
        <w:gridCol w:w="1575"/>
        <w:gridCol w:w="1145"/>
      </w:tblGrid>
      <w:tr w14:paraId="264521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tcBorders>
              <w:tl2br w:val="single" w:color="auto" w:sz="4" w:space="0"/>
            </w:tcBorders>
            <w:tcMar>
              <w:left w:w="28" w:type="dxa"/>
              <w:right w:w="28" w:type="dxa"/>
            </w:tcMar>
            <w:vAlign w:val="center"/>
          </w:tcPr>
          <w:p w14:paraId="5EAD1702">
            <w:pPr>
              <w:pStyle w:val="35"/>
              <w:spacing w:beforeLines="0" w:afterLines="0" w:line="240" w:lineRule="auto"/>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项目</w:t>
            </w:r>
          </w:p>
          <w:p w14:paraId="511BE266">
            <w:pPr>
              <w:pStyle w:val="35"/>
              <w:spacing w:beforeLines="0" w:afterLines="0" w:line="240" w:lineRule="auto"/>
              <w:ind w:left="0" w:leftChars="0" w:firstLine="0" w:firstLineChars="0"/>
              <w:jc w:val="both"/>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分类</w:t>
            </w:r>
          </w:p>
        </w:tc>
        <w:tc>
          <w:tcPr>
            <w:tcW w:w="2370" w:type="dxa"/>
            <w:gridSpan w:val="2"/>
            <w:tcBorders>
              <w:bottom w:val="single" w:color="auto" w:sz="4" w:space="0"/>
            </w:tcBorders>
            <w:tcMar>
              <w:left w:w="28" w:type="dxa"/>
              <w:right w:w="28" w:type="dxa"/>
            </w:tcMar>
            <w:vAlign w:val="center"/>
          </w:tcPr>
          <w:p w14:paraId="3A07ABAD">
            <w:pPr>
              <w:pStyle w:val="35"/>
              <w:spacing w:beforeLines="0" w:afterLines="0" w:line="240" w:lineRule="auto"/>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污染物名称</w:t>
            </w:r>
          </w:p>
        </w:tc>
        <w:tc>
          <w:tcPr>
            <w:tcW w:w="1687" w:type="dxa"/>
            <w:tcMar>
              <w:left w:w="28" w:type="dxa"/>
              <w:right w:w="28" w:type="dxa"/>
            </w:tcMar>
            <w:vAlign w:val="center"/>
          </w:tcPr>
          <w:p w14:paraId="6B182D1A">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现有工程排放量（固体废物产生量）</w:t>
            </w:r>
            <w:r>
              <w:rPr>
                <w:rFonts w:hint="default" w:ascii="Times New Roman" w:hAnsi="Times New Roman" w:eastAsia="宋体" w:cs="Times New Roman"/>
                <w:snapToGrid w:val="0"/>
                <w:color w:val="auto"/>
                <w:kern w:val="21"/>
                <w:sz w:val="21"/>
                <w:szCs w:val="21"/>
                <w:highlight w:val="none"/>
              </w:rPr>
              <w:fldChar w:fldCharType="begin"/>
            </w:r>
            <w:r>
              <w:rPr>
                <w:rFonts w:hint="default" w:ascii="Times New Roman" w:hAnsi="Times New Roman" w:eastAsia="宋体" w:cs="Times New Roman"/>
                <w:snapToGrid w:val="0"/>
                <w:color w:val="auto"/>
                <w:kern w:val="21"/>
                <w:sz w:val="21"/>
                <w:szCs w:val="21"/>
                <w:highlight w:val="none"/>
              </w:rPr>
              <w:instrText xml:space="preserve"> = 1 \* GB3 \* MERGEFORMAT </w:instrText>
            </w:r>
            <w:r>
              <w:rPr>
                <w:rFonts w:hint="default" w:ascii="Times New Roman" w:hAnsi="Times New Roman" w:eastAsia="宋体" w:cs="Times New Roman"/>
                <w:snapToGrid w:val="0"/>
                <w:color w:val="auto"/>
                <w:kern w:val="21"/>
                <w:sz w:val="21"/>
                <w:szCs w:val="21"/>
                <w:highlight w:val="none"/>
              </w:rPr>
              <w:fldChar w:fldCharType="separate"/>
            </w:r>
            <w:r>
              <w:rPr>
                <w:rFonts w:hint="default" w:ascii="Times New Roman" w:hAnsi="Times New Roman" w:eastAsia="宋体" w:cs="Times New Roman"/>
                <w:color w:val="auto"/>
                <w:kern w:val="2"/>
                <w:sz w:val="21"/>
                <w:szCs w:val="21"/>
                <w:highlight w:val="none"/>
              </w:rPr>
              <w:t>①</w:t>
            </w:r>
            <w:r>
              <w:rPr>
                <w:rFonts w:hint="default" w:ascii="Times New Roman" w:hAnsi="Times New Roman" w:eastAsia="宋体" w:cs="Times New Roman"/>
                <w:snapToGrid w:val="0"/>
                <w:color w:val="auto"/>
                <w:kern w:val="21"/>
                <w:sz w:val="21"/>
                <w:szCs w:val="21"/>
                <w:highlight w:val="none"/>
              </w:rPr>
              <w:fldChar w:fldCharType="end"/>
            </w:r>
          </w:p>
        </w:tc>
        <w:tc>
          <w:tcPr>
            <w:tcW w:w="1313" w:type="dxa"/>
            <w:tcMar>
              <w:left w:w="28" w:type="dxa"/>
              <w:right w:w="28" w:type="dxa"/>
            </w:tcMar>
            <w:vAlign w:val="center"/>
          </w:tcPr>
          <w:p w14:paraId="418654F0">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现有工程许可排放量</w:t>
            </w:r>
            <w:r>
              <w:rPr>
                <w:rFonts w:hint="default" w:ascii="Times New Roman" w:hAnsi="Times New Roman" w:eastAsia="宋体" w:cs="Times New Roman"/>
                <w:snapToGrid w:val="0"/>
                <w:color w:val="auto"/>
                <w:kern w:val="21"/>
                <w:sz w:val="21"/>
                <w:szCs w:val="21"/>
                <w:highlight w:val="none"/>
              </w:rPr>
              <w:fldChar w:fldCharType="begin"/>
            </w:r>
            <w:r>
              <w:rPr>
                <w:rFonts w:hint="default" w:ascii="Times New Roman" w:hAnsi="Times New Roman" w:eastAsia="宋体" w:cs="Times New Roman"/>
                <w:snapToGrid w:val="0"/>
                <w:color w:val="auto"/>
                <w:kern w:val="21"/>
                <w:sz w:val="21"/>
                <w:szCs w:val="21"/>
                <w:highlight w:val="none"/>
              </w:rPr>
              <w:instrText xml:space="preserve"> = 2 \* GB3 \* MERGEFORMAT </w:instrText>
            </w:r>
            <w:r>
              <w:rPr>
                <w:rFonts w:hint="default" w:ascii="Times New Roman" w:hAnsi="Times New Roman" w:eastAsia="宋体" w:cs="Times New Roman"/>
                <w:snapToGrid w:val="0"/>
                <w:color w:val="auto"/>
                <w:kern w:val="21"/>
                <w:sz w:val="21"/>
                <w:szCs w:val="21"/>
                <w:highlight w:val="none"/>
              </w:rPr>
              <w:fldChar w:fldCharType="separate"/>
            </w:r>
            <w:r>
              <w:rPr>
                <w:rFonts w:hint="default" w:ascii="Times New Roman" w:hAnsi="Times New Roman" w:eastAsia="宋体" w:cs="Times New Roman"/>
                <w:snapToGrid w:val="0"/>
                <w:color w:val="auto"/>
                <w:kern w:val="21"/>
                <w:sz w:val="21"/>
                <w:szCs w:val="21"/>
                <w:highlight w:val="none"/>
              </w:rPr>
              <w:t>②</w:t>
            </w:r>
            <w:r>
              <w:rPr>
                <w:rFonts w:hint="default" w:ascii="Times New Roman" w:hAnsi="Times New Roman" w:eastAsia="宋体" w:cs="Times New Roman"/>
                <w:snapToGrid w:val="0"/>
                <w:color w:val="auto"/>
                <w:kern w:val="21"/>
                <w:sz w:val="21"/>
                <w:szCs w:val="21"/>
                <w:highlight w:val="none"/>
              </w:rPr>
              <w:fldChar w:fldCharType="end"/>
            </w:r>
          </w:p>
        </w:tc>
        <w:tc>
          <w:tcPr>
            <w:tcW w:w="1781" w:type="dxa"/>
            <w:tcMar>
              <w:left w:w="28" w:type="dxa"/>
              <w:right w:w="28" w:type="dxa"/>
            </w:tcMar>
            <w:vAlign w:val="center"/>
          </w:tcPr>
          <w:p w14:paraId="0A40978E">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在建工程排放量（固体废物产生量）</w:t>
            </w:r>
            <w:r>
              <w:rPr>
                <w:rFonts w:hint="default" w:ascii="Times New Roman" w:hAnsi="Times New Roman" w:eastAsia="宋体" w:cs="Times New Roman"/>
                <w:snapToGrid w:val="0"/>
                <w:color w:val="auto"/>
                <w:kern w:val="21"/>
                <w:sz w:val="21"/>
                <w:szCs w:val="21"/>
                <w:highlight w:val="none"/>
              </w:rPr>
              <w:fldChar w:fldCharType="begin"/>
            </w:r>
            <w:r>
              <w:rPr>
                <w:rFonts w:hint="default" w:ascii="Times New Roman" w:hAnsi="Times New Roman" w:eastAsia="宋体" w:cs="Times New Roman"/>
                <w:snapToGrid w:val="0"/>
                <w:color w:val="auto"/>
                <w:kern w:val="21"/>
                <w:sz w:val="21"/>
                <w:szCs w:val="21"/>
                <w:highlight w:val="none"/>
              </w:rPr>
              <w:instrText xml:space="preserve"> = 3 \* GB3 \* MERGEFORMAT </w:instrText>
            </w:r>
            <w:r>
              <w:rPr>
                <w:rFonts w:hint="default" w:ascii="Times New Roman" w:hAnsi="Times New Roman" w:eastAsia="宋体" w:cs="Times New Roman"/>
                <w:snapToGrid w:val="0"/>
                <w:color w:val="auto"/>
                <w:kern w:val="21"/>
                <w:sz w:val="21"/>
                <w:szCs w:val="21"/>
                <w:highlight w:val="none"/>
              </w:rPr>
              <w:fldChar w:fldCharType="separate"/>
            </w:r>
            <w:r>
              <w:rPr>
                <w:rFonts w:hint="default" w:ascii="Times New Roman" w:hAnsi="Times New Roman" w:eastAsia="宋体" w:cs="Times New Roman"/>
                <w:color w:val="auto"/>
                <w:kern w:val="2"/>
                <w:sz w:val="21"/>
                <w:szCs w:val="21"/>
                <w:highlight w:val="none"/>
              </w:rPr>
              <w:t>③</w:t>
            </w:r>
            <w:r>
              <w:rPr>
                <w:rFonts w:hint="default" w:ascii="Times New Roman" w:hAnsi="Times New Roman" w:eastAsia="宋体" w:cs="Times New Roman"/>
                <w:snapToGrid w:val="0"/>
                <w:color w:val="auto"/>
                <w:kern w:val="21"/>
                <w:sz w:val="21"/>
                <w:szCs w:val="21"/>
                <w:highlight w:val="none"/>
              </w:rPr>
              <w:fldChar w:fldCharType="end"/>
            </w:r>
          </w:p>
        </w:tc>
        <w:tc>
          <w:tcPr>
            <w:tcW w:w="1594" w:type="dxa"/>
            <w:tcMar>
              <w:left w:w="28" w:type="dxa"/>
              <w:right w:w="28" w:type="dxa"/>
            </w:tcMar>
            <w:vAlign w:val="center"/>
          </w:tcPr>
          <w:p w14:paraId="45B5FF94">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本项目排放量（固体废物产生量）</w:t>
            </w:r>
            <w:r>
              <w:rPr>
                <w:rFonts w:hint="default" w:ascii="Times New Roman" w:hAnsi="Times New Roman" w:eastAsia="宋体" w:cs="Times New Roman"/>
                <w:snapToGrid w:val="0"/>
                <w:color w:val="auto"/>
                <w:kern w:val="21"/>
                <w:sz w:val="21"/>
                <w:szCs w:val="21"/>
                <w:highlight w:val="none"/>
              </w:rPr>
              <w:fldChar w:fldCharType="begin"/>
            </w:r>
            <w:r>
              <w:rPr>
                <w:rFonts w:hint="default" w:ascii="Times New Roman" w:hAnsi="Times New Roman" w:eastAsia="宋体" w:cs="Times New Roman"/>
                <w:snapToGrid w:val="0"/>
                <w:color w:val="auto"/>
                <w:kern w:val="21"/>
                <w:sz w:val="21"/>
                <w:szCs w:val="21"/>
                <w:highlight w:val="none"/>
              </w:rPr>
              <w:instrText xml:space="preserve"> = 4 \* GB3 \* MERGEFORMAT </w:instrText>
            </w:r>
            <w:r>
              <w:rPr>
                <w:rFonts w:hint="default" w:ascii="Times New Roman" w:hAnsi="Times New Roman" w:eastAsia="宋体" w:cs="Times New Roman"/>
                <w:snapToGrid w:val="0"/>
                <w:color w:val="auto"/>
                <w:kern w:val="21"/>
                <w:sz w:val="21"/>
                <w:szCs w:val="21"/>
                <w:highlight w:val="none"/>
              </w:rPr>
              <w:fldChar w:fldCharType="separate"/>
            </w:r>
            <w:r>
              <w:rPr>
                <w:rFonts w:hint="default" w:ascii="Times New Roman" w:hAnsi="Times New Roman" w:eastAsia="宋体" w:cs="Times New Roman"/>
                <w:color w:val="auto"/>
                <w:kern w:val="2"/>
                <w:sz w:val="21"/>
                <w:szCs w:val="21"/>
                <w:highlight w:val="none"/>
              </w:rPr>
              <w:t>④</w:t>
            </w:r>
            <w:r>
              <w:rPr>
                <w:rFonts w:hint="default" w:ascii="Times New Roman" w:hAnsi="Times New Roman" w:eastAsia="宋体" w:cs="Times New Roman"/>
                <w:snapToGrid w:val="0"/>
                <w:color w:val="auto"/>
                <w:kern w:val="21"/>
                <w:sz w:val="21"/>
                <w:szCs w:val="21"/>
                <w:highlight w:val="none"/>
              </w:rPr>
              <w:fldChar w:fldCharType="end"/>
            </w:r>
          </w:p>
        </w:tc>
        <w:tc>
          <w:tcPr>
            <w:tcW w:w="1500" w:type="dxa"/>
            <w:tcMar>
              <w:left w:w="28" w:type="dxa"/>
              <w:right w:w="28" w:type="dxa"/>
            </w:tcMar>
            <w:vAlign w:val="center"/>
          </w:tcPr>
          <w:p w14:paraId="607A7DAF">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以新带老削减量（新建项目不填）</w:t>
            </w:r>
            <w:r>
              <w:rPr>
                <w:rFonts w:hint="default" w:ascii="Times New Roman" w:hAnsi="Times New Roman" w:eastAsia="宋体" w:cs="Times New Roman"/>
                <w:snapToGrid w:val="0"/>
                <w:color w:val="auto"/>
                <w:kern w:val="21"/>
                <w:sz w:val="21"/>
                <w:szCs w:val="21"/>
                <w:highlight w:val="none"/>
              </w:rPr>
              <w:fldChar w:fldCharType="begin"/>
            </w:r>
            <w:r>
              <w:rPr>
                <w:rFonts w:hint="default" w:ascii="Times New Roman" w:hAnsi="Times New Roman" w:eastAsia="宋体" w:cs="Times New Roman"/>
                <w:snapToGrid w:val="0"/>
                <w:color w:val="auto"/>
                <w:kern w:val="21"/>
                <w:sz w:val="21"/>
                <w:szCs w:val="21"/>
                <w:highlight w:val="none"/>
              </w:rPr>
              <w:instrText xml:space="preserve"> = 5 \* GB3 \* MERGEFORMAT </w:instrText>
            </w:r>
            <w:r>
              <w:rPr>
                <w:rFonts w:hint="default" w:ascii="Times New Roman" w:hAnsi="Times New Roman" w:eastAsia="宋体" w:cs="Times New Roman"/>
                <w:snapToGrid w:val="0"/>
                <w:color w:val="auto"/>
                <w:kern w:val="21"/>
                <w:sz w:val="21"/>
                <w:szCs w:val="21"/>
                <w:highlight w:val="none"/>
              </w:rPr>
              <w:fldChar w:fldCharType="separate"/>
            </w:r>
            <w:r>
              <w:rPr>
                <w:rFonts w:hint="default" w:ascii="Times New Roman" w:hAnsi="Times New Roman" w:eastAsia="宋体" w:cs="Times New Roman"/>
                <w:color w:val="auto"/>
                <w:kern w:val="2"/>
                <w:sz w:val="21"/>
                <w:szCs w:val="21"/>
                <w:highlight w:val="none"/>
              </w:rPr>
              <w:t>⑤</w:t>
            </w:r>
            <w:r>
              <w:rPr>
                <w:rFonts w:hint="default" w:ascii="Times New Roman" w:hAnsi="Times New Roman" w:eastAsia="宋体" w:cs="Times New Roman"/>
                <w:snapToGrid w:val="0"/>
                <w:color w:val="auto"/>
                <w:kern w:val="21"/>
                <w:sz w:val="21"/>
                <w:szCs w:val="21"/>
                <w:highlight w:val="none"/>
              </w:rPr>
              <w:fldChar w:fldCharType="end"/>
            </w:r>
          </w:p>
        </w:tc>
        <w:tc>
          <w:tcPr>
            <w:tcW w:w="1575" w:type="dxa"/>
            <w:tcMar>
              <w:left w:w="28" w:type="dxa"/>
              <w:right w:w="28" w:type="dxa"/>
            </w:tcMar>
            <w:vAlign w:val="center"/>
          </w:tcPr>
          <w:p w14:paraId="349159DC">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本项目建成后全厂排放量（固体废物产生量）</w:t>
            </w:r>
            <w:r>
              <w:rPr>
                <w:rFonts w:hint="default" w:ascii="Times New Roman" w:hAnsi="Times New Roman" w:eastAsia="宋体" w:cs="Times New Roman"/>
                <w:snapToGrid w:val="0"/>
                <w:color w:val="auto"/>
                <w:kern w:val="21"/>
                <w:sz w:val="21"/>
                <w:szCs w:val="21"/>
                <w:highlight w:val="none"/>
              </w:rPr>
              <w:fldChar w:fldCharType="begin"/>
            </w:r>
            <w:r>
              <w:rPr>
                <w:rFonts w:hint="default" w:ascii="Times New Roman" w:hAnsi="Times New Roman" w:eastAsia="宋体" w:cs="Times New Roman"/>
                <w:snapToGrid w:val="0"/>
                <w:color w:val="auto"/>
                <w:kern w:val="21"/>
                <w:sz w:val="21"/>
                <w:szCs w:val="21"/>
                <w:highlight w:val="none"/>
              </w:rPr>
              <w:instrText xml:space="preserve"> = 6 \* GB3 \* MERGEFORMAT </w:instrText>
            </w:r>
            <w:r>
              <w:rPr>
                <w:rFonts w:hint="default" w:ascii="Times New Roman" w:hAnsi="Times New Roman" w:eastAsia="宋体" w:cs="Times New Roman"/>
                <w:snapToGrid w:val="0"/>
                <w:color w:val="auto"/>
                <w:kern w:val="21"/>
                <w:sz w:val="21"/>
                <w:szCs w:val="21"/>
                <w:highlight w:val="none"/>
              </w:rPr>
              <w:fldChar w:fldCharType="separate"/>
            </w:r>
            <w:r>
              <w:rPr>
                <w:rFonts w:hint="default" w:ascii="Times New Roman" w:hAnsi="Times New Roman" w:eastAsia="宋体" w:cs="Times New Roman"/>
                <w:color w:val="auto"/>
                <w:kern w:val="2"/>
                <w:sz w:val="21"/>
                <w:szCs w:val="21"/>
                <w:highlight w:val="none"/>
              </w:rPr>
              <w:t>⑥</w:t>
            </w:r>
            <w:r>
              <w:rPr>
                <w:rFonts w:hint="default" w:ascii="Times New Roman" w:hAnsi="Times New Roman" w:eastAsia="宋体" w:cs="Times New Roman"/>
                <w:snapToGrid w:val="0"/>
                <w:color w:val="auto"/>
                <w:kern w:val="21"/>
                <w:sz w:val="21"/>
                <w:szCs w:val="21"/>
                <w:highlight w:val="none"/>
              </w:rPr>
              <w:fldChar w:fldCharType="end"/>
            </w:r>
          </w:p>
        </w:tc>
        <w:tc>
          <w:tcPr>
            <w:tcW w:w="1145" w:type="dxa"/>
            <w:tcMar>
              <w:left w:w="28" w:type="dxa"/>
              <w:right w:w="28" w:type="dxa"/>
            </w:tcMar>
            <w:vAlign w:val="center"/>
          </w:tcPr>
          <w:p w14:paraId="18A5E4C4">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变化量</w:t>
            </w:r>
            <w:r>
              <w:rPr>
                <w:rFonts w:hint="default" w:ascii="Times New Roman" w:hAnsi="Times New Roman" w:eastAsia="宋体" w:cs="Times New Roman"/>
                <w:snapToGrid w:val="0"/>
                <w:color w:val="auto"/>
                <w:kern w:val="21"/>
                <w:sz w:val="21"/>
                <w:szCs w:val="21"/>
                <w:highlight w:val="none"/>
              </w:rPr>
              <w:fldChar w:fldCharType="begin"/>
            </w:r>
            <w:r>
              <w:rPr>
                <w:rFonts w:hint="default" w:ascii="Times New Roman" w:hAnsi="Times New Roman" w:eastAsia="宋体" w:cs="Times New Roman"/>
                <w:snapToGrid w:val="0"/>
                <w:color w:val="auto"/>
                <w:kern w:val="21"/>
                <w:sz w:val="21"/>
                <w:szCs w:val="21"/>
                <w:highlight w:val="none"/>
              </w:rPr>
              <w:instrText xml:space="preserve"> = 7 \* GB3 \* MERGEFORMAT </w:instrText>
            </w:r>
            <w:r>
              <w:rPr>
                <w:rFonts w:hint="default" w:ascii="Times New Roman" w:hAnsi="Times New Roman" w:eastAsia="宋体" w:cs="Times New Roman"/>
                <w:snapToGrid w:val="0"/>
                <w:color w:val="auto"/>
                <w:kern w:val="21"/>
                <w:sz w:val="21"/>
                <w:szCs w:val="21"/>
                <w:highlight w:val="none"/>
              </w:rPr>
              <w:fldChar w:fldCharType="separate"/>
            </w:r>
            <w:r>
              <w:rPr>
                <w:rFonts w:hint="default" w:ascii="Times New Roman" w:hAnsi="Times New Roman" w:eastAsia="宋体" w:cs="Times New Roman"/>
                <w:color w:val="auto"/>
                <w:kern w:val="2"/>
                <w:sz w:val="21"/>
                <w:szCs w:val="21"/>
                <w:highlight w:val="none"/>
              </w:rPr>
              <w:t>⑦</w:t>
            </w:r>
            <w:r>
              <w:rPr>
                <w:rFonts w:hint="default" w:ascii="Times New Roman" w:hAnsi="Times New Roman" w:eastAsia="宋体" w:cs="Times New Roman"/>
                <w:snapToGrid w:val="0"/>
                <w:color w:val="auto"/>
                <w:kern w:val="21"/>
                <w:sz w:val="21"/>
                <w:szCs w:val="21"/>
                <w:highlight w:val="none"/>
              </w:rPr>
              <w:fldChar w:fldCharType="end"/>
            </w:r>
          </w:p>
        </w:tc>
      </w:tr>
      <w:tr w14:paraId="144073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14:paraId="5A616F33">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废气</w:t>
            </w:r>
          </w:p>
        </w:tc>
        <w:tc>
          <w:tcPr>
            <w:tcW w:w="690" w:type="dxa"/>
            <w:tcBorders>
              <w:top w:val="single" w:color="auto" w:sz="4" w:space="0"/>
            </w:tcBorders>
            <w:vAlign w:val="center"/>
          </w:tcPr>
          <w:p w14:paraId="19FF70DA">
            <w:pPr>
              <w:pStyle w:val="29"/>
              <w:wordWrap/>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cs="Times New Roman"/>
                <w:snapToGrid w:val="0"/>
                <w:color w:val="auto"/>
                <w:kern w:val="21"/>
                <w:sz w:val="21"/>
                <w:szCs w:val="21"/>
                <w:highlight w:val="none"/>
                <w:lang w:val="en-US" w:eastAsia="zh-CN"/>
              </w:rPr>
              <w:t>无组织</w:t>
            </w:r>
          </w:p>
        </w:tc>
        <w:tc>
          <w:tcPr>
            <w:tcW w:w="1680" w:type="dxa"/>
            <w:tcBorders>
              <w:top w:val="single" w:color="auto" w:sz="4" w:space="0"/>
            </w:tcBorders>
            <w:vAlign w:val="center"/>
          </w:tcPr>
          <w:p w14:paraId="2C3B9749">
            <w:pPr>
              <w:pStyle w:val="29"/>
              <w:wordWrap/>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VOCs（非甲烷总烃）</w:t>
            </w:r>
          </w:p>
        </w:tc>
        <w:tc>
          <w:tcPr>
            <w:tcW w:w="1687" w:type="dxa"/>
            <w:vAlign w:val="center"/>
          </w:tcPr>
          <w:p w14:paraId="3347483F">
            <w:pPr>
              <w:autoSpaceDE w:val="0"/>
              <w:autoSpaceDN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313" w:type="dxa"/>
            <w:shd w:val="clear" w:color="auto" w:fill="auto"/>
            <w:vAlign w:val="center"/>
          </w:tcPr>
          <w:p w14:paraId="0D3AF2A0">
            <w:pPr>
              <w:autoSpaceDE w:val="0"/>
              <w:autoSpaceDN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2F147C89">
            <w:pPr>
              <w:pStyle w:val="29"/>
              <w:wordWrap/>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vAlign w:val="center"/>
          </w:tcPr>
          <w:p w14:paraId="7BBEAE73">
            <w:pPr>
              <w:pStyle w:val="29"/>
              <w:wordWrap/>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00" w:type="dxa"/>
            <w:vAlign w:val="center"/>
          </w:tcPr>
          <w:p w14:paraId="49890A36">
            <w:pPr>
              <w:pStyle w:val="29"/>
              <w:wordWrap/>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260C8AAE">
            <w:pPr>
              <w:autoSpaceDE w:val="0"/>
              <w:autoSpaceDN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145" w:type="dxa"/>
            <w:vAlign w:val="center"/>
          </w:tcPr>
          <w:p w14:paraId="6BFDA49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0C39FE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23" w:type="dxa"/>
            <w:vMerge w:val="restart"/>
            <w:vAlign w:val="center"/>
          </w:tcPr>
          <w:p w14:paraId="21A2DFDA">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废水</w:t>
            </w:r>
          </w:p>
        </w:tc>
        <w:tc>
          <w:tcPr>
            <w:tcW w:w="690" w:type="dxa"/>
            <w:vMerge w:val="restart"/>
            <w:tcBorders>
              <w:top w:val="single" w:color="auto" w:sz="4" w:space="0"/>
            </w:tcBorders>
            <w:vAlign w:val="center"/>
          </w:tcPr>
          <w:p w14:paraId="03C39C5E">
            <w:pPr>
              <w:pStyle w:val="35"/>
              <w:spacing w:beforeLines="0" w:afterLines="0" w:line="240" w:lineRule="auto"/>
              <w:ind w:left="0" w:leftChars="0" w:firstLine="0" w:firstLineChars="0"/>
              <w:jc w:val="center"/>
              <w:rPr>
                <w:rFonts w:hint="eastAsia" w:ascii="Times New Roman" w:hAnsi="Times New Roman" w:eastAsia="宋体" w:cs="Times New Roman"/>
                <w:snapToGrid w:val="0"/>
                <w:color w:val="auto"/>
                <w:kern w:val="21"/>
                <w:sz w:val="21"/>
                <w:szCs w:val="21"/>
                <w:highlight w:val="none"/>
                <w:lang w:val="en-US" w:eastAsia="zh-CN"/>
              </w:rPr>
            </w:pPr>
            <w:r>
              <w:rPr>
                <w:rFonts w:hint="eastAsia" w:ascii="Times New Roman" w:eastAsia="宋体" w:cs="Times New Roman"/>
                <w:snapToGrid w:val="0"/>
                <w:color w:val="auto"/>
                <w:kern w:val="21"/>
                <w:sz w:val="21"/>
                <w:szCs w:val="21"/>
                <w:highlight w:val="none"/>
                <w:lang w:val="en-US" w:eastAsia="zh-CN"/>
              </w:rPr>
              <w:t>生活污水</w:t>
            </w:r>
          </w:p>
        </w:tc>
        <w:tc>
          <w:tcPr>
            <w:tcW w:w="1680" w:type="dxa"/>
            <w:tcBorders>
              <w:top w:val="single" w:color="auto" w:sz="4" w:space="0"/>
            </w:tcBorders>
            <w:shd w:val="clear" w:color="auto" w:fill="auto"/>
            <w:vAlign w:val="center"/>
          </w:tcPr>
          <w:p w14:paraId="585C0008">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spacing w:val="-10"/>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rPr>
              <w:t>废水量</w:t>
            </w:r>
          </w:p>
        </w:tc>
        <w:tc>
          <w:tcPr>
            <w:tcW w:w="1687" w:type="dxa"/>
            <w:shd w:val="clear" w:color="auto" w:fill="auto"/>
            <w:vAlign w:val="center"/>
          </w:tcPr>
          <w:p w14:paraId="055FF388">
            <w:pPr>
              <w:pStyle w:val="2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shd w:val="clear" w:color="auto" w:fill="auto"/>
            <w:vAlign w:val="center"/>
          </w:tcPr>
          <w:p w14:paraId="4F6172EF">
            <w:pPr>
              <w:autoSpaceDE w:val="0"/>
              <w:autoSpaceDN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15C301B3">
            <w:pPr>
              <w:autoSpaceDE w:val="0"/>
              <w:autoSpaceDN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tcBorders>
              <w:top w:val="single" w:color="auto" w:sz="6" w:space="0"/>
              <w:left w:val="single" w:color="auto" w:sz="6" w:space="0"/>
              <w:bottom w:val="single" w:color="auto" w:sz="6" w:space="0"/>
              <w:right w:val="single" w:color="auto" w:sz="6" w:space="0"/>
            </w:tcBorders>
            <w:shd w:val="clear" w:color="auto" w:fill="auto"/>
            <w:vAlign w:val="center"/>
          </w:tcPr>
          <w:p w14:paraId="512AA45F">
            <w:pPr>
              <w:pStyle w:val="2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300</w:t>
            </w:r>
          </w:p>
        </w:tc>
        <w:tc>
          <w:tcPr>
            <w:tcW w:w="1500" w:type="dxa"/>
            <w:shd w:val="clear" w:color="auto" w:fill="auto"/>
            <w:vAlign w:val="center"/>
          </w:tcPr>
          <w:p w14:paraId="113E5F69">
            <w:pPr>
              <w:pStyle w:val="29"/>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c>
          <w:tcPr>
            <w:tcW w:w="1575" w:type="dxa"/>
            <w:tcBorders>
              <w:top w:val="single" w:color="auto" w:sz="6" w:space="0"/>
              <w:left w:val="single" w:color="auto" w:sz="6" w:space="0"/>
              <w:bottom w:val="single" w:color="auto" w:sz="6" w:space="0"/>
              <w:right w:val="single" w:color="auto" w:sz="6" w:space="0"/>
            </w:tcBorders>
            <w:shd w:val="clear" w:color="auto" w:fill="auto"/>
            <w:vAlign w:val="center"/>
          </w:tcPr>
          <w:p w14:paraId="1FE5A03D">
            <w:pPr>
              <w:pStyle w:val="29"/>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300</w:t>
            </w:r>
          </w:p>
        </w:tc>
        <w:tc>
          <w:tcPr>
            <w:tcW w:w="1145" w:type="dxa"/>
            <w:vAlign w:val="center"/>
          </w:tcPr>
          <w:p w14:paraId="7ED7E841">
            <w:pPr>
              <w:pStyle w:val="2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+300</w:t>
            </w:r>
          </w:p>
        </w:tc>
      </w:tr>
      <w:tr w14:paraId="247360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6302E717">
            <w:pPr>
              <w:pStyle w:val="35"/>
              <w:spacing w:beforeLines="0" w:afterLines="0" w:line="240" w:lineRule="auto"/>
              <w:jc w:val="center"/>
              <w:rPr>
                <w:rFonts w:hint="default" w:ascii="Times New Roman" w:hAnsi="Times New Roman" w:eastAsia="宋体" w:cs="Times New Roman"/>
                <w:snapToGrid w:val="0"/>
                <w:color w:val="auto"/>
                <w:kern w:val="21"/>
                <w:sz w:val="21"/>
                <w:szCs w:val="21"/>
                <w:highlight w:val="none"/>
              </w:rPr>
            </w:pPr>
          </w:p>
        </w:tc>
        <w:tc>
          <w:tcPr>
            <w:tcW w:w="690" w:type="dxa"/>
            <w:vMerge w:val="continue"/>
            <w:vAlign w:val="center"/>
          </w:tcPr>
          <w:p w14:paraId="51F4C794">
            <w:pPr>
              <w:autoSpaceDE w:val="0"/>
              <w:autoSpaceDN w:val="0"/>
              <w:jc w:val="center"/>
              <w:rPr>
                <w:rFonts w:hint="default" w:ascii="Times New Roman" w:hAnsi="Times New Roman" w:eastAsia="宋体" w:cs="Times New Roman"/>
                <w:color w:val="auto"/>
                <w:sz w:val="21"/>
                <w:szCs w:val="21"/>
                <w:highlight w:val="none"/>
              </w:rPr>
            </w:pPr>
          </w:p>
        </w:tc>
        <w:tc>
          <w:tcPr>
            <w:tcW w:w="1680" w:type="dxa"/>
            <w:shd w:val="clear" w:color="auto" w:fill="auto"/>
            <w:vAlign w:val="center"/>
          </w:tcPr>
          <w:p w14:paraId="7D8CBCF6">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COD</w:t>
            </w:r>
          </w:p>
        </w:tc>
        <w:tc>
          <w:tcPr>
            <w:tcW w:w="1687" w:type="dxa"/>
            <w:shd w:val="clear" w:color="auto" w:fill="auto"/>
            <w:vAlign w:val="center"/>
          </w:tcPr>
          <w:p w14:paraId="0502AB4A">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shd w:val="clear" w:color="auto" w:fill="auto"/>
            <w:vAlign w:val="center"/>
          </w:tcPr>
          <w:p w14:paraId="5F718951">
            <w:pPr>
              <w:autoSpaceDE w:val="0"/>
              <w:autoSpaceDN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5879C13F">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102BB62D">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0.12</w:t>
            </w:r>
          </w:p>
        </w:tc>
        <w:tc>
          <w:tcPr>
            <w:tcW w:w="1500" w:type="dxa"/>
            <w:shd w:val="clear" w:color="auto" w:fill="auto"/>
            <w:vAlign w:val="center"/>
          </w:tcPr>
          <w:p w14:paraId="768A271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shd w:val="clear" w:color="auto" w:fill="auto"/>
            <w:vAlign w:val="center"/>
          </w:tcPr>
          <w:p w14:paraId="1CB2722B">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0.12</w:t>
            </w:r>
          </w:p>
        </w:tc>
        <w:tc>
          <w:tcPr>
            <w:tcW w:w="1145" w:type="dxa"/>
            <w:vAlign w:val="center"/>
          </w:tcPr>
          <w:p w14:paraId="138ED16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+0.12</w:t>
            </w:r>
          </w:p>
        </w:tc>
      </w:tr>
      <w:tr w14:paraId="6185D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7C230961">
            <w:pPr>
              <w:pStyle w:val="35"/>
              <w:spacing w:beforeLines="0" w:afterLines="0" w:line="240" w:lineRule="auto"/>
              <w:jc w:val="center"/>
              <w:rPr>
                <w:rFonts w:hint="default" w:ascii="Times New Roman" w:hAnsi="Times New Roman" w:eastAsia="宋体" w:cs="Times New Roman"/>
                <w:snapToGrid w:val="0"/>
                <w:color w:val="auto"/>
                <w:kern w:val="21"/>
                <w:sz w:val="21"/>
                <w:szCs w:val="21"/>
                <w:highlight w:val="none"/>
              </w:rPr>
            </w:pPr>
          </w:p>
        </w:tc>
        <w:tc>
          <w:tcPr>
            <w:tcW w:w="690" w:type="dxa"/>
            <w:vMerge w:val="continue"/>
            <w:vAlign w:val="center"/>
          </w:tcPr>
          <w:p w14:paraId="1F398D47">
            <w:pPr>
              <w:autoSpaceDE w:val="0"/>
              <w:autoSpaceDN w:val="0"/>
              <w:jc w:val="center"/>
              <w:rPr>
                <w:rFonts w:hint="default" w:ascii="Times New Roman" w:hAnsi="Times New Roman" w:eastAsia="宋体" w:cs="Times New Roman"/>
                <w:color w:val="auto"/>
                <w:sz w:val="21"/>
                <w:szCs w:val="21"/>
                <w:highlight w:val="none"/>
              </w:rPr>
            </w:pPr>
          </w:p>
        </w:tc>
        <w:tc>
          <w:tcPr>
            <w:tcW w:w="1680" w:type="dxa"/>
            <w:shd w:val="clear" w:color="auto" w:fill="auto"/>
            <w:vAlign w:val="center"/>
          </w:tcPr>
          <w:p w14:paraId="06C73D83">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SS</w:t>
            </w:r>
          </w:p>
        </w:tc>
        <w:tc>
          <w:tcPr>
            <w:tcW w:w="1687" w:type="dxa"/>
            <w:shd w:val="clear" w:color="auto" w:fill="auto"/>
            <w:vAlign w:val="center"/>
          </w:tcPr>
          <w:p w14:paraId="25F4D66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shd w:val="clear" w:color="auto" w:fill="auto"/>
            <w:vAlign w:val="center"/>
          </w:tcPr>
          <w:p w14:paraId="23CF0E43">
            <w:pPr>
              <w:autoSpaceDE w:val="0"/>
              <w:autoSpaceDN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61A446C6">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5B9023BB">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0.06</w:t>
            </w:r>
          </w:p>
        </w:tc>
        <w:tc>
          <w:tcPr>
            <w:tcW w:w="1500" w:type="dxa"/>
            <w:shd w:val="clear" w:color="auto" w:fill="auto"/>
            <w:vAlign w:val="center"/>
          </w:tcPr>
          <w:p w14:paraId="631DFE21">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shd w:val="clear" w:color="auto" w:fill="auto"/>
            <w:vAlign w:val="center"/>
          </w:tcPr>
          <w:p w14:paraId="13B3C528">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0.06</w:t>
            </w:r>
          </w:p>
        </w:tc>
        <w:tc>
          <w:tcPr>
            <w:tcW w:w="1145" w:type="dxa"/>
            <w:vAlign w:val="center"/>
          </w:tcPr>
          <w:p w14:paraId="1499B01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+0.06</w:t>
            </w:r>
          </w:p>
        </w:tc>
      </w:tr>
      <w:tr w14:paraId="239C07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133EA01E">
            <w:pPr>
              <w:pStyle w:val="35"/>
              <w:spacing w:beforeLines="0" w:afterLines="0" w:line="240" w:lineRule="auto"/>
              <w:jc w:val="center"/>
              <w:rPr>
                <w:rFonts w:hint="default" w:ascii="Times New Roman" w:hAnsi="Times New Roman" w:eastAsia="宋体" w:cs="Times New Roman"/>
                <w:snapToGrid w:val="0"/>
                <w:color w:val="auto"/>
                <w:kern w:val="21"/>
                <w:sz w:val="21"/>
                <w:szCs w:val="21"/>
                <w:highlight w:val="none"/>
              </w:rPr>
            </w:pPr>
          </w:p>
        </w:tc>
        <w:tc>
          <w:tcPr>
            <w:tcW w:w="690" w:type="dxa"/>
            <w:vMerge w:val="continue"/>
            <w:vAlign w:val="center"/>
          </w:tcPr>
          <w:p w14:paraId="00888D93">
            <w:pPr>
              <w:autoSpaceDE w:val="0"/>
              <w:autoSpaceDN w:val="0"/>
              <w:jc w:val="center"/>
              <w:rPr>
                <w:rFonts w:hint="default" w:ascii="Times New Roman" w:hAnsi="Times New Roman" w:eastAsia="宋体" w:cs="Times New Roman"/>
                <w:color w:val="auto"/>
                <w:sz w:val="21"/>
                <w:szCs w:val="21"/>
                <w:highlight w:val="none"/>
              </w:rPr>
            </w:pPr>
          </w:p>
        </w:tc>
        <w:tc>
          <w:tcPr>
            <w:tcW w:w="1680" w:type="dxa"/>
            <w:shd w:val="clear" w:color="auto" w:fill="auto"/>
            <w:vAlign w:val="center"/>
          </w:tcPr>
          <w:p w14:paraId="60526458">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c>
          <w:tcPr>
            <w:tcW w:w="1687" w:type="dxa"/>
            <w:shd w:val="clear" w:color="auto" w:fill="auto"/>
            <w:vAlign w:val="center"/>
          </w:tcPr>
          <w:p w14:paraId="31CC618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shd w:val="clear" w:color="auto" w:fill="auto"/>
            <w:vAlign w:val="center"/>
          </w:tcPr>
          <w:p w14:paraId="7B419288">
            <w:pPr>
              <w:autoSpaceDE w:val="0"/>
              <w:autoSpaceDN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2F920A36">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155D7CE7">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0.011</w:t>
            </w:r>
          </w:p>
        </w:tc>
        <w:tc>
          <w:tcPr>
            <w:tcW w:w="1500" w:type="dxa"/>
            <w:shd w:val="clear" w:color="auto" w:fill="auto"/>
            <w:vAlign w:val="center"/>
          </w:tcPr>
          <w:p w14:paraId="4C7B0287">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shd w:val="clear" w:color="auto" w:fill="auto"/>
            <w:vAlign w:val="center"/>
          </w:tcPr>
          <w:p w14:paraId="37406DDC">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0.011</w:t>
            </w:r>
          </w:p>
        </w:tc>
        <w:tc>
          <w:tcPr>
            <w:tcW w:w="1145" w:type="dxa"/>
            <w:vAlign w:val="center"/>
          </w:tcPr>
          <w:p w14:paraId="2AD92DA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+0.011</w:t>
            </w:r>
          </w:p>
        </w:tc>
      </w:tr>
      <w:tr w14:paraId="620B5E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69FE18D7">
            <w:pPr>
              <w:pStyle w:val="35"/>
              <w:spacing w:beforeLines="0" w:afterLines="0" w:line="240" w:lineRule="auto"/>
              <w:jc w:val="center"/>
              <w:rPr>
                <w:rFonts w:hint="default" w:ascii="Times New Roman" w:hAnsi="Times New Roman" w:eastAsia="宋体" w:cs="Times New Roman"/>
                <w:snapToGrid w:val="0"/>
                <w:color w:val="auto"/>
                <w:kern w:val="21"/>
                <w:sz w:val="21"/>
                <w:szCs w:val="21"/>
                <w:highlight w:val="none"/>
              </w:rPr>
            </w:pPr>
          </w:p>
        </w:tc>
        <w:tc>
          <w:tcPr>
            <w:tcW w:w="690" w:type="dxa"/>
            <w:vMerge w:val="continue"/>
            <w:vAlign w:val="center"/>
          </w:tcPr>
          <w:p w14:paraId="05CA5B35">
            <w:pPr>
              <w:autoSpaceDE w:val="0"/>
              <w:autoSpaceDN w:val="0"/>
              <w:jc w:val="center"/>
              <w:rPr>
                <w:rFonts w:hint="eastAsia" w:ascii="Times New Roman" w:hAnsi="Times New Roman" w:eastAsia="宋体" w:cs="Times New Roman"/>
                <w:color w:val="auto"/>
                <w:sz w:val="21"/>
                <w:szCs w:val="21"/>
                <w:highlight w:val="none"/>
                <w:lang w:eastAsia="zh-CN"/>
              </w:rPr>
            </w:pPr>
          </w:p>
        </w:tc>
        <w:tc>
          <w:tcPr>
            <w:tcW w:w="1680" w:type="dxa"/>
            <w:shd w:val="clear" w:color="auto" w:fill="auto"/>
            <w:vAlign w:val="center"/>
          </w:tcPr>
          <w:p w14:paraId="71B8BE73">
            <w:pPr>
              <w:autoSpaceDE w:val="0"/>
              <w:autoSpaceDN w:val="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w:t>
            </w:r>
            <w:r>
              <w:rPr>
                <w:rFonts w:hint="eastAsia" w:cs="Times New Roman"/>
                <w:color w:val="auto"/>
                <w:sz w:val="21"/>
                <w:szCs w:val="21"/>
                <w:highlight w:val="none"/>
                <w:lang w:val="en-US" w:eastAsia="zh-CN"/>
              </w:rPr>
              <w:t>P</w:t>
            </w:r>
          </w:p>
        </w:tc>
        <w:tc>
          <w:tcPr>
            <w:tcW w:w="1687" w:type="dxa"/>
            <w:shd w:val="clear" w:color="auto" w:fill="auto"/>
            <w:vAlign w:val="center"/>
          </w:tcPr>
          <w:p w14:paraId="15A214E5">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shd w:val="clear" w:color="auto" w:fill="auto"/>
            <w:vAlign w:val="center"/>
          </w:tcPr>
          <w:p w14:paraId="108A283A">
            <w:pPr>
              <w:autoSpaceDE w:val="0"/>
              <w:autoSpaceDN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06706711">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2B16613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0.002</w:t>
            </w:r>
          </w:p>
        </w:tc>
        <w:tc>
          <w:tcPr>
            <w:tcW w:w="1500" w:type="dxa"/>
            <w:shd w:val="clear" w:color="auto" w:fill="auto"/>
            <w:vAlign w:val="center"/>
          </w:tcPr>
          <w:p w14:paraId="500D4DEA">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shd w:val="clear" w:color="auto" w:fill="auto"/>
            <w:vAlign w:val="center"/>
          </w:tcPr>
          <w:p w14:paraId="73F6B03D">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0.002</w:t>
            </w:r>
          </w:p>
        </w:tc>
        <w:tc>
          <w:tcPr>
            <w:tcW w:w="1145" w:type="dxa"/>
            <w:vAlign w:val="center"/>
          </w:tcPr>
          <w:p w14:paraId="2016B67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+0.002</w:t>
            </w:r>
          </w:p>
        </w:tc>
      </w:tr>
      <w:tr w14:paraId="5A1570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6BC38071">
            <w:pPr>
              <w:pStyle w:val="35"/>
              <w:spacing w:beforeLines="0" w:afterLines="0" w:line="240" w:lineRule="auto"/>
              <w:jc w:val="center"/>
              <w:rPr>
                <w:rFonts w:hint="default" w:ascii="Times New Roman" w:hAnsi="Times New Roman" w:eastAsia="宋体" w:cs="Times New Roman"/>
                <w:snapToGrid w:val="0"/>
                <w:color w:val="auto"/>
                <w:kern w:val="21"/>
                <w:sz w:val="21"/>
                <w:szCs w:val="21"/>
                <w:highlight w:val="none"/>
              </w:rPr>
            </w:pPr>
          </w:p>
        </w:tc>
        <w:tc>
          <w:tcPr>
            <w:tcW w:w="690" w:type="dxa"/>
            <w:vMerge w:val="continue"/>
            <w:tcBorders>
              <w:bottom w:val="single" w:color="auto" w:sz="4" w:space="0"/>
            </w:tcBorders>
            <w:vAlign w:val="center"/>
          </w:tcPr>
          <w:p w14:paraId="2FE9CDBA">
            <w:pPr>
              <w:autoSpaceDE w:val="0"/>
              <w:autoSpaceDN w:val="0"/>
              <w:jc w:val="center"/>
              <w:rPr>
                <w:rFonts w:hint="eastAsia" w:ascii="Times New Roman" w:hAnsi="Times New Roman" w:eastAsia="宋体" w:cs="Times New Roman"/>
                <w:color w:val="auto"/>
                <w:sz w:val="21"/>
                <w:szCs w:val="21"/>
                <w:highlight w:val="none"/>
                <w:lang w:eastAsia="zh-CN"/>
              </w:rPr>
            </w:pPr>
          </w:p>
        </w:tc>
        <w:tc>
          <w:tcPr>
            <w:tcW w:w="1680" w:type="dxa"/>
            <w:tcBorders>
              <w:bottom w:val="single" w:color="auto" w:sz="4" w:space="0"/>
            </w:tcBorders>
            <w:shd w:val="clear" w:color="auto" w:fill="auto"/>
            <w:vAlign w:val="center"/>
          </w:tcPr>
          <w:p w14:paraId="7243A452">
            <w:pPr>
              <w:autoSpaceDE w:val="0"/>
              <w:autoSpaceDN w:val="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w:t>
            </w:r>
            <w:r>
              <w:rPr>
                <w:rFonts w:hint="eastAsia" w:cs="Times New Roman"/>
                <w:color w:val="auto"/>
                <w:sz w:val="21"/>
                <w:szCs w:val="21"/>
                <w:highlight w:val="none"/>
                <w:lang w:val="en-US" w:eastAsia="zh-CN"/>
              </w:rPr>
              <w:t>N</w:t>
            </w:r>
          </w:p>
        </w:tc>
        <w:tc>
          <w:tcPr>
            <w:tcW w:w="1687" w:type="dxa"/>
            <w:shd w:val="clear" w:color="auto" w:fill="auto"/>
            <w:vAlign w:val="center"/>
          </w:tcPr>
          <w:p w14:paraId="6A68256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shd w:val="clear" w:color="auto" w:fill="auto"/>
            <w:vAlign w:val="center"/>
          </w:tcPr>
          <w:p w14:paraId="7987AF1C">
            <w:pPr>
              <w:autoSpaceDE w:val="0"/>
              <w:autoSpaceDN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5C97DEA1">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23372010">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0.014</w:t>
            </w:r>
          </w:p>
        </w:tc>
        <w:tc>
          <w:tcPr>
            <w:tcW w:w="1500" w:type="dxa"/>
            <w:shd w:val="clear" w:color="auto" w:fill="auto"/>
            <w:vAlign w:val="center"/>
          </w:tcPr>
          <w:p w14:paraId="2BAE0DFB">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shd w:val="clear" w:color="auto" w:fill="auto"/>
            <w:vAlign w:val="center"/>
          </w:tcPr>
          <w:p w14:paraId="01350D1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0.014</w:t>
            </w:r>
          </w:p>
        </w:tc>
        <w:tc>
          <w:tcPr>
            <w:tcW w:w="1145" w:type="dxa"/>
            <w:vAlign w:val="center"/>
          </w:tcPr>
          <w:p w14:paraId="7446186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+0.014</w:t>
            </w:r>
          </w:p>
        </w:tc>
      </w:tr>
      <w:tr w14:paraId="7DACCB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3" w:type="dxa"/>
            <w:vMerge w:val="restart"/>
            <w:vAlign w:val="center"/>
          </w:tcPr>
          <w:p w14:paraId="62E702CF">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一般工业固废</w:t>
            </w:r>
          </w:p>
        </w:tc>
        <w:tc>
          <w:tcPr>
            <w:tcW w:w="2370" w:type="dxa"/>
            <w:gridSpan w:val="2"/>
            <w:shd w:val="clear" w:color="auto" w:fill="auto"/>
            <w:vAlign w:val="center"/>
          </w:tcPr>
          <w:p w14:paraId="00CB8867">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不合格品</w:t>
            </w:r>
          </w:p>
        </w:tc>
        <w:tc>
          <w:tcPr>
            <w:tcW w:w="1687" w:type="dxa"/>
            <w:shd w:val="clear" w:color="auto" w:fill="auto"/>
            <w:vAlign w:val="center"/>
          </w:tcPr>
          <w:p w14:paraId="2E019CDD">
            <w:pPr>
              <w:autoSpaceDE w:val="0"/>
              <w:autoSpaceDN w:val="0"/>
              <w:jc w:val="center"/>
              <w:rPr>
                <w:rFonts w:hint="default" w:ascii="Times New Roman" w:hAnsi="Times New Roman" w:eastAsia="宋体" w:cs="Times New Roman"/>
                <w:bCs/>
                <w:color w:val="000000" w:themeColor="text1"/>
                <w:kern w:val="0"/>
                <w:sz w:val="24"/>
                <w:szCs w:val="24"/>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6B3865CE">
            <w:pPr>
              <w:autoSpaceDE w:val="0"/>
              <w:autoSpaceDN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1CE8B661">
            <w:pPr>
              <w:autoSpaceDE w:val="0"/>
              <w:autoSpaceDN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1EB15ED0">
            <w:pPr>
              <w:spacing w:line="240" w:lineRule="exact"/>
              <w:jc w:val="cente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4.8</w:t>
            </w:r>
          </w:p>
        </w:tc>
        <w:tc>
          <w:tcPr>
            <w:tcW w:w="1500" w:type="dxa"/>
            <w:shd w:val="clear" w:color="auto" w:fill="auto"/>
            <w:vAlign w:val="center"/>
          </w:tcPr>
          <w:p w14:paraId="3C3D3CE9">
            <w:pPr>
              <w:spacing w:line="24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02A1204B">
            <w:pPr>
              <w:spacing w:line="24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4.8</w:t>
            </w:r>
          </w:p>
        </w:tc>
        <w:tc>
          <w:tcPr>
            <w:tcW w:w="1145" w:type="dxa"/>
            <w:vAlign w:val="center"/>
          </w:tcPr>
          <w:p w14:paraId="356FA033">
            <w:pPr>
              <w:spacing w:line="24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+4.8</w:t>
            </w:r>
          </w:p>
        </w:tc>
      </w:tr>
      <w:tr w14:paraId="0FB098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3" w:type="dxa"/>
            <w:vMerge w:val="continue"/>
            <w:vAlign w:val="center"/>
          </w:tcPr>
          <w:p w14:paraId="29FF3028">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p>
        </w:tc>
        <w:tc>
          <w:tcPr>
            <w:tcW w:w="2370" w:type="dxa"/>
            <w:gridSpan w:val="2"/>
            <w:shd w:val="clear" w:color="auto" w:fill="auto"/>
            <w:vAlign w:val="center"/>
          </w:tcPr>
          <w:p w14:paraId="4D3C4E0D">
            <w:pPr>
              <w:autoSpaceDE w:val="0"/>
              <w:autoSpaceDN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废渣</w:t>
            </w:r>
          </w:p>
        </w:tc>
        <w:tc>
          <w:tcPr>
            <w:tcW w:w="1687" w:type="dxa"/>
            <w:shd w:val="clear" w:color="auto" w:fill="auto"/>
            <w:vAlign w:val="center"/>
          </w:tcPr>
          <w:p w14:paraId="02ECD3EE">
            <w:pPr>
              <w:autoSpaceDE w:val="0"/>
              <w:autoSpaceDN w:val="0"/>
              <w:jc w:val="center"/>
              <w:rPr>
                <w:rFonts w:hint="default" w:ascii="Times New Roman" w:hAnsi="Times New Roman" w:eastAsia="宋体" w:cs="Times New Roman"/>
                <w:bCs/>
                <w:color w:val="000000" w:themeColor="text1"/>
                <w:kern w:val="0"/>
                <w:sz w:val="24"/>
                <w:szCs w:val="24"/>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00A050B5">
            <w:pPr>
              <w:autoSpaceDE w:val="0"/>
              <w:autoSpaceDN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34CD259C">
            <w:pPr>
              <w:autoSpaceDE w:val="0"/>
              <w:autoSpaceDN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7D3787B6">
            <w:pPr>
              <w:spacing w:line="24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0.34</w:t>
            </w:r>
          </w:p>
        </w:tc>
        <w:tc>
          <w:tcPr>
            <w:tcW w:w="1500" w:type="dxa"/>
            <w:shd w:val="clear" w:color="auto" w:fill="auto"/>
            <w:vAlign w:val="center"/>
          </w:tcPr>
          <w:p w14:paraId="7E3C34CA">
            <w:pPr>
              <w:spacing w:line="24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792D159C">
            <w:pPr>
              <w:spacing w:line="24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0.34</w:t>
            </w:r>
          </w:p>
        </w:tc>
        <w:tc>
          <w:tcPr>
            <w:tcW w:w="1145" w:type="dxa"/>
            <w:vAlign w:val="center"/>
          </w:tcPr>
          <w:p w14:paraId="0044847D">
            <w:pPr>
              <w:spacing w:line="24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+0.34</w:t>
            </w:r>
          </w:p>
        </w:tc>
      </w:tr>
      <w:tr w14:paraId="60530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3" w:type="dxa"/>
            <w:vMerge w:val="continue"/>
            <w:vAlign w:val="center"/>
          </w:tcPr>
          <w:p w14:paraId="284C2072">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p>
        </w:tc>
        <w:tc>
          <w:tcPr>
            <w:tcW w:w="2370" w:type="dxa"/>
            <w:gridSpan w:val="2"/>
            <w:shd w:val="clear" w:color="auto" w:fill="auto"/>
            <w:vAlign w:val="center"/>
          </w:tcPr>
          <w:p w14:paraId="4D4C1EF6">
            <w:pPr>
              <w:autoSpaceDE w:val="0"/>
              <w:autoSpaceDN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废包装材料</w:t>
            </w:r>
          </w:p>
        </w:tc>
        <w:tc>
          <w:tcPr>
            <w:tcW w:w="1687" w:type="dxa"/>
            <w:shd w:val="clear" w:color="auto" w:fill="auto"/>
            <w:vAlign w:val="center"/>
          </w:tcPr>
          <w:p w14:paraId="77AE8670">
            <w:pPr>
              <w:autoSpaceDE w:val="0"/>
              <w:autoSpaceDN w:val="0"/>
              <w:jc w:val="center"/>
              <w:rPr>
                <w:rFonts w:hint="default" w:ascii="Times New Roman" w:hAnsi="Times New Roman" w:eastAsia="宋体" w:cs="Times New Roman"/>
                <w:bCs/>
                <w:color w:val="000000" w:themeColor="text1"/>
                <w:kern w:val="0"/>
                <w:sz w:val="24"/>
                <w:szCs w:val="24"/>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7F098191">
            <w:pPr>
              <w:autoSpaceDE w:val="0"/>
              <w:autoSpaceDN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2CE8A92F">
            <w:pPr>
              <w:autoSpaceDE w:val="0"/>
              <w:autoSpaceDN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0FED2D4D">
            <w:pPr>
              <w:spacing w:line="24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1500" w:type="dxa"/>
            <w:shd w:val="clear" w:color="auto" w:fill="auto"/>
            <w:vAlign w:val="center"/>
          </w:tcPr>
          <w:p w14:paraId="2FACE37A">
            <w:pPr>
              <w:spacing w:line="240" w:lineRule="exact"/>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64D5AAB9">
            <w:pPr>
              <w:spacing w:line="240" w:lineRule="exact"/>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1145" w:type="dxa"/>
            <w:vAlign w:val="center"/>
          </w:tcPr>
          <w:p w14:paraId="2E265EEA">
            <w:pPr>
              <w:spacing w:line="24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r>
      <w:tr w14:paraId="57C075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3" w:type="dxa"/>
            <w:vMerge w:val="continue"/>
            <w:vAlign w:val="center"/>
          </w:tcPr>
          <w:p w14:paraId="0EF35908">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rPr>
            </w:pPr>
          </w:p>
        </w:tc>
        <w:tc>
          <w:tcPr>
            <w:tcW w:w="2370" w:type="dxa"/>
            <w:gridSpan w:val="2"/>
            <w:shd w:val="clear" w:color="auto" w:fill="auto"/>
            <w:vAlign w:val="center"/>
          </w:tcPr>
          <w:p w14:paraId="499AD476">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叉车废电瓶</w:t>
            </w:r>
          </w:p>
        </w:tc>
        <w:tc>
          <w:tcPr>
            <w:tcW w:w="1687" w:type="dxa"/>
            <w:shd w:val="clear" w:color="auto" w:fill="auto"/>
            <w:vAlign w:val="center"/>
          </w:tcPr>
          <w:p w14:paraId="77293242">
            <w:pPr>
              <w:autoSpaceDE w:val="0"/>
              <w:autoSpaceDN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2C028565">
            <w:pPr>
              <w:autoSpaceDE w:val="0"/>
              <w:autoSpaceDN w:val="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45006114">
            <w:pPr>
              <w:autoSpaceDE w:val="0"/>
              <w:autoSpaceDN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2D74788F">
            <w:pPr>
              <w:spacing w:line="240" w:lineRule="exact"/>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w:t>
            </w:r>
          </w:p>
        </w:tc>
        <w:tc>
          <w:tcPr>
            <w:tcW w:w="1500" w:type="dxa"/>
            <w:shd w:val="clear" w:color="auto" w:fill="auto"/>
            <w:vAlign w:val="center"/>
          </w:tcPr>
          <w:p w14:paraId="32FFD0F4">
            <w:pPr>
              <w:spacing w:line="240" w:lineRule="exact"/>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65297001">
            <w:pPr>
              <w:spacing w:line="240" w:lineRule="exact"/>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w:t>
            </w:r>
          </w:p>
        </w:tc>
        <w:tc>
          <w:tcPr>
            <w:tcW w:w="1145" w:type="dxa"/>
            <w:vAlign w:val="center"/>
          </w:tcPr>
          <w:p w14:paraId="038FEBF7">
            <w:pPr>
              <w:spacing w:line="240" w:lineRule="exact"/>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w:t>
            </w:r>
          </w:p>
        </w:tc>
      </w:tr>
      <w:tr w14:paraId="681573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restart"/>
            <w:vAlign w:val="center"/>
          </w:tcPr>
          <w:p w14:paraId="67D236DF">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危险废物</w:t>
            </w:r>
          </w:p>
        </w:tc>
        <w:tc>
          <w:tcPr>
            <w:tcW w:w="2370" w:type="dxa"/>
            <w:gridSpan w:val="2"/>
            <w:shd w:val="clear" w:color="auto" w:fill="auto"/>
            <w:vAlign w:val="center"/>
          </w:tcPr>
          <w:p w14:paraId="54825C77">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沾染切削液的废金属屑</w:t>
            </w:r>
          </w:p>
        </w:tc>
        <w:tc>
          <w:tcPr>
            <w:tcW w:w="1687" w:type="dxa"/>
            <w:shd w:val="clear" w:color="auto" w:fill="auto"/>
            <w:vAlign w:val="center"/>
          </w:tcPr>
          <w:p w14:paraId="0F9971FF">
            <w:pPr>
              <w:autoSpaceDE w:val="0"/>
              <w:autoSpaceDN w:val="0"/>
              <w:jc w:val="center"/>
              <w:rPr>
                <w:rFonts w:hint="default" w:ascii="Times New Roman" w:hAnsi="Times New Roman" w:eastAsia="宋体" w:cs="Times New Roman"/>
                <w:bCs/>
                <w:color w:val="000000" w:themeColor="text1"/>
                <w:kern w:val="0"/>
                <w:sz w:val="24"/>
                <w:szCs w:val="24"/>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798A2E08">
            <w:pPr>
              <w:autoSpaceDE w:val="0"/>
              <w:autoSpaceDN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19BA7D31">
            <w:pPr>
              <w:autoSpaceDE w:val="0"/>
              <w:autoSpaceDN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50011875">
            <w:pPr>
              <w:spacing w:line="240" w:lineRule="auto"/>
              <w:jc w:val="cente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5</w:t>
            </w:r>
          </w:p>
        </w:tc>
        <w:tc>
          <w:tcPr>
            <w:tcW w:w="1500" w:type="dxa"/>
            <w:shd w:val="clear" w:color="auto" w:fill="auto"/>
            <w:vAlign w:val="center"/>
          </w:tcPr>
          <w:p w14:paraId="3262EC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2FD32E1A">
            <w:pPr>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5</w:t>
            </w:r>
          </w:p>
        </w:tc>
        <w:tc>
          <w:tcPr>
            <w:tcW w:w="1145" w:type="dxa"/>
            <w:vAlign w:val="center"/>
          </w:tcPr>
          <w:p w14:paraId="081E78A9">
            <w:pPr>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+5</w:t>
            </w:r>
          </w:p>
        </w:tc>
      </w:tr>
      <w:tr w14:paraId="1AB26B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085E9ED7">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p>
        </w:tc>
        <w:tc>
          <w:tcPr>
            <w:tcW w:w="2370" w:type="dxa"/>
            <w:gridSpan w:val="2"/>
            <w:shd w:val="clear" w:color="auto" w:fill="auto"/>
            <w:vAlign w:val="center"/>
          </w:tcPr>
          <w:p w14:paraId="66CBF86E">
            <w:pPr>
              <w:autoSpaceDE w:val="0"/>
              <w:autoSpaceDN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废切削液</w:t>
            </w:r>
          </w:p>
        </w:tc>
        <w:tc>
          <w:tcPr>
            <w:tcW w:w="1687" w:type="dxa"/>
            <w:shd w:val="clear" w:color="auto" w:fill="auto"/>
            <w:vAlign w:val="center"/>
          </w:tcPr>
          <w:p w14:paraId="0F904051">
            <w:pPr>
              <w:autoSpaceDE w:val="0"/>
              <w:autoSpaceDN w:val="0"/>
              <w:jc w:val="center"/>
              <w:rPr>
                <w:rFonts w:hint="default" w:ascii="Times New Roman" w:hAnsi="Times New Roman" w:eastAsia="宋体" w:cs="Times New Roman"/>
                <w:bCs/>
                <w:color w:val="000000" w:themeColor="text1"/>
                <w:kern w:val="0"/>
                <w:sz w:val="24"/>
                <w:szCs w:val="24"/>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09E5101C">
            <w:pPr>
              <w:autoSpaceDE w:val="0"/>
              <w:autoSpaceDN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4CD30DB3">
            <w:pPr>
              <w:autoSpaceDE w:val="0"/>
              <w:autoSpaceDN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02328889">
            <w:pP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w:t>
            </w:r>
          </w:p>
        </w:tc>
        <w:tc>
          <w:tcPr>
            <w:tcW w:w="1500" w:type="dxa"/>
            <w:shd w:val="clear" w:color="auto" w:fill="auto"/>
            <w:vAlign w:val="center"/>
          </w:tcPr>
          <w:p w14:paraId="7EA1B3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447CB8E3">
            <w:pPr>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w:t>
            </w:r>
          </w:p>
        </w:tc>
        <w:tc>
          <w:tcPr>
            <w:tcW w:w="1145" w:type="dxa"/>
            <w:vAlign w:val="center"/>
          </w:tcPr>
          <w:p w14:paraId="743F50A7">
            <w:pPr>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w:t>
            </w:r>
          </w:p>
        </w:tc>
      </w:tr>
      <w:tr w14:paraId="7C89BA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6A73E0FB">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p>
        </w:tc>
        <w:tc>
          <w:tcPr>
            <w:tcW w:w="2370" w:type="dxa"/>
            <w:gridSpan w:val="2"/>
            <w:shd w:val="clear" w:color="auto" w:fill="auto"/>
            <w:vAlign w:val="center"/>
          </w:tcPr>
          <w:p w14:paraId="166B3F4D">
            <w:pPr>
              <w:autoSpaceDE w:val="0"/>
              <w:autoSpaceDN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废无尘纸</w:t>
            </w:r>
          </w:p>
        </w:tc>
        <w:tc>
          <w:tcPr>
            <w:tcW w:w="1687" w:type="dxa"/>
            <w:shd w:val="clear" w:color="auto" w:fill="auto"/>
            <w:vAlign w:val="center"/>
          </w:tcPr>
          <w:p w14:paraId="34DD85CB">
            <w:pPr>
              <w:autoSpaceDE w:val="0"/>
              <w:autoSpaceDN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09875AEA">
            <w:pPr>
              <w:autoSpaceDE w:val="0"/>
              <w:autoSpaceDN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62C34335">
            <w:pPr>
              <w:autoSpaceDE w:val="0"/>
              <w:autoSpaceDN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120AF325">
            <w:pP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0.03</w:t>
            </w:r>
          </w:p>
        </w:tc>
        <w:tc>
          <w:tcPr>
            <w:tcW w:w="1500" w:type="dxa"/>
            <w:shd w:val="clear" w:color="auto" w:fill="auto"/>
            <w:vAlign w:val="center"/>
          </w:tcPr>
          <w:p w14:paraId="70C499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08C233E2">
            <w:pPr>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0.03</w:t>
            </w:r>
          </w:p>
        </w:tc>
        <w:tc>
          <w:tcPr>
            <w:tcW w:w="1145" w:type="dxa"/>
            <w:vAlign w:val="center"/>
          </w:tcPr>
          <w:p w14:paraId="1B6653EE">
            <w:pPr>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+0.03</w:t>
            </w:r>
          </w:p>
        </w:tc>
      </w:tr>
      <w:tr w14:paraId="0C1BC9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6028B514">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p>
        </w:tc>
        <w:tc>
          <w:tcPr>
            <w:tcW w:w="2370" w:type="dxa"/>
            <w:gridSpan w:val="2"/>
            <w:shd w:val="clear" w:color="auto" w:fill="auto"/>
            <w:vAlign w:val="center"/>
          </w:tcPr>
          <w:p w14:paraId="1198735E">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废包装桶</w:t>
            </w:r>
          </w:p>
        </w:tc>
        <w:tc>
          <w:tcPr>
            <w:tcW w:w="1687" w:type="dxa"/>
            <w:vAlign w:val="center"/>
          </w:tcPr>
          <w:p w14:paraId="700A7BA4">
            <w:pPr>
              <w:autoSpaceDE w:val="0"/>
              <w:autoSpaceDN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53F6AFC6">
            <w:pPr>
              <w:autoSpaceDE w:val="0"/>
              <w:autoSpaceDN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28300C99">
            <w:pPr>
              <w:autoSpaceDE w:val="0"/>
              <w:autoSpaceDN w:val="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561F9B92">
            <w:pPr>
              <w:spacing w:line="240" w:lineRule="auto"/>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0.15</w:t>
            </w:r>
          </w:p>
        </w:tc>
        <w:tc>
          <w:tcPr>
            <w:tcW w:w="1500" w:type="dxa"/>
            <w:shd w:val="clear" w:color="auto" w:fill="auto"/>
            <w:vAlign w:val="center"/>
          </w:tcPr>
          <w:p w14:paraId="378CCF8B">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3D8B8779">
            <w:pPr>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0.15</w:t>
            </w:r>
          </w:p>
        </w:tc>
        <w:tc>
          <w:tcPr>
            <w:tcW w:w="1145" w:type="dxa"/>
            <w:vAlign w:val="center"/>
          </w:tcPr>
          <w:p w14:paraId="2967686A">
            <w:pPr>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+0.15</w:t>
            </w:r>
          </w:p>
        </w:tc>
      </w:tr>
      <w:tr w14:paraId="653BCE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1E1D1712">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p>
        </w:tc>
        <w:tc>
          <w:tcPr>
            <w:tcW w:w="2370" w:type="dxa"/>
            <w:gridSpan w:val="2"/>
            <w:shd w:val="clear" w:color="auto" w:fill="auto"/>
            <w:vAlign w:val="center"/>
          </w:tcPr>
          <w:p w14:paraId="2002A51B">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废油桶</w:t>
            </w:r>
          </w:p>
        </w:tc>
        <w:tc>
          <w:tcPr>
            <w:tcW w:w="1687" w:type="dxa"/>
            <w:vAlign w:val="center"/>
          </w:tcPr>
          <w:p w14:paraId="4116F36F">
            <w:pPr>
              <w:autoSpaceDE w:val="0"/>
              <w:autoSpaceDN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7F20B7F1">
            <w:pPr>
              <w:autoSpaceDE w:val="0"/>
              <w:autoSpaceDN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42D65C77">
            <w:pPr>
              <w:autoSpaceDE w:val="0"/>
              <w:autoSpaceDN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3FAC70F6">
            <w:pPr>
              <w:spacing w:line="240" w:lineRule="exact"/>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0.011</w:t>
            </w:r>
          </w:p>
        </w:tc>
        <w:tc>
          <w:tcPr>
            <w:tcW w:w="1500" w:type="dxa"/>
            <w:shd w:val="clear" w:color="auto" w:fill="auto"/>
            <w:vAlign w:val="center"/>
          </w:tcPr>
          <w:p w14:paraId="585654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2B538F2A">
            <w:pPr>
              <w:spacing w:line="240" w:lineRule="exact"/>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0.011</w:t>
            </w:r>
          </w:p>
        </w:tc>
        <w:tc>
          <w:tcPr>
            <w:tcW w:w="1145" w:type="dxa"/>
            <w:vAlign w:val="center"/>
          </w:tcPr>
          <w:p w14:paraId="5839314F">
            <w:pPr>
              <w:spacing w:line="240" w:lineRule="exact"/>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+0.011</w:t>
            </w:r>
          </w:p>
        </w:tc>
      </w:tr>
      <w:tr w14:paraId="565AE6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65407BDF">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p>
        </w:tc>
        <w:tc>
          <w:tcPr>
            <w:tcW w:w="2370" w:type="dxa"/>
            <w:gridSpan w:val="2"/>
            <w:shd w:val="clear" w:color="auto" w:fill="auto"/>
            <w:vAlign w:val="center"/>
          </w:tcPr>
          <w:p w14:paraId="62BCADE4">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废液压油</w:t>
            </w:r>
          </w:p>
        </w:tc>
        <w:tc>
          <w:tcPr>
            <w:tcW w:w="1687" w:type="dxa"/>
            <w:vAlign w:val="center"/>
          </w:tcPr>
          <w:p w14:paraId="1FB783DA">
            <w:pPr>
              <w:autoSpaceDE w:val="0"/>
              <w:autoSpaceDN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2050E906">
            <w:pPr>
              <w:autoSpaceDE w:val="0"/>
              <w:autoSpaceDN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2E195322">
            <w:pPr>
              <w:autoSpaceDE w:val="0"/>
              <w:autoSpaceDN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6BCE12C8">
            <w:pPr>
              <w:spacing w:line="240" w:lineRule="exact"/>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0.136</w:t>
            </w:r>
          </w:p>
        </w:tc>
        <w:tc>
          <w:tcPr>
            <w:tcW w:w="1500" w:type="dxa"/>
            <w:shd w:val="clear" w:color="auto" w:fill="auto"/>
            <w:vAlign w:val="center"/>
          </w:tcPr>
          <w:p w14:paraId="5F383B4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3CEEEB54">
            <w:pPr>
              <w:spacing w:line="240" w:lineRule="exact"/>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0.136</w:t>
            </w:r>
          </w:p>
        </w:tc>
        <w:tc>
          <w:tcPr>
            <w:tcW w:w="1145" w:type="dxa"/>
            <w:vAlign w:val="center"/>
          </w:tcPr>
          <w:p w14:paraId="36031063">
            <w:pPr>
              <w:spacing w:line="240" w:lineRule="exact"/>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+0.136</w:t>
            </w:r>
          </w:p>
        </w:tc>
      </w:tr>
      <w:tr w14:paraId="5AA17D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14:paraId="02E58C6C">
            <w:pPr>
              <w:pStyle w:val="35"/>
              <w:spacing w:beforeLines="0" w:afterLines="0" w:line="240" w:lineRule="auto"/>
              <w:ind w:left="0" w:leftChars="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p>
        </w:tc>
        <w:tc>
          <w:tcPr>
            <w:tcW w:w="2370" w:type="dxa"/>
            <w:gridSpan w:val="2"/>
            <w:shd w:val="clear" w:color="auto" w:fill="auto"/>
            <w:vAlign w:val="center"/>
          </w:tcPr>
          <w:p w14:paraId="1D8B9AEC">
            <w:pPr>
              <w:autoSpaceDE w:val="0"/>
              <w:autoSpaceDN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废过滤网</w:t>
            </w:r>
          </w:p>
        </w:tc>
        <w:tc>
          <w:tcPr>
            <w:tcW w:w="1687" w:type="dxa"/>
            <w:vAlign w:val="center"/>
          </w:tcPr>
          <w:p w14:paraId="6850BB52">
            <w:pPr>
              <w:autoSpaceDE w:val="0"/>
              <w:autoSpaceDN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313" w:type="dxa"/>
            <w:vAlign w:val="center"/>
          </w:tcPr>
          <w:p w14:paraId="1FEBBC63">
            <w:pPr>
              <w:autoSpaceDE w:val="0"/>
              <w:autoSpaceDN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w:t>
            </w:r>
          </w:p>
        </w:tc>
        <w:tc>
          <w:tcPr>
            <w:tcW w:w="1781" w:type="dxa"/>
            <w:vAlign w:val="center"/>
          </w:tcPr>
          <w:p w14:paraId="047A0E17">
            <w:pPr>
              <w:autoSpaceDE w:val="0"/>
              <w:autoSpaceDN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94" w:type="dxa"/>
            <w:shd w:val="clear" w:color="auto" w:fill="auto"/>
            <w:vAlign w:val="center"/>
          </w:tcPr>
          <w:p w14:paraId="3289A93F">
            <w:pPr>
              <w:spacing w:line="240" w:lineRule="exact"/>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1.5</w:t>
            </w:r>
          </w:p>
        </w:tc>
        <w:tc>
          <w:tcPr>
            <w:tcW w:w="1500" w:type="dxa"/>
            <w:shd w:val="clear" w:color="auto" w:fill="auto"/>
            <w:vAlign w:val="center"/>
          </w:tcPr>
          <w:p w14:paraId="4D382DC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01D45362">
            <w:pPr>
              <w:spacing w:line="240" w:lineRule="exact"/>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1.5</w:t>
            </w:r>
          </w:p>
        </w:tc>
        <w:tc>
          <w:tcPr>
            <w:tcW w:w="1145" w:type="dxa"/>
            <w:vAlign w:val="center"/>
          </w:tcPr>
          <w:p w14:paraId="636B1E91">
            <w:pPr>
              <w:spacing w:line="240" w:lineRule="exact"/>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+1.5</w:t>
            </w:r>
          </w:p>
        </w:tc>
      </w:tr>
      <w:tr w14:paraId="2BD103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3" w:type="dxa"/>
            <w:gridSpan w:val="3"/>
            <w:vAlign w:val="center"/>
          </w:tcPr>
          <w:p w14:paraId="5B29CA03">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生活垃圾</w:t>
            </w:r>
          </w:p>
        </w:tc>
        <w:tc>
          <w:tcPr>
            <w:tcW w:w="1687" w:type="dxa"/>
            <w:vAlign w:val="center"/>
          </w:tcPr>
          <w:p w14:paraId="494A37AB">
            <w:pPr>
              <w:autoSpaceDE w:val="0"/>
              <w:autoSpaceDN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313" w:type="dxa"/>
            <w:vAlign w:val="center"/>
          </w:tcPr>
          <w:p w14:paraId="76626A0D">
            <w:pPr>
              <w:autoSpaceDE w:val="0"/>
              <w:autoSpaceDN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781" w:type="dxa"/>
            <w:vAlign w:val="center"/>
          </w:tcPr>
          <w:p w14:paraId="21854B5D">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w:t>
            </w:r>
          </w:p>
        </w:tc>
        <w:tc>
          <w:tcPr>
            <w:tcW w:w="1594" w:type="dxa"/>
            <w:vAlign w:val="center"/>
          </w:tcPr>
          <w:p w14:paraId="5FE9723A">
            <w:pPr>
              <w:autoSpaceDE w:val="0"/>
              <w:autoSpaceDN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3.75</w:t>
            </w:r>
          </w:p>
        </w:tc>
        <w:tc>
          <w:tcPr>
            <w:tcW w:w="1500" w:type="dxa"/>
            <w:vAlign w:val="center"/>
          </w:tcPr>
          <w:p w14:paraId="27639F42">
            <w:pPr>
              <w:autoSpaceDE w:val="0"/>
              <w:autoSpaceDN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1575" w:type="dxa"/>
            <w:vAlign w:val="center"/>
          </w:tcPr>
          <w:p w14:paraId="65BCA22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3.75</w:t>
            </w:r>
          </w:p>
        </w:tc>
        <w:tc>
          <w:tcPr>
            <w:tcW w:w="1145" w:type="dxa"/>
            <w:vAlign w:val="center"/>
          </w:tcPr>
          <w:p w14:paraId="30F96045">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+3.75</w:t>
            </w:r>
          </w:p>
        </w:tc>
      </w:tr>
    </w:tbl>
    <w:p w14:paraId="28956525">
      <w:pPr>
        <w:pStyle w:val="35"/>
        <w:spacing w:beforeLines="0" w:afterLines="0" w:line="240" w:lineRule="auto"/>
        <w:jc w:val="left"/>
        <w:rPr>
          <w:rFonts w:ascii="Times New Roman"/>
          <w:snapToGrid w:val="0"/>
          <w:color w:val="auto"/>
          <w:kern w:val="21"/>
          <w:szCs w:val="21"/>
          <w:highlight w:val="none"/>
        </w:rPr>
        <w:sectPr>
          <w:footerReference r:id="rId6" w:type="default"/>
          <w:pgSz w:w="16838" w:h="11906" w:orient="landscape"/>
          <w:pgMar w:top="1440" w:right="1797" w:bottom="1440" w:left="1797" w:header="851" w:footer="851" w:gutter="0"/>
          <w:pgBorders>
            <w:top w:val="none" w:sz="0" w:space="0"/>
            <w:left w:val="none" w:sz="0" w:space="0"/>
            <w:bottom w:val="none" w:sz="0" w:space="0"/>
            <w:right w:val="none" w:sz="0" w:space="0"/>
          </w:pgBorders>
          <w:pgNumType w:fmt="decimal"/>
          <w:cols w:space="720" w:num="1"/>
          <w:docGrid w:linePitch="312" w:charSpace="0"/>
        </w:sectPr>
      </w:pPr>
      <w:r>
        <w:rPr>
          <w:rFonts w:ascii="Times New Roman"/>
          <w:snapToGrid w:val="0"/>
          <w:color w:val="auto"/>
          <w:kern w:val="21"/>
          <w:szCs w:val="21"/>
          <w:highlight w:val="none"/>
        </w:rPr>
        <w:t>注：</w:t>
      </w:r>
      <w:r>
        <w:rPr>
          <w:rFonts w:ascii="Times New Roman"/>
          <w:snapToGrid w:val="0"/>
          <w:color w:val="auto"/>
          <w:kern w:val="21"/>
          <w:szCs w:val="21"/>
          <w:highlight w:val="none"/>
        </w:rPr>
        <w:fldChar w:fldCharType="begin"/>
      </w:r>
      <w:r>
        <w:rPr>
          <w:rFonts w:ascii="Times New Roman"/>
          <w:snapToGrid w:val="0"/>
          <w:color w:val="auto"/>
          <w:kern w:val="21"/>
          <w:szCs w:val="21"/>
          <w:highlight w:val="none"/>
        </w:rPr>
        <w:instrText xml:space="preserve"> = 6 \* GB3 \* MERGEFORMAT </w:instrText>
      </w:r>
      <w:r>
        <w:rPr>
          <w:rFonts w:ascii="Times New Roman"/>
          <w:snapToGrid w:val="0"/>
          <w:color w:val="auto"/>
          <w:kern w:val="21"/>
          <w:szCs w:val="21"/>
          <w:highlight w:val="none"/>
        </w:rPr>
        <w:fldChar w:fldCharType="separate"/>
      </w:r>
      <w:r>
        <w:rPr>
          <w:rFonts w:hint="eastAsia" w:hAnsi="宋体" w:cs="宋体"/>
          <w:color w:val="auto"/>
          <w:szCs w:val="21"/>
          <w:highlight w:val="none"/>
        </w:rPr>
        <w:t>⑥</w:t>
      </w:r>
      <w:r>
        <w:rPr>
          <w:rFonts w:ascii="Times New Roman"/>
          <w:snapToGrid w:val="0"/>
          <w:color w:val="auto"/>
          <w:kern w:val="21"/>
          <w:szCs w:val="21"/>
          <w:highlight w:val="none"/>
        </w:rPr>
        <w:fldChar w:fldCharType="end"/>
      </w:r>
      <w:r>
        <w:rPr>
          <w:rFonts w:ascii="Times New Roman"/>
          <w:snapToGrid w:val="0"/>
          <w:color w:val="auto"/>
          <w:kern w:val="21"/>
          <w:szCs w:val="21"/>
          <w:highlight w:val="none"/>
        </w:rPr>
        <w:t>=</w:t>
      </w:r>
      <w:r>
        <w:rPr>
          <w:rFonts w:ascii="Times New Roman"/>
          <w:snapToGrid w:val="0"/>
          <w:color w:val="auto"/>
          <w:kern w:val="21"/>
          <w:szCs w:val="21"/>
          <w:highlight w:val="none"/>
        </w:rPr>
        <w:fldChar w:fldCharType="begin"/>
      </w:r>
      <w:r>
        <w:rPr>
          <w:rFonts w:ascii="Times New Roman"/>
          <w:snapToGrid w:val="0"/>
          <w:color w:val="auto"/>
          <w:kern w:val="21"/>
          <w:szCs w:val="21"/>
          <w:highlight w:val="none"/>
        </w:rPr>
        <w:instrText xml:space="preserve"> = 1 \* GB3 \* MERGEFORMAT </w:instrText>
      </w:r>
      <w:r>
        <w:rPr>
          <w:rFonts w:ascii="Times New Roman"/>
          <w:snapToGrid w:val="0"/>
          <w:color w:val="auto"/>
          <w:kern w:val="21"/>
          <w:szCs w:val="21"/>
          <w:highlight w:val="none"/>
        </w:rPr>
        <w:fldChar w:fldCharType="separate"/>
      </w:r>
      <w:r>
        <w:rPr>
          <w:rFonts w:hint="eastAsia" w:hAnsi="宋体" w:cs="宋体"/>
          <w:color w:val="auto"/>
          <w:szCs w:val="21"/>
          <w:highlight w:val="none"/>
        </w:rPr>
        <w:t>①</w:t>
      </w:r>
      <w:r>
        <w:rPr>
          <w:rFonts w:ascii="Times New Roman"/>
          <w:snapToGrid w:val="0"/>
          <w:color w:val="auto"/>
          <w:kern w:val="21"/>
          <w:szCs w:val="21"/>
          <w:highlight w:val="none"/>
        </w:rPr>
        <w:fldChar w:fldCharType="end"/>
      </w:r>
      <w:r>
        <w:rPr>
          <w:rFonts w:ascii="Times New Roman"/>
          <w:snapToGrid w:val="0"/>
          <w:color w:val="auto"/>
          <w:kern w:val="21"/>
          <w:szCs w:val="21"/>
          <w:highlight w:val="none"/>
        </w:rPr>
        <w:t>+</w:t>
      </w:r>
      <w:r>
        <w:rPr>
          <w:rFonts w:ascii="Times New Roman"/>
          <w:snapToGrid w:val="0"/>
          <w:color w:val="auto"/>
          <w:kern w:val="21"/>
          <w:szCs w:val="21"/>
          <w:highlight w:val="none"/>
        </w:rPr>
        <w:fldChar w:fldCharType="begin"/>
      </w:r>
      <w:r>
        <w:rPr>
          <w:rFonts w:ascii="Times New Roman"/>
          <w:snapToGrid w:val="0"/>
          <w:color w:val="auto"/>
          <w:kern w:val="21"/>
          <w:szCs w:val="21"/>
          <w:highlight w:val="none"/>
        </w:rPr>
        <w:instrText xml:space="preserve"> = 3 \* GB3 \* MERGEFORMAT </w:instrText>
      </w:r>
      <w:r>
        <w:rPr>
          <w:rFonts w:ascii="Times New Roman"/>
          <w:snapToGrid w:val="0"/>
          <w:color w:val="auto"/>
          <w:kern w:val="21"/>
          <w:szCs w:val="21"/>
          <w:highlight w:val="none"/>
        </w:rPr>
        <w:fldChar w:fldCharType="separate"/>
      </w:r>
      <w:r>
        <w:rPr>
          <w:rFonts w:hint="eastAsia" w:hAnsi="宋体" w:cs="宋体"/>
          <w:color w:val="auto"/>
          <w:szCs w:val="21"/>
          <w:highlight w:val="none"/>
        </w:rPr>
        <w:t>③</w:t>
      </w:r>
      <w:r>
        <w:rPr>
          <w:rFonts w:ascii="Times New Roman"/>
          <w:snapToGrid w:val="0"/>
          <w:color w:val="auto"/>
          <w:kern w:val="21"/>
          <w:szCs w:val="21"/>
          <w:highlight w:val="none"/>
        </w:rPr>
        <w:fldChar w:fldCharType="end"/>
      </w:r>
      <w:r>
        <w:rPr>
          <w:rFonts w:ascii="Times New Roman"/>
          <w:snapToGrid w:val="0"/>
          <w:color w:val="auto"/>
          <w:kern w:val="21"/>
          <w:szCs w:val="21"/>
          <w:highlight w:val="none"/>
        </w:rPr>
        <w:t>+</w:t>
      </w:r>
      <w:r>
        <w:rPr>
          <w:rFonts w:ascii="Times New Roman"/>
          <w:snapToGrid w:val="0"/>
          <w:color w:val="auto"/>
          <w:kern w:val="21"/>
          <w:szCs w:val="21"/>
          <w:highlight w:val="none"/>
        </w:rPr>
        <w:fldChar w:fldCharType="begin"/>
      </w:r>
      <w:r>
        <w:rPr>
          <w:rFonts w:ascii="Times New Roman"/>
          <w:snapToGrid w:val="0"/>
          <w:color w:val="auto"/>
          <w:kern w:val="21"/>
          <w:szCs w:val="21"/>
          <w:highlight w:val="none"/>
        </w:rPr>
        <w:instrText xml:space="preserve"> = 4 \* GB3 \* MERGEFORMAT </w:instrText>
      </w:r>
      <w:r>
        <w:rPr>
          <w:rFonts w:ascii="Times New Roman"/>
          <w:snapToGrid w:val="0"/>
          <w:color w:val="auto"/>
          <w:kern w:val="21"/>
          <w:szCs w:val="21"/>
          <w:highlight w:val="none"/>
        </w:rPr>
        <w:fldChar w:fldCharType="separate"/>
      </w:r>
      <w:r>
        <w:rPr>
          <w:rFonts w:hint="eastAsia" w:hAnsi="宋体" w:cs="宋体"/>
          <w:color w:val="auto"/>
          <w:szCs w:val="21"/>
          <w:highlight w:val="none"/>
        </w:rPr>
        <w:t>④</w:t>
      </w:r>
      <w:r>
        <w:rPr>
          <w:rFonts w:ascii="Times New Roman"/>
          <w:snapToGrid w:val="0"/>
          <w:color w:val="auto"/>
          <w:kern w:val="21"/>
          <w:szCs w:val="21"/>
          <w:highlight w:val="none"/>
        </w:rPr>
        <w:fldChar w:fldCharType="end"/>
      </w:r>
      <w:r>
        <w:rPr>
          <w:rFonts w:ascii="Times New Roman"/>
          <w:snapToGrid w:val="0"/>
          <w:color w:val="auto"/>
          <w:kern w:val="21"/>
          <w:szCs w:val="21"/>
          <w:highlight w:val="none"/>
        </w:rPr>
        <w:t>-</w:t>
      </w:r>
      <w:r>
        <w:rPr>
          <w:rFonts w:ascii="Times New Roman"/>
          <w:snapToGrid w:val="0"/>
          <w:color w:val="auto"/>
          <w:kern w:val="21"/>
          <w:szCs w:val="21"/>
          <w:highlight w:val="none"/>
        </w:rPr>
        <w:fldChar w:fldCharType="begin"/>
      </w:r>
      <w:r>
        <w:rPr>
          <w:rFonts w:ascii="Times New Roman"/>
          <w:snapToGrid w:val="0"/>
          <w:color w:val="auto"/>
          <w:kern w:val="21"/>
          <w:szCs w:val="21"/>
          <w:highlight w:val="none"/>
        </w:rPr>
        <w:instrText xml:space="preserve"> = 5 \* GB3 \* MERGEFORMAT </w:instrText>
      </w:r>
      <w:r>
        <w:rPr>
          <w:rFonts w:ascii="Times New Roman"/>
          <w:snapToGrid w:val="0"/>
          <w:color w:val="auto"/>
          <w:kern w:val="21"/>
          <w:szCs w:val="21"/>
          <w:highlight w:val="none"/>
        </w:rPr>
        <w:fldChar w:fldCharType="separate"/>
      </w:r>
      <w:r>
        <w:rPr>
          <w:rFonts w:hint="eastAsia" w:hAnsi="宋体" w:cs="宋体"/>
          <w:color w:val="auto"/>
          <w:szCs w:val="21"/>
          <w:highlight w:val="none"/>
        </w:rPr>
        <w:t>⑤</w:t>
      </w:r>
      <w:r>
        <w:rPr>
          <w:rFonts w:ascii="Times New Roman"/>
          <w:snapToGrid w:val="0"/>
          <w:color w:val="auto"/>
          <w:kern w:val="21"/>
          <w:szCs w:val="21"/>
          <w:highlight w:val="none"/>
        </w:rPr>
        <w:fldChar w:fldCharType="end"/>
      </w:r>
      <w:r>
        <w:rPr>
          <w:rFonts w:ascii="Times New Roman"/>
          <w:snapToGrid w:val="0"/>
          <w:color w:val="auto"/>
          <w:kern w:val="21"/>
          <w:szCs w:val="21"/>
          <w:highlight w:val="none"/>
        </w:rPr>
        <w:t>；</w:t>
      </w:r>
      <w:r>
        <w:rPr>
          <w:rFonts w:ascii="Times New Roman"/>
          <w:snapToGrid w:val="0"/>
          <w:color w:val="auto"/>
          <w:kern w:val="21"/>
          <w:szCs w:val="21"/>
          <w:highlight w:val="none"/>
        </w:rPr>
        <w:fldChar w:fldCharType="begin"/>
      </w:r>
      <w:r>
        <w:rPr>
          <w:rFonts w:ascii="Times New Roman"/>
          <w:snapToGrid w:val="0"/>
          <w:color w:val="auto"/>
          <w:kern w:val="21"/>
          <w:szCs w:val="21"/>
          <w:highlight w:val="none"/>
        </w:rPr>
        <w:instrText xml:space="preserve"> = 7 \* GB3 \* MERGEFORMAT </w:instrText>
      </w:r>
      <w:r>
        <w:rPr>
          <w:rFonts w:ascii="Times New Roman"/>
          <w:snapToGrid w:val="0"/>
          <w:color w:val="auto"/>
          <w:kern w:val="21"/>
          <w:szCs w:val="21"/>
          <w:highlight w:val="none"/>
        </w:rPr>
        <w:fldChar w:fldCharType="separate"/>
      </w:r>
      <w:r>
        <w:rPr>
          <w:rFonts w:hint="eastAsia" w:hAnsi="宋体" w:cs="宋体"/>
          <w:color w:val="auto"/>
          <w:szCs w:val="21"/>
          <w:highlight w:val="none"/>
        </w:rPr>
        <w:t>⑦</w:t>
      </w:r>
      <w:r>
        <w:rPr>
          <w:rFonts w:ascii="Times New Roman"/>
          <w:snapToGrid w:val="0"/>
          <w:color w:val="auto"/>
          <w:kern w:val="21"/>
          <w:szCs w:val="21"/>
          <w:highlight w:val="none"/>
        </w:rPr>
        <w:fldChar w:fldCharType="end"/>
      </w:r>
      <w:r>
        <w:rPr>
          <w:rFonts w:ascii="Times New Roman"/>
          <w:snapToGrid w:val="0"/>
          <w:color w:val="auto"/>
          <w:kern w:val="21"/>
          <w:szCs w:val="21"/>
          <w:highlight w:val="none"/>
        </w:rPr>
        <w:t>=</w:t>
      </w:r>
      <w:r>
        <w:rPr>
          <w:rFonts w:ascii="Times New Roman"/>
          <w:snapToGrid w:val="0"/>
          <w:color w:val="auto"/>
          <w:kern w:val="21"/>
          <w:szCs w:val="21"/>
          <w:highlight w:val="none"/>
        </w:rPr>
        <w:fldChar w:fldCharType="begin"/>
      </w:r>
      <w:r>
        <w:rPr>
          <w:rFonts w:ascii="Times New Roman"/>
          <w:snapToGrid w:val="0"/>
          <w:color w:val="auto"/>
          <w:kern w:val="21"/>
          <w:szCs w:val="21"/>
          <w:highlight w:val="none"/>
        </w:rPr>
        <w:instrText xml:space="preserve"> = 6 \* GB3 \* MERGEFORMAT </w:instrText>
      </w:r>
      <w:r>
        <w:rPr>
          <w:rFonts w:ascii="Times New Roman"/>
          <w:snapToGrid w:val="0"/>
          <w:color w:val="auto"/>
          <w:kern w:val="21"/>
          <w:szCs w:val="21"/>
          <w:highlight w:val="none"/>
        </w:rPr>
        <w:fldChar w:fldCharType="separate"/>
      </w:r>
      <w:r>
        <w:rPr>
          <w:rFonts w:hint="eastAsia" w:hAnsi="宋体" w:cs="宋体"/>
          <w:color w:val="auto"/>
          <w:szCs w:val="21"/>
          <w:highlight w:val="none"/>
        </w:rPr>
        <w:t>⑥</w:t>
      </w:r>
      <w:r>
        <w:rPr>
          <w:rFonts w:ascii="Times New Roman"/>
          <w:snapToGrid w:val="0"/>
          <w:color w:val="auto"/>
          <w:kern w:val="21"/>
          <w:szCs w:val="21"/>
          <w:highlight w:val="none"/>
        </w:rPr>
        <w:fldChar w:fldCharType="end"/>
      </w:r>
      <w:r>
        <w:rPr>
          <w:rFonts w:ascii="Times New Roman"/>
          <w:snapToGrid w:val="0"/>
          <w:color w:val="auto"/>
          <w:kern w:val="21"/>
          <w:szCs w:val="21"/>
          <w:highlight w:val="none"/>
        </w:rPr>
        <w:t>-</w:t>
      </w:r>
      <w:r>
        <w:rPr>
          <w:rFonts w:ascii="Times New Roman"/>
          <w:snapToGrid w:val="0"/>
          <w:color w:val="auto"/>
          <w:kern w:val="21"/>
          <w:szCs w:val="21"/>
          <w:highlight w:val="none"/>
        </w:rPr>
        <w:fldChar w:fldCharType="begin"/>
      </w:r>
      <w:r>
        <w:rPr>
          <w:rFonts w:ascii="Times New Roman"/>
          <w:snapToGrid w:val="0"/>
          <w:color w:val="auto"/>
          <w:kern w:val="21"/>
          <w:szCs w:val="21"/>
          <w:highlight w:val="none"/>
        </w:rPr>
        <w:instrText xml:space="preserve"> = 1 \* GB3 \* MERGEFORMAT </w:instrText>
      </w:r>
      <w:r>
        <w:rPr>
          <w:rFonts w:ascii="Times New Roman"/>
          <w:snapToGrid w:val="0"/>
          <w:color w:val="auto"/>
          <w:kern w:val="21"/>
          <w:szCs w:val="21"/>
          <w:highlight w:val="none"/>
        </w:rPr>
        <w:fldChar w:fldCharType="separate"/>
      </w:r>
      <w:r>
        <w:rPr>
          <w:rFonts w:hint="eastAsia" w:hAnsi="宋体" w:cs="宋体"/>
          <w:color w:val="auto"/>
          <w:szCs w:val="21"/>
          <w:highlight w:val="none"/>
        </w:rPr>
        <w:t>①</w:t>
      </w:r>
      <w:r>
        <w:rPr>
          <w:rFonts w:ascii="Times New Roman"/>
          <w:snapToGrid w:val="0"/>
          <w:color w:val="auto"/>
          <w:kern w:val="21"/>
          <w:szCs w:val="21"/>
          <w:highlight w:val="none"/>
        </w:rPr>
        <w:fldChar w:fldCharType="end"/>
      </w:r>
      <w:r>
        <w:rPr>
          <w:rFonts w:hint="eastAsia" w:ascii="Times New Roman"/>
          <w:snapToGrid w:val="0"/>
          <w:color w:val="auto"/>
          <w:kern w:val="21"/>
          <w:szCs w:val="21"/>
          <w:highlight w:val="none"/>
        </w:rPr>
        <w:t>；</w:t>
      </w:r>
    </w:p>
    <w:tbl>
      <w:tblPr>
        <w:tblStyle w:val="22"/>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6"/>
      </w:tblGrid>
      <w:tr w14:paraId="482F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4" w:hRule="atLeast"/>
          <w:jc w:val="center"/>
        </w:trPr>
        <w:tc>
          <w:tcPr>
            <w:tcW w:w="8956" w:type="dxa"/>
            <w:tcBorders>
              <w:top w:val="single" w:color="auto" w:sz="6" w:space="0"/>
              <w:left w:val="single" w:color="auto" w:sz="6" w:space="0"/>
              <w:bottom w:val="single" w:color="auto" w:sz="6" w:space="0"/>
              <w:right w:val="single" w:color="auto" w:sz="6" w:space="0"/>
            </w:tcBorders>
          </w:tcPr>
          <w:p w14:paraId="2A1300CC">
            <w:pPr>
              <w:rPr>
                <w:color w:val="auto"/>
                <w:sz w:val="24"/>
                <w:highlight w:val="none"/>
              </w:rPr>
            </w:pPr>
            <w:r>
              <w:rPr>
                <w:color w:val="auto"/>
                <w:sz w:val="24"/>
                <w:highlight w:val="none"/>
              </w:rPr>
              <w:t>预审意见：</w:t>
            </w:r>
          </w:p>
          <w:p w14:paraId="688E805C">
            <w:pPr>
              <w:rPr>
                <w:color w:val="auto"/>
                <w:sz w:val="24"/>
                <w:highlight w:val="none"/>
              </w:rPr>
            </w:pPr>
          </w:p>
          <w:p w14:paraId="7B765CE3">
            <w:pPr>
              <w:ind w:firstLine="960" w:firstLineChars="400"/>
              <w:rPr>
                <w:rFonts w:hint="eastAsia" w:ascii="Times New Roman" w:hAnsi="Times New Roman" w:eastAsia="宋体" w:cs="Times New Roman"/>
                <w:color w:val="auto"/>
                <w:sz w:val="24"/>
                <w:szCs w:val="24"/>
                <w:highlight w:val="none"/>
                <w:lang w:eastAsia="zh-CN"/>
              </w:rPr>
            </w:pPr>
          </w:p>
          <w:p w14:paraId="4A20F36B">
            <w:pPr>
              <w:ind w:firstLine="960" w:firstLineChars="400"/>
              <w:rPr>
                <w:rFonts w:hint="eastAsia" w:ascii="Times New Roman" w:hAnsi="Times New Roman" w:eastAsia="宋体" w:cs="Times New Roman"/>
                <w:color w:val="auto"/>
                <w:sz w:val="24"/>
                <w:szCs w:val="24"/>
                <w:highlight w:val="none"/>
                <w:lang w:eastAsia="zh-CN"/>
              </w:rPr>
            </w:pPr>
          </w:p>
          <w:p w14:paraId="18F2A807">
            <w:pPr>
              <w:ind w:firstLine="0" w:firstLineChars="0"/>
              <w:rPr>
                <w:rFonts w:hint="eastAsia" w:ascii="Times New Roman" w:hAnsi="Times New Roman" w:eastAsia="宋体" w:cs="Times New Roman"/>
                <w:color w:val="auto"/>
                <w:sz w:val="24"/>
                <w:szCs w:val="24"/>
                <w:highlight w:val="none"/>
                <w:lang w:eastAsia="zh-CN"/>
              </w:rPr>
            </w:pPr>
            <w:r>
              <w:rPr>
                <w:rFonts w:hint="eastAsia"/>
                <w:color w:val="auto"/>
                <w:sz w:val="24"/>
                <w:highlight w:val="none"/>
              </w:rPr>
              <w:t>联佳科技（苏州）股份有限公司航空航天精密零部件和其他精密零部件改扩建项目</w:t>
            </w:r>
          </w:p>
          <w:p w14:paraId="2086BBB4">
            <w:pPr>
              <w:rPr>
                <w:color w:val="auto"/>
                <w:sz w:val="24"/>
                <w:highlight w:val="none"/>
              </w:rPr>
            </w:pPr>
          </w:p>
          <w:p w14:paraId="064A3CED">
            <w:pPr>
              <w:rPr>
                <w:color w:val="auto"/>
                <w:sz w:val="24"/>
                <w:highlight w:val="none"/>
              </w:rPr>
            </w:pPr>
          </w:p>
          <w:p w14:paraId="221887F3">
            <w:pPr>
              <w:rPr>
                <w:color w:val="auto"/>
                <w:sz w:val="24"/>
                <w:highlight w:val="none"/>
              </w:rPr>
            </w:pPr>
          </w:p>
          <w:p w14:paraId="6AB57FC4">
            <w:pPr>
              <w:rPr>
                <w:color w:val="auto"/>
                <w:sz w:val="24"/>
                <w:highlight w:val="none"/>
              </w:rPr>
            </w:pPr>
          </w:p>
          <w:p w14:paraId="284E4C12">
            <w:pPr>
              <w:rPr>
                <w:color w:val="auto"/>
                <w:sz w:val="24"/>
                <w:highlight w:val="none"/>
              </w:rPr>
            </w:pPr>
          </w:p>
          <w:p w14:paraId="2C5C6E48">
            <w:pPr>
              <w:rPr>
                <w:color w:val="auto"/>
                <w:sz w:val="24"/>
                <w:highlight w:val="none"/>
              </w:rPr>
            </w:pPr>
          </w:p>
          <w:p w14:paraId="1E298EBA">
            <w:pPr>
              <w:jc w:val="left"/>
              <w:rPr>
                <w:color w:val="auto"/>
                <w:sz w:val="24"/>
                <w:highlight w:val="none"/>
              </w:rPr>
            </w:pPr>
          </w:p>
          <w:p w14:paraId="718A5339">
            <w:pPr>
              <w:rPr>
                <w:color w:val="auto"/>
                <w:sz w:val="24"/>
                <w:highlight w:val="none"/>
              </w:rPr>
            </w:pPr>
          </w:p>
          <w:p w14:paraId="5D299D20">
            <w:pPr>
              <w:pStyle w:val="28"/>
              <w:rPr>
                <w:color w:val="auto"/>
                <w:highlight w:val="none"/>
              </w:rPr>
            </w:pPr>
          </w:p>
          <w:p w14:paraId="3B8E0652">
            <w:pPr>
              <w:pStyle w:val="28"/>
              <w:rPr>
                <w:color w:val="auto"/>
                <w:highlight w:val="none"/>
              </w:rPr>
            </w:pPr>
          </w:p>
          <w:p w14:paraId="1AF0F1E6">
            <w:pPr>
              <w:pStyle w:val="28"/>
              <w:rPr>
                <w:color w:val="auto"/>
                <w:highlight w:val="none"/>
              </w:rPr>
            </w:pPr>
          </w:p>
          <w:p w14:paraId="4135C01A">
            <w:pPr>
              <w:pStyle w:val="28"/>
              <w:rPr>
                <w:color w:val="auto"/>
                <w:highlight w:val="none"/>
              </w:rPr>
            </w:pPr>
          </w:p>
          <w:p w14:paraId="21F82FCE">
            <w:pPr>
              <w:pStyle w:val="28"/>
              <w:rPr>
                <w:color w:val="auto"/>
                <w:highlight w:val="none"/>
              </w:rPr>
            </w:pPr>
          </w:p>
          <w:p w14:paraId="65D7EB68">
            <w:pPr>
              <w:pStyle w:val="28"/>
              <w:rPr>
                <w:color w:val="auto"/>
                <w:highlight w:val="none"/>
              </w:rPr>
            </w:pPr>
          </w:p>
          <w:p w14:paraId="78876405">
            <w:pPr>
              <w:rPr>
                <w:color w:val="auto"/>
                <w:sz w:val="24"/>
                <w:highlight w:val="none"/>
              </w:rPr>
            </w:pPr>
          </w:p>
          <w:p w14:paraId="0394444D">
            <w:pPr>
              <w:ind w:firstLine="7104" w:firstLineChars="2960"/>
              <w:rPr>
                <w:color w:val="auto"/>
                <w:sz w:val="24"/>
                <w:highlight w:val="none"/>
              </w:rPr>
            </w:pPr>
            <w:r>
              <w:rPr>
                <w:color w:val="auto"/>
                <w:sz w:val="24"/>
                <w:highlight w:val="none"/>
              </w:rPr>
              <w:t>公   章</w:t>
            </w:r>
          </w:p>
          <w:p w14:paraId="2E0DCA4A">
            <w:pPr>
              <w:ind w:firstLine="204" w:firstLineChars="85"/>
              <w:rPr>
                <w:color w:val="auto"/>
                <w:sz w:val="24"/>
                <w:highlight w:val="none"/>
              </w:rPr>
            </w:pPr>
            <w:r>
              <w:rPr>
                <w:color w:val="auto"/>
                <w:sz w:val="24"/>
                <w:highlight w:val="none"/>
              </w:rPr>
              <w:t xml:space="preserve">经办人：                              </w:t>
            </w:r>
            <w:r>
              <w:rPr>
                <w:rFonts w:hint="eastAsia"/>
                <w:color w:val="auto"/>
                <w:sz w:val="24"/>
                <w:highlight w:val="none"/>
              </w:rPr>
              <w:t xml:space="preserve">                </w:t>
            </w:r>
            <w:r>
              <w:rPr>
                <w:color w:val="auto"/>
                <w:sz w:val="24"/>
                <w:highlight w:val="none"/>
              </w:rPr>
              <w:t>年    月    日</w:t>
            </w:r>
          </w:p>
        </w:tc>
      </w:tr>
      <w:tr w14:paraId="3C95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3" w:hRule="atLeast"/>
          <w:jc w:val="center"/>
        </w:trPr>
        <w:tc>
          <w:tcPr>
            <w:tcW w:w="8956" w:type="dxa"/>
            <w:tcBorders>
              <w:top w:val="single" w:color="auto" w:sz="6" w:space="0"/>
              <w:left w:val="single" w:color="auto" w:sz="6" w:space="0"/>
              <w:bottom w:val="single" w:color="auto" w:sz="6" w:space="0"/>
              <w:right w:val="single" w:color="auto" w:sz="6" w:space="0"/>
            </w:tcBorders>
          </w:tcPr>
          <w:p w14:paraId="137844CE">
            <w:pPr>
              <w:rPr>
                <w:color w:val="auto"/>
                <w:sz w:val="24"/>
                <w:highlight w:val="none"/>
              </w:rPr>
            </w:pPr>
            <w:r>
              <w:rPr>
                <w:color w:val="auto"/>
                <w:sz w:val="24"/>
                <w:highlight w:val="none"/>
              </w:rPr>
              <w:t>下一级环境保护主管部门审查意见：</w:t>
            </w:r>
          </w:p>
          <w:p w14:paraId="0EFED380">
            <w:pPr>
              <w:rPr>
                <w:color w:val="auto"/>
                <w:sz w:val="24"/>
                <w:highlight w:val="none"/>
              </w:rPr>
            </w:pPr>
          </w:p>
          <w:p w14:paraId="3D5AD8FF">
            <w:pPr>
              <w:rPr>
                <w:color w:val="auto"/>
                <w:sz w:val="24"/>
                <w:highlight w:val="none"/>
              </w:rPr>
            </w:pPr>
          </w:p>
          <w:p w14:paraId="53AEE6CF">
            <w:pPr>
              <w:rPr>
                <w:color w:val="auto"/>
                <w:sz w:val="24"/>
                <w:highlight w:val="none"/>
              </w:rPr>
            </w:pPr>
          </w:p>
          <w:p w14:paraId="0EE4D464">
            <w:pPr>
              <w:rPr>
                <w:color w:val="auto"/>
                <w:sz w:val="24"/>
                <w:highlight w:val="none"/>
              </w:rPr>
            </w:pPr>
          </w:p>
          <w:p w14:paraId="50988BDA">
            <w:pPr>
              <w:rPr>
                <w:color w:val="auto"/>
                <w:sz w:val="24"/>
                <w:highlight w:val="none"/>
              </w:rPr>
            </w:pPr>
          </w:p>
          <w:p w14:paraId="1D980BDA">
            <w:pPr>
              <w:rPr>
                <w:color w:val="auto"/>
                <w:sz w:val="24"/>
                <w:highlight w:val="none"/>
              </w:rPr>
            </w:pPr>
          </w:p>
          <w:p w14:paraId="205FA63F">
            <w:pPr>
              <w:rPr>
                <w:color w:val="auto"/>
                <w:sz w:val="24"/>
                <w:highlight w:val="none"/>
              </w:rPr>
            </w:pPr>
          </w:p>
          <w:p w14:paraId="4FF087B6">
            <w:pPr>
              <w:rPr>
                <w:color w:val="auto"/>
                <w:sz w:val="24"/>
                <w:highlight w:val="none"/>
              </w:rPr>
            </w:pPr>
          </w:p>
          <w:p w14:paraId="626B0BA9">
            <w:pPr>
              <w:rPr>
                <w:color w:val="auto"/>
                <w:sz w:val="24"/>
                <w:highlight w:val="none"/>
              </w:rPr>
            </w:pPr>
          </w:p>
          <w:p w14:paraId="5BBD8426">
            <w:pPr>
              <w:rPr>
                <w:color w:val="auto"/>
                <w:sz w:val="24"/>
                <w:highlight w:val="none"/>
              </w:rPr>
            </w:pPr>
          </w:p>
          <w:p w14:paraId="6F9707BE">
            <w:pPr>
              <w:rPr>
                <w:color w:val="auto"/>
                <w:sz w:val="24"/>
                <w:highlight w:val="none"/>
              </w:rPr>
            </w:pPr>
          </w:p>
          <w:p w14:paraId="5B92C3CE">
            <w:pPr>
              <w:rPr>
                <w:color w:val="auto"/>
                <w:sz w:val="24"/>
                <w:highlight w:val="none"/>
              </w:rPr>
            </w:pPr>
          </w:p>
          <w:p w14:paraId="168CB4DC">
            <w:pPr>
              <w:pStyle w:val="28"/>
              <w:rPr>
                <w:color w:val="auto"/>
                <w:highlight w:val="none"/>
              </w:rPr>
            </w:pPr>
          </w:p>
          <w:p w14:paraId="048EB666">
            <w:pPr>
              <w:pStyle w:val="28"/>
              <w:rPr>
                <w:color w:val="auto"/>
                <w:highlight w:val="none"/>
              </w:rPr>
            </w:pPr>
          </w:p>
          <w:p w14:paraId="3AB3D97B">
            <w:pPr>
              <w:pStyle w:val="28"/>
              <w:rPr>
                <w:color w:val="auto"/>
                <w:highlight w:val="none"/>
              </w:rPr>
            </w:pPr>
          </w:p>
          <w:p w14:paraId="64470AC0">
            <w:pPr>
              <w:pStyle w:val="28"/>
              <w:rPr>
                <w:color w:val="auto"/>
                <w:highlight w:val="none"/>
              </w:rPr>
            </w:pPr>
          </w:p>
          <w:p w14:paraId="46F2E069">
            <w:pPr>
              <w:pStyle w:val="28"/>
              <w:rPr>
                <w:color w:val="auto"/>
                <w:highlight w:val="none"/>
              </w:rPr>
            </w:pPr>
          </w:p>
          <w:p w14:paraId="24D446A4">
            <w:pPr>
              <w:pStyle w:val="28"/>
              <w:rPr>
                <w:color w:val="auto"/>
                <w:highlight w:val="none"/>
              </w:rPr>
            </w:pPr>
          </w:p>
          <w:p w14:paraId="6C899475">
            <w:pPr>
              <w:ind w:firstLine="7200" w:firstLineChars="3000"/>
              <w:rPr>
                <w:color w:val="auto"/>
                <w:sz w:val="24"/>
                <w:highlight w:val="none"/>
              </w:rPr>
            </w:pPr>
            <w:r>
              <w:rPr>
                <w:color w:val="auto"/>
                <w:sz w:val="24"/>
                <w:highlight w:val="none"/>
              </w:rPr>
              <w:t>公    章</w:t>
            </w:r>
          </w:p>
          <w:p w14:paraId="0C4684C0">
            <w:pPr>
              <w:ind w:firstLine="240" w:firstLineChars="100"/>
              <w:rPr>
                <w:color w:val="auto"/>
                <w:sz w:val="24"/>
                <w:highlight w:val="none"/>
              </w:rPr>
            </w:pPr>
            <w:r>
              <w:rPr>
                <w:color w:val="auto"/>
                <w:sz w:val="24"/>
                <w:highlight w:val="none"/>
              </w:rPr>
              <w:t xml:space="preserve">经办人：                              </w:t>
            </w:r>
            <w:r>
              <w:rPr>
                <w:rFonts w:hint="eastAsia"/>
                <w:color w:val="auto"/>
                <w:sz w:val="24"/>
                <w:highlight w:val="none"/>
              </w:rPr>
              <w:t xml:space="preserve">                </w:t>
            </w:r>
            <w:r>
              <w:rPr>
                <w:color w:val="auto"/>
                <w:sz w:val="24"/>
                <w:highlight w:val="none"/>
              </w:rPr>
              <w:t>年    月    日</w:t>
            </w:r>
          </w:p>
        </w:tc>
      </w:tr>
    </w:tbl>
    <w:p w14:paraId="5CB9FD4C">
      <w:pPr>
        <w:rPr>
          <w:highlight w:val="none"/>
        </w:rPr>
      </w:pPr>
    </w:p>
    <w:sectPr>
      <w:footerReference r:id="rId7" w:type="default"/>
      <w:pgSz w:w="11906" w:h="16838"/>
      <w:pgMar w:top="1440" w:right="1797" w:bottom="1440" w:left="1797" w:header="851" w:footer="851"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02C3C1-9968-4F19-9FD2-8BE6950E89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ACAC3AC1-69BB-4EBE-A1D7-550D082184AA}"/>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embedRegular r:id="rId3" w:fontKey="{F7CF6E44-7CD0-4FAF-B48F-7F9AE943A203}"/>
  </w:font>
  <w:font w:name="仿宋">
    <w:panose1 w:val="02010609060101010101"/>
    <w:charset w:val="86"/>
    <w:family w:val="modern"/>
    <w:pitch w:val="default"/>
    <w:sig w:usb0="800002BF" w:usb1="38CF7CFA" w:usb2="00000016" w:usb3="00000000" w:csb0="00040001" w:csb1="00000000"/>
    <w:embedRegular r:id="rId4" w:fontKey="{6A1FC390-EBF9-4C2D-8B62-1CAC47F8EF85}"/>
  </w:font>
  <w:font w:name="仿宋_GB2312">
    <w:panose1 w:val="02010609030101010101"/>
    <w:charset w:val="86"/>
    <w:family w:val="modern"/>
    <w:pitch w:val="default"/>
    <w:sig w:usb0="00000001" w:usb1="080E0000" w:usb2="00000000" w:usb3="00000000" w:csb0="00040000" w:csb1="00000000"/>
    <w:embedRegular r:id="rId5" w:fontKey="{16461B4F-498D-4A3E-B97B-68B56BAA9B8C}"/>
  </w:font>
  <w:font w:name="方正小标宋_GBK">
    <w:panose1 w:val="02000000000000000000"/>
    <w:charset w:val="86"/>
    <w:family w:val="script"/>
    <w:pitch w:val="default"/>
    <w:sig w:usb0="A00002BF" w:usb1="38CF7CFA" w:usb2="00082016" w:usb3="00000000" w:csb0="00040001" w:csb1="00000000"/>
    <w:embedRegular r:id="rId6" w:fontKey="{2BE0DEBC-83DF-440F-8D14-E5DE1D208593}"/>
  </w:font>
  <w:font w:name="Wingdings 2">
    <w:panose1 w:val="05020102010507070707"/>
    <w:charset w:val="02"/>
    <w:family w:val="roman"/>
    <w:pitch w:val="default"/>
    <w:sig w:usb0="00000000" w:usb1="00000000" w:usb2="00000000" w:usb3="00000000" w:csb0="80000000" w:csb1="00000000"/>
    <w:embedRegular r:id="rId7" w:fontKey="{7702F76E-64D9-4516-B65F-8769EC1211E7}"/>
  </w:font>
  <w:font w:name="微软雅黑">
    <w:panose1 w:val="020B0503020204020204"/>
    <w:charset w:val="86"/>
    <w:family w:val="auto"/>
    <w:pitch w:val="default"/>
    <w:sig w:usb0="80000287" w:usb1="2ACF3C50" w:usb2="00000016" w:usb3="00000000" w:csb0="0004001F" w:csb1="00000000"/>
    <w:embedRegular r:id="rId8" w:fontKey="{79978DEB-4762-4681-ACA9-8632B0453D1B}"/>
  </w:font>
  <w:font w:name="WPSEMBED3">
    <w:panose1 w:val="02000000000000000000"/>
    <w:charset w:val="86"/>
    <w:family w:val="auto"/>
    <w:pitch w:val="default"/>
    <w:sig w:usb0="A00002BF" w:usb1="38CF7CFA" w:usb2="00082016" w:usb3="00000000" w:csb0="00040001" w:csb1="00000000"/>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7E6DB">
    <w:pPr>
      <w:pStyle w:val="11"/>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4D83B">
    <w:pPr>
      <w:pStyle w:val="11"/>
      <w:framePr w:wrap="around" w:vAnchor="text" w:hAnchor="margin" w:xAlign="center" w:y="1"/>
      <w:rPr>
        <w:rStyle w:val="25"/>
      </w:rPr>
    </w:pPr>
    <w:r>
      <w:fldChar w:fldCharType="begin"/>
    </w:r>
    <w:r>
      <w:rPr>
        <w:rStyle w:val="25"/>
      </w:rPr>
      <w:instrText xml:space="preserve">PAGE  </w:instrText>
    </w:r>
    <w:r>
      <w:fldChar w:fldCharType="separate"/>
    </w:r>
    <w:r>
      <w:rPr>
        <w:rStyle w:val="25"/>
      </w:rPr>
      <w:t>64</w:t>
    </w:r>
    <w:r>
      <w:fldChar w:fldCharType="end"/>
    </w:r>
  </w:p>
  <w:p w14:paraId="5F10315A">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1134010"/>
      <w:docPartObj>
        <w:docPartGallery w:val="autotext"/>
      </w:docPartObj>
    </w:sdtPr>
    <w:sdtContent>
      <w:p w14:paraId="616ED47A">
        <w:pPr>
          <w:pStyle w:val="11"/>
          <w:jc w:val="center"/>
        </w:pPr>
        <w:r>
          <w:fldChar w:fldCharType="begin"/>
        </w:r>
        <w:r>
          <w:instrText xml:space="preserve">PAGE   \* MERGEFORMAT</w:instrText>
        </w:r>
        <w:r>
          <w:fldChar w:fldCharType="separate"/>
        </w:r>
        <w:r>
          <w:rPr>
            <w:lang w:val="zh-CN"/>
          </w:rPr>
          <w:t>55</w:t>
        </w:r>
        <w:r>
          <w:rPr>
            <w:lang w:val="zh-C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BE22B">
    <w:pPr>
      <w:pStyle w:val="11"/>
      <w:ind w:right="360" w:firstLine="360"/>
      <w:jc w:val="center"/>
      <w:rPr>
        <w:rFonts w:hint="eastAsia"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D4D6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F0D4D68">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default"/>
        <w:sz w:val="18"/>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36971">
                          <w:pPr>
                            <w:pStyle w:val="11"/>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E436971">
                    <w:pPr>
                      <w:pStyle w:val="11"/>
                      <w:rPr>
                        <w:rFonts w:hint="default" w:eastAsia="宋体"/>
                        <w:lang w:val="en-US" w:eastAsia="zh-CN"/>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CF929">
    <w:pPr>
      <w:pStyle w:val="11"/>
      <w:ind w:right="360"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5367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536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06F35">
                          <w:pPr>
                            <w:pStyle w:val="11"/>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2.1pt;width:144pt;mso-position-horizontal:center;mso-position-horizontal-relative:margin;mso-wrap-style:none;z-index:251662336;mso-width-relative:page;mso-height-relative:page;" filled="f" stroked="f" coordsize="21600,21600" o:gfxdata="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mqCHe0wAAAAQBAAAPAAAAAAAAAAEAIAAAACIAAABkcnMvZG93bnJldi54bWxQ&#10;SwECFAAUAAAACACHTuJAGu1V3TUCAABgBAAADgAAAAAAAAABACAAAAAiAQAAZHJzL2Uyb0RvYy54&#10;bWxQSwUGAAAAAAYABgBZAQAAyQUAAAAA&#10;">
              <v:fill on="f" focussize="0,0"/>
              <v:stroke on="f" weight="0.5pt"/>
              <v:imagedata o:title=""/>
              <o:lock v:ext="edit" aspectratio="f"/>
              <v:textbox inset="0mm,0mm,0mm,0mm">
                <w:txbxContent>
                  <w:p w14:paraId="3EA06F35">
                    <w:pPr>
                      <w:pStyle w:val="11"/>
                    </w:pPr>
                    <w:r>
                      <w:fldChar w:fldCharType="begin"/>
                    </w:r>
                    <w:r>
                      <w:instrText xml:space="preserve"> PAGE  \* MERGEFORMAT </w:instrText>
                    </w:r>
                    <w:r>
                      <w:fldChar w:fldCharType="separate"/>
                    </w:r>
                    <w:r>
                      <w:t>107</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CBB897">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ECBB897">
                    <w:pPr>
                      <w:pStyle w:val="11"/>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B1F8D4"/>
    <w:multiLevelType w:val="singleLevel"/>
    <w:tmpl w:val="F4B1F8D4"/>
    <w:lvl w:ilvl="0" w:tentative="0">
      <w:start w:val="1"/>
      <w:numFmt w:val="decimal"/>
      <w:suff w:val="space"/>
      <w:lvlText w:val="表2-%1"/>
      <w:lvlJc w:val="center"/>
      <w:pPr>
        <w:tabs>
          <w:tab w:val="left" w:pos="0"/>
        </w:tabs>
        <w:ind w:left="210" w:firstLine="0"/>
      </w:pPr>
      <w:rPr>
        <w:rFonts w:hint="default" w:ascii="Times New Roman" w:hAnsi="Times New Roman" w:eastAsia="宋体" w:cs="楷体_GB2312"/>
        <w:b/>
        <w:bCs/>
        <w:sz w:val="24"/>
        <w:szCs w:val="24"/>
      </w:rPr>
    </w:lvl>
  </w:abstractNum>
  <w:abstractNum w:abstractNumId="1">
    <w:nsid w:val="FCBC12DF"/>
    <w:multiLevelType w:val="singleLevel"/>
    <w:tmpl w:val="FCBC12DF"/>
    <w:lvl w:ilvl="0" w:tentative="0">
      <w:start w:val="1"/>
      <w:numFmt w:val="decimal"/>
      <w:suff w:val="space"/>
      <w:lvlText w:val="表3-%1"/>
      <w:lvlJc w:val="center"/>
      <w:pPr>
        <w:tabs>
          <w:tab w:val="left" w:pos="0"/>
        </w:tabs>
        <w:ind w:left="0" w:firstLine="0"/>
      </w:pPr>
      <w:rPr>
        <w:rFonts w:hint="default" w:ascii="Times New Roman" w:hAnsi="Times New Roman" w:eastAsia="宋体" w:cs="Times New Roman"/>
        <w:b/>
        <w:bCs/>
        <w:sz w:val="24"/>
        <w:szCs w:val="24"/>
      </w:rPr>
    </w:lvl>
  </w:abstractNum>
  <w:abstractNum w:abstractNumId="2">
    <w:nsid w:val="00000003"/>
    <w:multiLevelType w:val="multilevel"/>
    <w:tmpl w:val="00000003"/>
    <w:lvl w:ilvl="0" w:tentative="0">
      <w:start w:val="1"/>
      <w:numFmt w:val="decimal"/>
      <w:pStyle w:val="32"/>
      <w:lvlText w:val="表%1."/>
      <w:lvlJc w:val="left"/>
      <w:pPr>
        <w:ind w:left="420" w:hanging="420"/>
      </w:pPr>
      <w:rPr>
        <w:rFonts w:hint="eastAsia" w:ascii="Times New Roman" w:hAnsi="Times New Roman" w:eastAsia="Times New Roman"/>
        <w:b/>
        <w:sz w:val="24"/>
        <w:u w:val="none"/>
      </w:rPr>
    </w:lvl>
    <w:lvl w:ilvl="1" w:tentative="0">
      <w:start w:val="1"/>
      <w:numFmt w:val="lowerLetter"/>
      <w:lvlText w:val="%2)"/>
      <w:lvlJc w:val="left"/>
      <w:pPr>
        <w:ind w:left="840" w:hanging="420"/>
      </w:pPr>
      <w:rPr>
        <w:rFonts w:hint="default"/>
        <w:u w:val="none"/>
      </w:rPr>
    </w:lvl>
    <w:lvl w:ilvl="2" w:tentative="0">
      <w:start w:val="1"/>
      <w:numFmt w:val="lowerRoman"/>
      <w:lvlText w:val="%3."/>
      <w:lvlJc w:val="right"/>
      <w:pPr>
        <w:ind w:left="1260" w:hanging="420"/>
      </w:pPr>
      <w:rPr>
        <w:rFonts w:hint="default"/>
        <w:u w:val="none"/>
      </w:rPr>
    </w:lvl>
    <w:lvl w:ilvl="3" w:tentative="0">
      <w:start w:val="1"/>
      <w:numFmt w:val="decimal"/>
      <w:lvlText w:val="%4."/>
      <w:lvlJc w:val="left"/>
      <w:pPr>
        <w:ind w:left="1680" w:hanging="420"/>
      </w:pPr>
      <w:rPr>
        <w:rFonts w:hint="default"/>
        <w:u w:val="none"/>
      </w:rPr>
    </w:lvl>
    <w:lvl w:ilvl="4" w:tentative="0">
      <w:start w:val="1"/>
      <w:numFmt w:val="lowerLetter"/>
      <w:lvlText w:val="%5)"/>
      <w:lvlJc w:val="left"/>
      <w:pPr>
        <w:ind w:left="2100" w:hanging="420"/>
      </w:pPr>
      <w:rPr>
        <w:rFonts w:hint="default"/>
        <w:u w:val="none"/>
      </w:rPr>
    </w:lvl>
    <w:lvl w:ilvl="5" w:tentative="0">
      <w:start w:val="1"/>
      <w:numFmt w:val="lowerRoman"/>
      <w:lvlText w:val="%6."/>
      <w:lvlJc w:val="right"/>
      <w:pPr>
        <w:ind w:left="2520" w:hanging="420"/>
      </w:pPr>
      <w:rPr>
        <w:rFonts w:hint="default"/>
        <w:u w:val="none"/>
      </w:rPr>
    </w:lvl>
    <w:lvl w:ilvl="6" w:tentative="0">
      <w:start w:val="1"/>
      <w:numFmt w:val="decimal"/>
      <w:lvlText w:val="%7."/>
      <w:lvlJc w:val="left"/>
      <w:pPr>
        <w:ind w:left="2940" w:hanging="420"/>
      </w:pPr>
      <w:rPr>
        <w:rFonts w:hint="default"/>
        <w:u w:val="none"/>
      </w:rPr>
    </w:lvl>
    <w:lvl w:ilvl="7" w:tentative="0">
      <w:start w:val="1"/>
      <w:numFmt w:val="lowerLetter"/>
      <w:lvlText w:val="%8)"/>
      <w:lvlJc w:val="left"/>
      <w:pPr>
        <w:ind w:left="3360" w:hanging="420"/>
      </w:pPr>
      <w:rPr>
        <w:rFonts w:hint="default"/>
        <w:u w:val="none"/>
      </w:rPr>
    </w:lvl>
    <w:lvl w:ilvl="8" w:tentative="0">
      <w:start w:val="1"/>
      <w:numFmt w:val="lowerRoman"/>
      <w:lvlText w:val="%9."/>
      <w:lvlJc w:val="right"/>
      <w:pPr>
        <w:ind w:left="3780" w:hanging="420"/>
      </w:pPr>
      <w:rPr>
        <w:rFonts w:hint="default"/>
        <w:u w:val="none"/>
      </w:rPr>
    </w:lvl>
  </w:abstractNum>
  <w:abstractNum w:abstractNumId="3">
    <w:nsid w:val="24EBC1FB"/>
    <w:multiLevelType w:val="singleLevel"/>
    <w:tmpl w:val="24EBC1FB"/>
    <w:lvl w:ilvl="0" w:tentative="0">
      <w:start w:val="1"/>
      <w:numFmt w:val="decimal"/>
      <w:suff w:val="space"/>
      <w:lvlText w:val="表4-%1"/>
      <w:lvlJc w:val="center"/>
      <w:pPr>
        <w:tabs>
          <w:tab w:val="left" w:pos="0"/>
        </w:tabs>
        <w:ind w:left="0" w:firstLine="0"/>
      </w:pPr>
      <w:rPr>
        <w:rFonts w:hint="default" w:ascii="Times New Roman" w:hAnsi="Times New Roman" w:eastAsia="宋体" w:cs="Times New Roman"/>
        <w:b/>
        <w:bCs/>
        <w:sz w:val="24"/>
        <w:szCs w:val="24"/>
      </w:rPr>
    </w:lvl>
  </w:abstractNum>
  <w:abstractNum w:abstractNumId="4">
    <w:nsid w:val="6DA69BCB"/>
    <w:multiLevelType w:val="singleLevel"/>
    <w:tmpl w:val="6DA69BCB"/>
    <w:lvl w:ilvl="0" w:tentative="0">
      <w:start w:val="1"/>
      <w:numFmt w:val="decimal"/>
      <w:suff w:val="space"/>
      <w:lvlText w:val="表1-%1"/>
      <w:lvlJc w:val="center"/>
      <w:pPr>
        <w:tabs>
          <w:tab w:val="left" w:pos="0"/>
        </w:tabs>
        <w:ind w:left="210" w:firstLine="0"/>
      </w:pPr>
      <w:rPr>
        <w:rFonts w:hint="default" w:ascii="Times New Roman" w:hAnsi="Times New Roman" w:eastAsia="宋体" w:cs="楷体_GB2312"/>
        <w:b/>
        <w:bCs/>
        <w:sz w:val="24"/>
        <w:szCs w:val="24"/>
      </w:rPr>
    </w:lvl>
  </w:abstractNum>
  <w:abstractNum w:abstractNumId="5">
    <w:nsid w:val="7C21EAA2"/>
    <w:multiLevelType w:val="singleLevel"/>
    <w:tmpl w:val="7C21EAA2"/>
    <w:lvl w:ilvl="0" w:tentative="0">
      <w:start w:val="1"/>
      <w:numFmt w:val="bullet"/>
      <w:pStyle w:val="7"/>
      <w:lvlText w:val=""/>
      <w:lvlJc w:val="left"/>
      <w:pPr>
        <w:tabs>
          <w:tab w:val="left" w:pos="2040"/>
        </w:tabs>
        <w:ind w:left="2040" w:hanging="360"/>
      </w:pPr>
      <w:rPr>
        <w:rFonts w:hint="default" w:ascii="Wingdings" w:hAnsi="Wingdings"/>
      </w:rPr>
    </w:lvl>
  </w:abstractNum>
  <w:num w:numId="1">
    <w:abstractNumId w:val="5"/>
  </w:num>
  <w:num w:numId="2">
    <w:abstractNumId w:val="2"/>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wNTdmMWJmYTg3NDA0YmNiMmRhOGZjMmM2MjFkYWYifQ=="/>
  </w:docVars>
  <w:rsids>
    <w:rsidRoot w:val="00172A27"/>
    <w:rsid w:val="0002561E"/>
    <w:rsid w:val="00044EF2"/>
    <w:rsid w:val="000942B7"/>
    <w:rsid w:val="00155351"/>
    <w:rsid w:val="00226070"/>
    <w:rsid w:val="00262258"/>
    <w:rsid w:val="002C4449"/>
    <w:rsid w:val="002C61F7"/>
    <w:rsid w:val="002D6C65"/>
    <w:rsid w:val="002E23A7"/>
    <w:rsid w:val="002E6413"/>
    <w:rsid w:val="00311532"/>
    <w:rsid w:val="00350671"/>
    <w:rsid w:val="003541E9"/>
    <w:rsid w:val="00381040"/>
    <w:rsid w:val="00456366"/>
    <w:rsid w:val="00496DA9"/>
    <w:rsid w:val="00537C28"/>
    <w:rsid w:val="005A0F47"/>
    <w:rsid w:val="005C790E"/>
    <w:rsid w:val="005E12B5"/>
    <w:rsid w:val="00615F0B"/>
    <w:rsid w:val="00643BE3"/>
    <w:rsid w:val="00661709"/>
    <w:rsid w:val="006654F1"/>
    <w:rsid w:val="007943A7"/>
    <w:rsid w:val="00867FFD"/>
    <w:rsid w:val="0094262F"/>
    <w:rsid w:val="009444C8"/>
    <w:rsid w:val="00991ADF"/>
    <w:rsid w:val="009E5347"/>
    <w:rsid w:val="00A77503"/>
    <w:rsid w:val="00B32474"/>
    <w:rsid w:val="00B5443F"/>
    <w:rsid w:val="00B7156E"/>
    <w:rsid w:val="00C603FA"/>
    <w:rsid w:val="00C621A8"/>
    <w:rsid w:val="00C80754"/>
    <w:rsid w:val="00CA1E91"/>
    <w:rsid w:val="00CD79DA"/>
    <w:rsid w:val="00D20B4D"/>
    <w:rsid w:val="00DA0933"/>
    <w:rsid w:val="00DF14BB"/>
    <w:rsid w:val="00EF54D9"/>
    <w:rsid w:val="00F27441"/>
    <w:rsid w:val="00F2799B"/>
    <w:rsid w:val="00F76884"/>
    <w:rsid w:val="00FB62F5"/>
    <w:rsid w:val="01011432"/>
    <w:rsid w:val="010A0887"/>
    <w:rsid w:val="010F4AB6"/>
    <w:rsid w:val="010F7497"/>
    <w:rsid w:val="011C44BE"/>
    <w:rsid w:val="01235B16"/>
    <w:rsid w:val="012629D3"/>
    <w:rsid w:val="0136732D"/>
    <w:rsid w:val="013D2488"/>
    <w:rsid w:val="013D4B60"/>
    <w:rsid w:val="01437C9C"/>
    <w:rsid w:val="01457570"/>
    <w:rsid w:val="0147778C"/>
    <w:rsid w:val="015A3576"/>
    <w:rsid w:val="01633E9B"/>
    <w:rsid w:val="0169415A"/>
    <w:rsid w:val="017B7436"/>
    <w:rsid w:val="018A0F14"/>
    <w:rsid w:val="018D0F17"/>
    <w:rsid w:val="019127B6"/>
    <w:rsid w:val="019721C3"/>
    <w:rsid w:val="01A7022B"/>
    <w:rsid w:val="01AF35D1"/>
    <w:rsid w:val="01B141DD"/>
    <w:rsid w:val="01B96C47"/>
    <w:rsid w:val="01C34939"/>
    <w:rsid w:val="01D408F4"/>
    <w:rsid w:val="01D6466C"/>
    <w:rsid w:val="01D65557"/>
    <w:rsid w:val="01EC20E2"/>
    <w:rsid w:val="01F121F4"/>
    <w:rsid w:val="01F25CB3"/>
    <w:rsid w:val="01FF31C9"/>
    <w:rsid w:val="01FF4D18"/>
    <w:rsid w:val="020B6A0C"/>
    <w:rsid w:val="020C008E"/>
    <w:rsid w:val="020E02AA"/>
    <w:rsid w:val="021013A5"/>
    <w:rsid w:val="021052EA"/>
    <w:rsid w:val="021358C1"/>
    <w:rsid w:val="022E26FA"/>
    <w:rsid w:val="023575E5"/>
    <w:rsid w:val="02380E83"/>
    <w:rsid w:val="02386B05"/>
    <w:rsid w:val="02396688"/>
    <w:rsid w:val="023A0C1C"/>
    <w:rsid w:val="023C3969"/>
    <w:rsid w:val="0248305A"/>
    <w:rsid w:val="024C0DD3"/>
    <w:rsid w:val="0250441F"/>
    <w:rsid w:val="025D690F"/>
    <w:rsid w:val="025F28B4"/>
    <w:rsid w:val="026954E1"/>
    <w:rsid w:val="026B1259"/>
    <w:rsid w:val="0270686F"/>
    <w:rsid w:val="027112CC"/>
    <w:rsid w:val="027653BD"/>
    <w:rsid w:val="02766859"/>
    <w:rsid w:val="02791640"/>
    <w:rsid w:val="02994F55"/>
    <w:rsid w:val="029C3585"/>
    <w:rsid w:val="02A46519"/>
    <w:rsid w:val="02A66735"/>
    <w:rsid w:val="02AD361F"/>
    <w:rsid w:val="02AF74E7"/>
    <w:rsid w:val="02BC3862"/>
    <w:rsid w:val="02BE582C"/>
    <w:rsid w:val="02BF0D61"/>
    <w:rsid w:val="02C02829"/>
    <w:rsid w:val="02CB5098"/>
    <w:rsid w:val="02D92666"/>
    <w:rsid w:val="02DA563B"/>
    <w:rsid w:val="02E62FD5"/>
    <w:rsid w:val="02EE59E6"/>
    <w:rsid w:val="02F21B8F"/>
    <w:rsid w:val="02F41532"/>
    <w:rsid w:val="02FC51EE"/>
    <w:rsid w:val="02FE7911"/>
    <w:rsid w:val="03045021"/>
    <w:rsid w:val="03074DDC"/>
    <w:rsid w:val="03105E59"/>
    <w:rsid w:val="03123DCA"/>
    <w:rsid w:val="031273D2"/>
    <w:rsid w:val="03140887"/>
    <w:rsid w:val="03141B37"/>
    <w:rsid w:val="03157C90"/>
    <w:rsid w:val="031A4A2D"/>
    <w:rsid w:val="03207415"/>
    <w:rsid w:val="03217B69"/>
    <w:rsid w:val="03232B43"/>
    <w:rsid w:val="032338E1"/>
    <w:rsid w:val="03247659"/>
    <w:rsid w:val="032A4C70"/>
    <w:rsid w:val="03343D40"/>
    <w:rsid w:val="03353615"/>
    <w:rsid w:val="033A0C2B"/>
    <w:rsid w:val="033B1182"/>
    <w:rsid w:val="033B50CF"/>
    <w:rsid w:val="03450399"/>
    <w:rsid w:val="034B4BE6"/>
    <w:rsid w:val="034F46D6"/>
    <w:rsid w:val="035644BB"/>
    <w:rsid w:val="035C5045"/>
    <w:rsid w:val="036050B1"/>
    <w:rsid w:val="0361265C"/>
    <w:rsid w:val="0361440A"/>
    <w:rsid w:val="0368705F"/>
    <w:rsid w:val="036D2DAF"/>
    <w:rsid w:val="03726617"/>
    <w:rsid w:val="03747660"/>
    <w:rsid w:val="037A226B"/>
    <w:rsid w:val="0385459C"/>
    <w:rsid w:val="038F0F77"/>
    <w:rsid w:val="039A36A3"/>
    <w:rsid w:val="039D18E6"/>
    <w:rsid w:val="039F78D2"/>
    <w:rsid w:val="03AB6D62"/>
    <w:rsid w:val="03AC31C8"/>
    <w:rsid w:val="03AC7D7B"/>
    <w:rsid w:val="03AD58A1"/>
    <w:rsid w:val="03AF1065"/>
    <w:rsid w:val="03B64756"/>
    <w:rsid w:val="03CD1A9F"/>
    <w:rsid w:val="03CD7C49"/>
    <w:rsid w:val="03D32BD3"/>
    <w:rsid w:val="03D96696"/>
    <w:rsid w:val="03E05C76"/>
    <w:rsid w:val="03E33071"/>
    <w:rsid w:val="03EC7ADB"/>
    <w:rsid w:val="03ED6FAA"/>
    <w:rsid w:val="03F74DB4"/>
    <w:rsid w:val="03F90AE6"/>
    <w:rsid w:val="03FA6D38"/>
    <w:rsid w:val="03FC60BD"/>
    <w:rsid w:val="040000C7"/>
    <w:rsid w:val="04014E48"/>
    <w:rsid w:val="0405748B"/>
    <w:rsid w:val="040A4AA1"/>
    <w:rsid w:val="040C05A4"/>
    <w:rsid w:val="041D6583"/>
    <w:rsid w:val="04212517"/>
    <w:rsid w:val="04274F2B"/>
    <w:rsid w:val="04275653"/>
    <w:rsid w:val="042B5604"/>
    <w:rsid w:val="042E253E"/>
    <w:rsid w:val="0431202E"/>
    <w:rsid w:val="0437200A"/>
    <w:rsid w:val="04372FFB"/>
    <w:rsid w:val="04383553"/>
    <w:rsid w:val="043C2B5E"/>
    <w:rsid w:val="04402271"/>
    <w:rsid w:val="04406A5B"/>
    <w:rsid w:val="04461F7D"/>
    <w:rsid w:val="044A2418"/>
    <w:rsid w:val="044A2CF5"/>
    <w:rsid w:val="044E2BE0"/>
    <w:rsid w:val="0456237A"/>
    <w:rsid w:val="045F408F"/>
    <w:rsid w:val="04620439"/>
    <w:rsid w:val="046248DD"/>
    <w:rsid w:val="046B5540"/>
    <w:rsid w:val="046E6449"/>
    <w:rsid w:val="04754611"/>
    <w:rsid w:val="047C0850"/>
    <w:rsid w:val="047D5273"/>
    <w:rsid w:val="0484789B"/>
    <w:rsid w:val="048C19AA"/>
    <w:rsid w:val="048C54B6"/>
    <w:rsid w:val="0495080F"/>
    <w:rsid w:val="049525BD"/>
    <w:rsid w:val="049D71A2"/>
    <w:rsid w:val="04A47A17"/>
    <w:rsid w:val="04AB1DE0"/>
    <w:rsid w:val="04AC0BD2"/>
    <w:rsid w:val="04BD4BCE"/>
    <w:rsid w:val="04C74740"/>
    <w:rsid w:val="04CA223B"/>
    <w:rsid w:val="04D01847"/>
    <w:rsid w:val="04D94B9F"/>
    <w:rsid w:val="04DA4474"/>
    <w:rsid w:val="04DD3F64"/>
    <w:rsid w:val="04DF250D"/>
    <w:rsid w:val="04E15802"/>
    <w:rsid w:val="04E50456"/>
    <w:rsid w:val="04E92909"/>
    <w:rsid w:val="04E946A2"/>
    <w:rsid w:val="04EE7063"/>
    <w:rsid w:val="04F05A45"/>
    <w:rsid w:val="04F97C2D"/>
    <w:rsid w:val="04FB1CE6"/>
    <w:rsid w:val="04FC6AE0"/>
    <w:rsid w:val="0502000C"/>
    <w:rsid w:val="05046312"/>
    <w:rsid w:val="05094D59"/>
    <w:rsid w:val="050A3734"/>
    <w:rsid w:val="051060E7"/>
    <w:rsid w:val="0514124A"/>
    <w:rsid w:val="052120A3"/>
    <w:rsid w:val="052B2F14"/>
    <w:rsid w:val="052B2F21"/>
    <w:rsid w:val="05341DD6"/>
    <w:rsid w:val="05351E6A"/>
    <w:rsid w:val="05373674"/>
    <w:rsid w:val="053B7608"/>
    <w:rsid w:val="0545048F"/>
    <w:rsid w:val="0548762F"/>
    <w:rsid w:val="054A15F9"/>
    <w:rsid w:val="054B313A"/>
    <w:rsid w:val="054E55EF"/>
    <w:rsid w:val="0550533E"/>
    <w:rsid w:val="05524952"/>
    <w:rsid w:val="0560454A"/>
    <w:rsid w:val="05605D25"/>
    <w:rsid w:val="05616943"/>
    <w:rsid w:val="056E52E2"/>
    <w:rsid w:val="056F47F6"/>
    <w:rsid w:val="0572582A"/>
    <w:rsid w:val="057905AA"/>
    <w:rsid w:val="058E3C0E"/>
    <w:rsid w:val="059B00A7"/>
    <w:rsid w:val="05A96DF8"/>
    <w:rsid w:val="05B60A3D"/>
    <w:rsid w:val="05BB42A5"/>
    <w:rsid w:val="05C14A88"/>
    <w:rsid w:val="05C96F74"/>
    <w:rsid w:val="05CC0260"/>
    <w:rsid w:val="05CF7265"/>
    <w:rsid w:val="05D11D1B"/>
    <w:rsid w:val="05D617A2"/>
    <w:rsid w:val="05D67331"/>
    <w:rsid w:val="05DB04A3"/>
    <w:rsid w:val="05E0020A"/>
    <w:rsid w:val="05E01F5E"/>
    <w:rsid w:val="05EA4B8A"/>
    <w:rsid w:val="05EC26B0"/>
    <w:rsid w:val="05F15F19"/>
    <w:rsid w:val="060F45F1"/>
    <w:rsid w:val="061567A2"/>
    <w:rsid w:val="061B11E8"/>
    <w:rsid w:val="061B7444"/>
    <w:rsid w:val="062005AC"/>
    <w:rsid w:val="062260D2"/>
    <w:rsid w:val="06264A24"/>
    <w:rsid w:val="06383B48"/>
    <w:rsid w:val="063D115E"/>
    <w:rsid w:val="064222D0"/>
    <w:rsid w:val="06422F98"/>
    <w:rsid w:val="064C75F3"/>
    <w:rsid w:val="06523A66"/>
    <w:rsid w:val="0653264B"/>
    <w:rsid w:val="06532730"/>
    <w:rsid w:val="065A1D10"/>
    <w:rsid w:val="06604E4C"/>
    <w:rsid w:val="066466EB"/>
    <w:rsid w:val="066625FE"/>
    <w:rsid w:val="06693D01"/>
    <w:rsid w:val="0670759D"/>
    <w:rsid w:val="06707C73"/>
    <w:rsid w:val="06733D9B"/>
    <w:rsid w:val="067340EB"/>
    <w:rsid w:val="0674708D"/>
    <w:rsid w:val="068376C5"/>
    <w:rsid w:val="068838F4"/>
    <w:rsid w:val="068C3E93"/>
    <w:rsid w:val="06913258"/>
    <w:rsid w:val="069B0C4E"/>
    <w:rsid w:val="069C665E"/>
    <w:rsid w:val="069C6B7F"/>
    <w:rsid w:val="069E605E"/>
    <w:rsid w:val="06B1307E"/>
    <w:rsid w:val="06B25C3E"/>
    <w:rsid w:val="06B70F10"/>
    <w:rsid w:val="06BA455D"/>
    <w:rsid w:val="06BA6B91"/>
    <w:rsid w:val="06BC14B2"/>
    <w:rsid w:val="06CC603E"/>
    <w:rsid w:val="06CE1DB6"/>
    <w:rsid w:val="06D511C9"/>
    <w:rsid w:val="06D53145"/>
    <w:rsid w:val="06D66EBD"/>
    <w:rsid w:val="06DA4D29"/>
    <w:rsid w:val="06DF2215"/>
    <w:rsid w:val="06E67100"/>
    <w:rsid w:val="06E92249"/>
    <w:rsid w:val="06F15D40"/>
    <w:rsid w:val="06F3181D"/>
    <w:rsid w:val="07000B16"/>
    <w:rsid w:val="07027CB2"/>
    <w:rsid w:val="07043A2A"/>
    <w:rsid w:val="07183108"/>
    <w:rsid w:val="071A44D9"/>
    <w:rsid w:val="07217A1B"/>
    <w:rsid w:val="07267E44"/>
    <w:rsid w:val="07286179"/>
    <w:rsid w:val="07293490"/>
    <w:rsid w:val="072B0FB7"/>
    <w:rsid w:val="073A38EF"/>
    <w:rsid w:val="073C7C63"/>
    <w:rsid w:val="07465DF0"/>
    <w:rsid w:val="07520C39"/>
    <w:rsid w:val="075449B1"/>
    <w:rsid w:val="075633E6"/>
    <w:rsid w:val="075A189C"/>
    <w:rsid w:val="075E313A"/>
    <w:rsid w:val="076B2344"/>
    <w:rsid w:val="076B5857"/>
    <w:rsid w:val="077216DE"/>
    <w:rsid w:val="077767F3"/>
    <w:rsid w:val="077C1812"/>
    <w:rsid w:val="077E1A2E"/>
    <w:rsid w:val="078C54F9"/>
    <w:rsid w:val="079B5DEA"/>
    <w:rsid w:val="07A36A28"/>
    <w:rsid w:val="07A55C8C"/>
    <w:rsid w:val="07AA2823"/>
    <w:rsid w:val="07BC60B3"/>
    <w:rsid w:val="07C338E5"/>
    <w:rsid w:val="07C75183"/>
    <w:rsid w:val="07D21289"/>
    <w:rsid w:val="07DB478B"/>
    <w:rsid w:val="07E15B19"/>
    <w:rsid w:val="07E757DD"/>
    <w:rsid w:val="07F12200"/>
    <w:rsid w:val="07F46FEF"/>
    <w:rsid w:val="07F97307"/>
    <w:rsid w:val="07FC2953"/>
    <w:rsid w:val="080116E4"/>
    <w:rsid w:val="08017F69"/>
    <w:rsid w:val="08045C1E"/>
    <w:rsid w:val="08144141"/>
    <w:rsid w:val="081C4DA3"/>
    <w:rsid w:val="081D2FF5"/>
    <w:rsid w:val="082320BB"/>
    <w:rsid w:val="082B7418"/>
    <w:rsid w:val="08362309"/>
    <w:rsid w:val="083C62CB"/>
    <w:rsid w:val="084139C6"/>
    <w:rsid w:val="08420CAE"/>
    <w:rsid w:val="084A175F"/>
    <w:rsid w:val="084B6C7C"/>
    <w:rsid w:val="084B781B"/>
    <w:rsid w:val="0851119B"/>
    <w:rsid w:val="08524424"/>
    <w:rsid w:val="08534C69"/>
    <w:rsid w:val="085409E1"/>
    <w:rsid w:val="085F360E"/>
    <w:rsid w:val="086B1627"/>
    <w:rsid w:val="086C1887"/>
    <w:rsid w:val="086E1AA3"/>
    <w:rsid w:val="087028C8"/>
    <w:rsid w:val="08710AAD"/>
    <w:rsid w:val="08732C15"/>
    <w:rsid w:val="087D5A11"/>
    <w:rsid w:val="08844E22"/>
    <w:rsid w:val="08873077"/>
    <w:rsid w:val="089332B7"/>
    <w:rsid w:val="08964B56"/>
    <w:rsid w:val="08966833"/>
    <w:rsid w:val="08986B20"/>
    <w:rsid w:val="08A543EB"/>
    <w:rsid w:val="08A72A47"/>
    <w:rsid w:val="08B07D5B"/>
    <w:rsid w:val="08B33B34"/>
    <w:rsid w:val="08B51480"/>
    <w:rsid w:val="08B64B4E"/>
    <w:rsid w:val="08BB636A"/>
    <w:rsid w:val="08BF40AC"/>
    <w:rsid w:val="08C33071"/>
    <w:rsid w:val="08C575D5"/>
    <w:rsid w:val="08CA47FF"/>
    <w:rsid w:val="08CA572C"/>
    <w:rsid w:val="08E25FED"/>
    <w:rsid w:val="08E92ED7"/>
    <w:rsid w:val="08E9686C"/>
    <w:rsid w:val="08FF26FB"/>
    <w:rsid w:val="0901547A"/>
    <w:rsid w:val="090518C8"/>
    <w:rsid w:val="090B4829"/>
    <w:rsid w:val="090E0B90"/>
    <w:rsid w:val="09104908"/>
    <w:rsid w:val="0911242E"/>
    <w:rsid w:val="091C4700"/>
    <w:rsid w:val="0926412B"/>
    <w:rsid w:val="09271661"/>
    <w:rsid w:val="09277B1C"/>
    <w:rsid w:val="0928131E"/>
    <w:rsid w:val="092C1016"/>
    <w:rsid w:val="093323A4"/>
    <w:rsid w:val="09363AA0"/>
    <w:rsid w:val="093B46D7"/>
    <w:rsid w:val="09413CBC"/>
    <w:rsid w:val="09474723"/>
    <w:rsid w:val="094B1DE4"/>
    <w:rsid w:val="09502F56"/>
    <w:rsid w:val="095073FA"/>
    <w:rsid w:val="09567C0B"/>
    <w:rsid w:val="095A2027"/>
    <w:rsid w:val="095E01D4"/>
    <w:rsid w:val="09693010"/>
    <w:rsid w:val="096D087F"/>
    <w:rsid w:val="097909DF"/>
    <w:rsid w:val="097A6225"/>
    <w:rsid w:val="09802A2B"/>
    <w:rsid w:val="098F0CBF"/>
    <w:rsid w:val="099077F7"/>
    <w:rsid w:val="099159BD"/>
    <w:rsid w:val="09975029"/>
    <w:rsid w:val="099866AB"/>
    <w:rsid w:val="099C43EE"/>
    <w:rsid w:val="09A17C56"/>
    <w:rsid w:val="09A3577C"/>
    <w:rsid w:val="09A41EA7"/>
    <w:rsid w:val="09A60DC8"/>
    <w:rsid w:val="09A80FE4"/>
    <w:rsid w:val="09A93012"/>
    <w:rsid w:val="09AC5082"/>
    <w:rsid w:val="09AD03A9"/>
    <w:rsid w:val="09B434E5"/>
    <w:rsid w:val="09B44D98"/>
    <w:rsid w:val="09BA00EB"/>
    <w:rsid w:val="09BC692F"/>
    <w:rsid w:val="09C556F2"/>
    <w:rsid w:val="09C613AA"/>
    <w:rsid w:val="09D41DD9"/>
    <w:rsid w:val="09D43B87"/>
    <w:rsid w:val="09DA30B5"/>
    <w:rsid w:val="09E57A38"/>
    <w:rsid w:val="09E71B0D"/>
    <w:rsid w:val="09EF6C13"/>
    <w:rsid w:val="09F2400E"/>
    <w:rsid w:val="09FE0C04"/>
    <w:rsid w:val="0A002BCE"/>
    <w:rsid w:val="0A037470"/>
    <w:rsid w:val="0A087F03"/>
    <w:rsid w:val="0A0B7231"/>
    <w:rsid w:val="0A0D0E47"/>
    <w:rsid w:val="0A1348C9"/>
    <w:rsid w:val="0A1B60BD"/>
    <w:rsid w:val="0A1D51F1"/>
    <w:rsid w:val="0A293ADA"/>
    <w:rsid w:val="0A2F22C5"/>
    <w:rsid w:val="0A382368"/>
    <w:rsid w:val="0A3B7203"/>
    <w:rsid w:val="0A3C34DB"/>
    <w:rsid w:val="0A410AF1"/>
    <w:rsid w:val="0A416D7A"/>
    <w:rsid w:val="0A456833"/>
    <w:rsid w:val="0A4A5BF8"/>
    <w:rsid w:val="0A654A44"/>
    <w:rsid w:val="0A693121"/>
    <w:rsid w:val="0A6A44EC"/>
    <w:rsid w:val="0A6C2012"/>
    <w:rsid w:val="0A6E5D8A"/>
    <w:rsid w:val="0A781198"/>
    <w:rsid w:val="0A794C23"/>
    <w:rsid w:val="0A7C0731"/>
    <w:rsid w:val="0A801619"/>
    <w:rsid w:val="0A876E4C"/>
    <w:rsid w:val="0A8A3413"/>
    <w:rsid w:val="0A8B1561"/>
    <w:rsid w:val="0A8D0EB6"/>
    <w:rsid w:val="0A923F1A"/>
    <w:rsid w:val="0A93759F"/>
    <w:rsid w:val="0A9D47E0"/>
    <w:rsid w:val="0A9F23E7"/>
    <w:rsid w:val="0AA2244C"/>
    <w:rsid w:val="0AA277E2"/>
    <w:rsid w:val="0AA413E9"/>
    <w:rsid w:val="0AA438A7"/>
    <w:rsid w:val="0AB3259A"/>
    <w:rsid w:val="0ABA468C"/>
    <w:rsid w:val="0AC44A94"/>
    <w:rsid w:val="0AC87203"/>
    <w:rsid w:val="0ACC0D02"/>
    <w:rsid w:val="0ADA341F"/>
    <w:rsid w:val="0ADC570F"/>
    <w:rsid w:val="0AE0030A"/>
    <w:rsid w:val="0AF344E1"/>
    <w:rsid w:val="0AF3662D"/>
    <w:rsid w:val="0AF65BAA"/>
    <w:rsid w:val="0AFB731B"/>
    <w:rsid w:val="0B065FC2"/>
    <w:rsid w:val="0B0B360F"/>
    <w:rsid w:val="0B1B302A"/>
    <w:rsid w:val="0B1C08E8"/>
    <w:rsid w:val="0B1C1D90"/>
    <w:rsid w:val="0B226B74"/>
    <w:rsid w:val="0B243AB7"/>
    <w:rsid w:val="0B266665"/>
    <w:rsid w:val="0B4C09C6"/>
    <w:rsid w:val="0B5218A1"/>
    <w:rsid w:val="0B5C3E34"/>
    <w:rsid w:val="0B602C14"/>
    <w:rsid w:val="0B6039B7"/>
    <w:rsid w:val="0B6D0ACF"/>
    <w:rsid w:val="0B6F7586"/>
    <w:rsid w:val="0B704808"/>
    <w:rsid w:val="0B7B6C7D"/>
    <w:rsid w:val="0B7D54E6"/>
    <w:rsid w:val="0B81389B"/>
    <w:rsid w:val="0B837613"/>
    <w:rsid w:val="0B884C29"/>
    <w:rsid w:val="0B903ADE"/>
    <w:rsid w:val="0B923F4E"/>
    <w:rsid w:val="0B976F06"/>
    <w:rsid w:val="0B9B3CAB"/>
    <w:rsid w:val="0BA61308"/>
    <w:rsid w:val="0BA6675F"/>
    <w:rsid w:val="0BA94999"/>
    <w:rsid w:val="0BAD47AA"/>
    <w:rsid w:val="0BB70D95"/>
    <w:rsid w:val="0BBA0B5B"/>
    <w:rsid w:val="0BC47C2C"/>
    <w:rsid w:val="0BC55E7E"/>
    <w:rsid w:val="0BC71F3A"/>
    <w:rsid w:val="0BCB720C"/>
    <w:rsid w:val="0BCD6AE0"/>
    <w:rsid w:val="0BCE4606"/>
    <w:rsid w:val="0BD15D57"/>
    <w:rsid w:val="0BDF05C2"/>
    <w:rsid w:val="0BE1258C"/>
    <w:rsid w:val="0BE14389"/>
    <w:rsid w:val="0BE34F3A"/>
    <w:rsid w:val="0BE36304"/>
    <w:rsid w:val="0BED0F30"/>
    <w:rsid w:val="0BEF4CA9"/>
    <w:rsid w:val="0BF24799"/>
    <w:rsid w:val="0BF32F26"/>
    <w:rsid w:val="0BF56037"/>
    <w:rsid w:val="0BF71DAF"/>
    <w:rsid w:val="0BF91683"/>
    <w:rsid w:val="0BFE6C9A"/>
    <w:rsid w:val="0C040028"/>
    <w:rsid w:val="0C105DFF"/>
    <w:rsid w:val="0C114C55"/>
    <w:rsid w:val="0C196EDB"/>
    <w:rsid w:val="0C2A7A8F"/>
    <w:rsid w:val="0C2D1E57"/>
    <w:rsid w:val="0C324B95"/>
    <w:rsid w:val="0C3703FE"/>
    <w:rsid w:val="0C3D7288"/>
    <w:rsid w:val="0C41302A"/>
    <w:rsid w:val="0C465358"/>
    <w:rsid w:val="0C48260B"/>
    <w:rsid w:val="0C564D28"/>
    <w:rsid w:val="0C580AA0"/>
    <w:rsid w:val="0C5B0590"/>
    <w:rsid w:val="0C5E04CE"/>
    <w:rsid w:val="0C610326"/>
    <w:rsid w:val="0C6A2581"/>
    <w:rsid w:val="0C7451AE"/>
    <w:rsid w:val="0C794EB2"/>
    <w:rsid w:val="0C82125C"/>
    <w:rsid w:val="0C831E9D"/>
    <w:rsid w:val="0C857C6D"/>
    <w:rsid w:val="0C90115D"/>
    <w:rsid w:val="0C937688"/>
    <w:rsid w:val="0C956E62"/>
    <w:rsid w:val="0C970E9C"/>
    <w:rsid w:val="0C9A7529"/>
    <w:rsid w:val="0C9E047D"/>
    <w:rsid w:val="0CA1440F"/>
    <w:rsid w:val="0CA248BC"/>
    <w:rsid w:val="0CAD0C97"/>
    <w:rsid w:val="0CC13A5C"/>
    <w:rsid w:val="0CC43F97"/>
    <w:rsid w:val="0CC76EB9"/>
    <w:rsid w:val="0CC8768B"/>
    <w:rsid w:val="0CE2031F"/>
    <w:rsid w:val="0CE20369"/>
    <w:rsid w:val="0CE2480D"/>
    <w:rsid w:val="0CE560AB"/>
    <w:rsid w:val="0CEA36C2"/>
    <w:rsid w:val="0CEC743A"/>
    <w:rsid w:val="0CEE31B2"/>
    <w:rsid w:val="0CF167FE"/>
    <w:rsid w:val="0CF238BD"/>
    <w:rsid w:val="0CF26C99"/>
    <w:rsid w:val="0D110C4F"/>
    <w:rsid w:val="0D15043A"/>
    <w:rsid w:val="0D190642"/>
    <w:rsid w:val="0D223EE4"/>
    <w:rsid w:val="0D29243C"/>
    <w:rsid w:val="0D3B5CCB"/>
    <w:rsid w:val="0D3F3A0E"/>
    <w:rsid w:val="0D4E1E94"/>
    <w:rsid w:val="0D5079C9"/>
    <w:rsid w:val="0D613984"/>
    <w:rsid w:val="0D6268B1"/>
    <w:rsid w:val="0D643474"/>
    <w:rsid w:val="0D662D48"/>
    <w:rsid w:val="0D676AC1"/>
    <w:rsid w:val="0D6F3F37"/>
    <w:rsid w:val="0D735465"/>
    <w:rsid w:val="0D7731A8"/>
    <w:rsid w:val="0D7A4A46"/>
    <w:rsid w:val="0D7C07BE"/>
    <w:rsid w:val="0D806AA5"/>
    <w:rsid w:val="0D821B4C"/>
    <w:rsid w:val="0D870825"/>
    <w:rsid w:val="0D8D616E"/>
    <w:rsid w:val="0D8D66CF"/>
    <w:rsid w:val="0D9B051A"/>
    <w:rsid w:val="0D9D1C5D"/>
    <w:rsid w:val="0D9D3E48"/>
    <w:rsid w:val="0DA675E9"/>
    <w:rsid w:val="0DAB10A3"/>
    <w:rsid w:val="0DAD574B"/>
    <w:rsid w:val="0DAE23EC"/>
    <w:rsid w:val="0DB53D50"/>
    <w:rsid w:val="0DB64340"/>
    <w:rsid w:val="0DB8556E"/>
    <w:rsid w:val="0DBE0DD6"/>
    <w:rsid w:val="0DBF06AB"/>
    <w:rsid w:val="0DC432BA"/>
    <w:rsid w:val="0DC63B91"/>
    <w:rsid w:val="0DC6665F"/>
    <w:rsid w:val="0DC67C8B"/>
    <w:rsid w:val="0DCE6B40"/>
    <w:rsid w:val="0DD03DB5"/>
    <w:rsid w:val="0DD35A97"/>
    <w:rsid w:val="0DE325EB"/>
    <w:rsid w:val="0DE61809"/>
    <w:rsid w:val="0DE6698C"/>
    <w:rsid w:val="0DEA1BCB"/>
    <w:rsid w:val="0DEC0DC7"/>
    <w:rsid w:val="0DED7DC2"/>
    <w:rsid w:val="0DEE4240"/>
    <w:rsid w:val="0E0D40F9"/>
    <w:rsid w:val="0E0D6C5F"/>
    <w:rsid w:val="0E1806AD"/>
    <w:rsid w:val="0E1A6C88"/>
    <w:rsid w:val="0E1C5AFD"/>
    <w:rsid w:val="0E1D7271"/>
    <w:rsid w:val="0E1E5FDC"/>
    <w:rsid w:val="0E285928"/>
    <w:rsid w:val="0E356BBF"/>
    <w:rsid w:val="0E372F95"/>
    <w:rsid w:val="0E377A47"/>
    <w:rsid w:val="0E395D20"/>
    <w:rsid w:val="0E43308A"/>
    <w:rsid w:val="0E4868F2"/>
    <w:rsid w:val="0E5139F9"/>
    <w:rsid w:val="0E56100F"/>
    <w:rsid w:val="0E5721EA"/>
    <w:rsid w:val="0E68137A"/>
    <w:rsid w:val="0E6F20D1"/>
    <w:rsid w:val="0E792F4F"/>
    <w:rsid w:val="0E794CFD"/>
    <w:rsid w:val="0E802B47"/>
    <w:rsid w:val="0E864717"/>
    <w:rsid w:val="0E881209"/>
    <w:rsid w:val="0E9733D5"/>
    <w:rsid w:val="0E9B2EC6"/>
    <w:rsid w:val="0E9E6512"/>
    <w:rsid w:val="0E9F3E09"/>
    <w:rsid w:val="0EA24254"/>
    <w:rsid w:val="0EB94E27"/>
    <w:rsid w:val="0EBC4BEA"/>
    <w:rsid w:val="0EC71F0D"/>
    <w:rsid w:val="0ED80D75"/>
    <w:rsid w:val="0ED939EE"/>
    <w:rsid w:val="0EE34BD5"/>
    <w:rsid w:val="0EEF6D6E"/>
    <w:rsid w:val="0EF95E3E"/>
    <w:rsid w:val="0EFB1BB6"/>
    <w:rsid w:val="0F087E2F"/>
    <w:rsid w:val="0F0E7B3C"/>
    <w:rsid w:val="0F203DE2"/>
    <w:rsid w:val="0F225395"/>
    <w:rsid w:val="0F263D0E"/>
    <w:rsid w:val="0F2E7896"/>
    <w:rsid w:val="0F3B6457"/>
    <w:rsid w:val="0F423341"/>
    <w:rsid w:val="0F4D0AAA"/>
    <w:rsid w:val="0F4E7F38"/>
    <w:rsid w:val="0F563291"/>
    <w:rsid w:val="0F580DB7"/>
    <w:rsid w:val="0F595229"/>
    <w:rsid w:val="0F704E24"/>
    <w:rsid w:val="0F7763D9"/>
    <w:rsid w:val="0F790559"/>
    <w:rsid w:val="0F790C96"/>
    <w:rsid w:val="0F900C4F"/>
    <w:rsid w:val="0F9028B3"/>
    <w:rsid w:val="0F916E06"/>
    <w:rsid w:val="0F9F0794"/>
    <w:rsid w:val="0F9F1BED"/>
    <w:rsid w:val="0FA25CB6"/>
    <w:rsid w:val="0FA40799"/>
    <w:rsid w:val="0FA64665"/>
    <w:rsid w:val="0FA67D74"/>
    <w:rsid w:val="0FBA381F"/>
    <w:rsid w:val="0FC14BAE"/>
    <w:rsid w:val="0FC86DFC"/>
    <w:rsid w:val="0FCA08D0"/>
    <w:rsid w:val="0FCB77DB"/>
    <w:rsid w:val="0FCE1079"/>
    <w:rsid w:val="0FD03043"/>
    <w:rsid w:val="0FD0658C"/>
    <w:rsid w:val="0FDD12BC"/>
    <w:rsid w:val="0FDE750E"/>
    <w:rsid w:val="0FE06584"/>
    <w:rsid w:val="0FE4089C"/>
    <w:rsid w:val="0FEF4B4C"/>
    <w:rsid w:val="0FF02D9D"/>
    <w:rsid w:val="0FF26B15"/>
    <w:rsid w:val="0FF52AA9"/>
    <w:rsid w:val="0FF67C3E"/>
    <w:rsid w:val="0FF7412C"/>
    <w:rsid w:val="0FF8479A"/>
    <w:rsid w:val="0FFA7511"/>
    <w:rsid w:val="100625C1"/>
    <w:rsid w:val="10093E5F"/>
    <w:rsid w:val="101051ED"/>
    <w:rsid w:val="1019229C"/>
    <w:rsid w:val="101941DE"/>
    <w:rsid w:val="10196798"/>
    <w:rsid w:val="1021389E"/>
    <w:rsid w:val="1025513D"/>
    <w:rsid w:val="10295ED7"/>
    <w:rsid w:val="102F7D69"/>
    <w:rsid w:val="103435D2"/>
    <w:rsid w:val="10345380"/>
    <w:rsid w:val="10376C1E"/>
    <w:rsid w:val="103F5AD3"/>
    <w:rsid w:val="10450FF1"/>
    <w:rsid w:val="1045133B"/>
    <w:rsid w:val="10463305"/>
    <w:rsid w:val="104906FF"/>
    <w:rsid w:val="104A4BA3"/>
    <w:rsid w:val="104B091B"/>
    <w:rsid w:val="104E5D16"/>
    <w:rsid w:val="104F5D36"/>
    <w:rsid w:val="105E064F"/>
    <w:rsid w:val="105E41AB"/>
    <w:rsid w:val="106043C7"/>
    <w:rsid w:val="10611EED"/>
    <w:rsid w:val="106612B1"/>
    <w:rsid w:val="10664CAB"/>
    <w:rsid w:val="106E22E2"/>
    <w:rsid w:val="10757746"/>
    <w:rsid w:val="107E363C"/>
    <w:rsid w:val="108125EE"/>
    <w:rsid w:val="10831E63"/>
    <w:rsid w:val="10853E2D"/>
    <w:rsid w:val="108C69C6"/>
    <w:rsid w:val="10967DE9"/>
    <w:rsid w:val="109776BD"/>
    <w:rsid w:val="10A62500"/>
    <w:rsid w:val="10AA09E6"/>
    <w:rsid w:val="10AA7D4E"/>
    <w:rsid w:val="10AB495D"/>
    <w:rsid w:val="10B62239"/>
    <w:rsid w:val="10B93AD7"/>
    <w:rsid w:val="10BB1C18"/>
    <w:rsid w:val="10C009C2"/>
    <w:rsid w:val="10C85AC8"/>
    <w:rsid w:val="10D97CD5"/>
    <w:rsid w:val="10DA6205"/>
    <w:rsid w:val="10DB3A4D"/>
    <w:rsid w:val="10E36DA6"/>
    <w:rsid w:val="11017C87"/>
    <w:rsid w:val="110805BA"/>
    <w:rsid w:val="110F5A9A"/>
    <w:rsid w:val="111451B1"/>
    <w:rsid w:val="111D5E14"/>
    <w:rsid w:val="111E4A8C"/>
    <w:rsid w:val="1122167C"/>
    <w:rsid w:val="11273B11"/>
    <w:rsid w:val="11274EE5"/>
    <w:rsid w:val="11290FAE"/>
    <w:rsid w:val="112B79FD"/>
    <w:rsid w:val="113373E5"/>
    <w:rsid w:val="11407D54"/>
    <w:rsid w:val="114B65E6"/>
    <w:rsid w:val="11537A88"/>
    <w:rsid w:val="11595733"/>
    <w:rsid w:val="116518B4"/>
    <w:rsid w:val="11692E07"/>
    <w:rsid w:val="116A6B7F"/>
    <w:rsid w:val="116C6D9B"/>
    <w:rsid w:val="11784AB6"/>
    <w:rsid w:val="117B0D8C"/>
    <w:rsid w:val="117B2B3A"/>
    <w:rsid w:val="11800151"/>
    <w:rsid w:val="1182211B"/>
    <w:rsid w:val="11845E93"/>
    <w:rsid w:val="118971D0"/>
    <w:rsid w:val="118B5473"/>
    <w:rsid w:val="1193257A"/>
    <w:rsid w:val="11934328"/>
    <w:rsid w:val="11974131"/>
    <w:rsid w:val="1198193E"/>
    <w:rsid w:val="119A3908"/>
    <w:rsid w:val="119D2C3A"/>
    <w:rsid w:val="11A618BA"/>
    <w:rsid w:val="11AA638B"/>
    <w:rsid w:val="11B147AE"/>
    <w:rsid w:val="11BA18B5"/>
    <w:rsid w:val="11C23F91"/>
    <w:rsid w:val="11C646FD"/>
    <w:rsid w:val="11C73FD2"/>
    <w:rsid w:val="11C75D80"/>
    <w:rsid w:val="11C93240"/>
    <w:rsid w:val="11D94BA5"/>
    <w:rsid w:val="11E4054C"/>
    <w:rsid w:val="11E608FC"/>
    <w:rsid w:val="11E76422"/>
    <w:rsid w:val="11EC3A38"/>
    <w:rsid w:val="11EE77B0"/>
    <w:rsid w:val="11F72B09"/>
    <w:rsid w:val="11F75195"/>
    <w:rsid w:val="11FF376C"/>
    <w:rsid w:val="12061235"/>
    <w:rsid w:val="12071BEC"/>
    <w:rsid w:val="120968F4"/>
    <w:rsid w:val="120E5CA1"/>
    <w:rsid w:val="120E7E53"/>
    <w:rsid w:val="12137217"/>
    <w:rsid w:val="12163FE7"/>
    <w:rsid w:val="121F3E0E"/>
    <w:rsid w:val="12274A70"/>
    <w:rsid w:val="12301B77"/>
    <w:rsid w:val="12323B41"/>
    <w:rsid w:val="123305D6"/>
    <w:rsid w:val="123E24E6"/>
    <w:rsid w:val="124D3664"/>
    <w:rsid w:val="124F5FD2"/>
    <w:rsid w:val="12525F91"/>
    <w:rsid w:val="12535865"/>
    <w:rsid w:val="12597320"/>
    <w:rsid w:val="125D034A"/>
    <w:rsid w:val="126F08F1"/>
    <w:rsid w:val="127878D2"/>
    <w:rsid w:val="127952CC"/>
    <w:rsid w:val="127A580F"/>
    <w:rsid w:val="12802AFE"/>
    <w:rsid w:val="12837EF9"/>
    <w:rsid w:val="12887C05"/>
    <w:rsid w:val="128A572B"/>
    <w:rsid w:val="128A74D9"/>
    <w:rsid w:val="128B4FFF"/>
    <w:rsid w:val="128C4DB6"/>
    <w:rsid w:val="128E498E"/>
    <w:rsid w:val="129319CF"/>
    <w:rsid w:val="129640D0"/>
    <w:rsid w:val="129E11D6"/>
    <w:rsid w:val="12A165D1"/>
    <w:rsid w:val="12A17021"/>
    <w:rsid w:val="12A32349"/>
    <w:rsid w:val="12A8795F"/>
    <w:rsid w:val="12B74046"/>
    <w:rsid w:val="12CA1FCB"/>
    <w:rsid w:val="12CD4F1C"/>
    <w:rsid w:val="12D06EB6"/>
    <w:rsid w:val="12D152D7"/>
    <w:rsid w:val="12D31BDC"/>
    <w:rsid w:val="12D6271E"/>
    <w:rsid w:val="12D720A5"/>
    <w:rsid w:val="12DF65E9"/>
    <w:rsid w:val="12E0534B"/>
    <w:rsid w:val="12E24FC5"/>
    <w:rsid w:val="12EE1697"/>
    <w:rsid w:val="12EF37A0"/>
    <w:rsid w:val="12F77E1B"/>
    <w:rsid w:val="12F9640D"/>
    <w:rsid w:val="12FC1313"/>
    <w:rsid w:val="130F5C30"/>
    <w:rsid w:val="13106186"/>
    <w:rsid w:val="1313146A"/>
    <w:rsid w:val="13160D6D"/>
    <w:rsid w:val="13207027"/>
    <w:rsid w:val="13280AA0"/>
    <w:rsid w:val="1329181A"/>
    <w:rsid w:val="132A2A6A"/>
    <w:rsid w:val="132D60B6"/>
    <w:rsid w:val="132F0080"/>
    <w:rsid w:val="132F1E2E"/>
    <w:rsid w:val="1337349D"/>
    <w:rsid w:val="133E02C4"/>
    <w:rsid w:val="133E6C48"/>
    <w:rsid w:val="1347361C"/>
    <w:rsid w:val="13482EF0"/>
    <w:rsid w:val="13495C7E"/>
    <w:rsid w:val="13511DA5"/>
    <w:rsid w:val="13545D39"/>
    <w:rsid w:val="135E2714"/>
    <w:rsid w:val="136732D7"/>
    <w:rsid w:val="136C215D"/>
    <w:rsid w:val="136F1139"/>
    <w:rsid w:val="137155C7"/>
    <w:rsid w:val="1373302C"/>
    <w:rsid w:val="13765CAF"/>
    <w:rsid w:val="13824654"/>
    <w:rsid w:val="139879D4"/>
    <w:rsid w:val="139F6FB4"/>
    <w:rsid w:val="13A445CA"/>
    <w:rsid w:val="13AC5677"/>
    <w:rsid w:val="13AE71F7"/>
    <w:rsid w:val="13AF2F6F"/>
    <w:rsid w:val="13D12EE6"/>
    <w:rsid w:val="13D604FC"/>
    <w:rsid w:val="13D7569A"/>
    <w:rsid w:val="13E618E5"/>
    <w:rsid w:val="13E769C9"/>
    <w:rsid w:val="13E85A91"/>
    <w:rsid w:val="13F75F72"/>
    <w:rsid w:val="13F91FEC"/>
    <w:rsid w:val="14077A51"/>
    <w:rsid w:val="14083304"/>
    <w:rsid w:val="140C2170"/>
    <w:rsid w:val="140E413A"/>
    <w:rsid w:val="14176148"/>
    <w:rsid w:val="141B23B3"/>
    <w:rsid w:val="141D612B"/>
    <w:rsid w:val="1422717A"/>
    <w:rsid w:val="143F42F3"/>
    <w:rsid w:val="14411E19"/>
    <w:rsid w:val="144933C4"/>
    <w:rsid w:val="144C07BE"/>
    <w:rsid w:val="14634486"/>
    <w:rsid w:val="14641621"/>
    <w:rsid w:val="14645E9D"/>
    <w:rsid w:val="146B158C"/>
    <w:rsid w:val="146B333A"/>
    <w:rsid w:val="147026FF"/>
    <w:rsid w:val="147848D7"/>
    <w:rsid w:val="14790014"/>
    <w:rsid w:val="147F6DE6"/>
    <w:rsid w:val="148443FC"/>
    <w:rsid w:val="14847F7D"/>
    <w:rsid w:val="1487776D"/>
    <w:rsid w:val="14883EEC"/>
    <w:rsid w:val="148924D2"/>
    <w:rsid w:val="148B5887"/>
    <w:rsid w:val="148F7029"/>
    <w:rsid w:val="14907014"/>
    <w:rsid w:val="149208C7"/>
    <w:rsid w:val="14922675"/>
    <w:rsid w:val="149D101A"/>
    <w:rsid w:val="149F4D92"/>
    <w:rsid w:val="149F62FB"/>
    <w:rsid w:val="14A16D5C"/>
    <w:rsid w:val="14A3568A"/>
    <w:rsid w:val="14A423A8"/>
    <w:rsid w:val="14A612C9"/>
    <w:rsid w:val="14AE1D2C"/>
    <w:rsid w:val="14B05032"/>
    <w:rsid w:val="14B307DB"/>
    <w:rsid w:val="14B91DC7"/>
    <w:rsid w:val="14C447F8"/>
    <w:rsid w:val="14C64A14"/>
    <w:rsid w:val="14D40EDF"/>
    <w:rsid w:val="14D56A06"/>
    <w:rsid w:val="14D709D0"/>
    <w:rsid w:val="14D902A4"/>
    <w:rsid w:val="14DE3B0C"/>
    <w:rsid w:val="14E54E9B"/>
    <w:rsid w:val="14F96B98"/>
    <w:rsid w:val="150D2643"/>
    <w:rsid w:val="150F3CC6"/>
    <w:rsid w:val="15105215"/>
    <w:rsid w:val="15107A3E"/>
    <w:rsid w:val="151B4D60"/>
    <w:rsid w:val="151C4634"/>
    <w:rsid w:val="15211C4B"/>
    <w:rsid w:val="152139F9"/>
    <w:rsid w:val="15282FD9"/>
    <w:rsid w:val="152E3299"/>
    <w:rsid w:val="152E4912"/>
    <w:rsid w:val="1537146E"/>
    <w:rsid w:val="15396F94"/>
    <w:rsid w:val="15436065"/>
    <w:rsid w:val="154D2A40"/>
    <w:rsid w:val="15512530"/>
    <w:rsid w:val="15532D6E"/>
    <w:rsid w:val="15593193"/>
    <w:rsid w:val="155B6F0B"/>
    <w:rsid w:val="155E4C4D"/>
    <w:rsid w:val="15657D89"/>
    <w:rsid w:val="156A62C2"/>
    <w:rsid w:val="156B2E34"/>
    <w:rsid w:val="156C7A57"/>
    <w:rsid w:val="15724254"/>
    <w:rsid w:val="15747E78"/>
    <w:rsid w:val="157924A9"/>
    <w:rsid w:val="157D29F0"/>
    <w:rsid w:val="15871D97"/>
    <w:rsid w:val="15871E62"/>
    <w:rsid w:val="15977EAF"/>
    <w:rsid w:val="15B34C4C"/>
    <w:rsid w:val="15B8091F"/>
    <w:rsid w:val="15BB209F"/>
    <w:rsid w:val="15BE749A"/>
    <w:rsid w:val="15C076B6"/>
    <w:rsid w:val="15C56A7A"/>
    <w:rsid w:val="15CA15FD"/>
    <w:rsid w:val="15D05B4B"/>
    <w:rsid w:val="15D51101"/>
    <w:rsid w:val="15D53161"/>
    <w:rsid w:val="15D942D4"/>
    <w:rsid w:val="15E56E12"/>
    <w:rsid w:val="15E97DB9"/>
    <w:rsid w:val="15EE2F39"/>
    <w:rsid w:val="15F2239C"/>
    <w:rsid w:val="15F8246F"/>
    <w:rsid w:val="15FA4976"/>
    <w:rsid w:val="15FB1B6C"/>
    <w:rsid w:val="15FE0691"/>
    <w:rsid w:val="15FF01DE"/>
    <w:rsid w:val="15FF1F8C"/>
    <w:rsid w:val="16024AD5"/>
    <w:rsid w:val="160C1D44"/>
    <w:rsid w:val="16127DF3"/>
    <w:rsid w:val="161E0866"/>
    <w:rsid w:val="16215613"/>
    <w:rsid w:val="1626576B"/>
    <w:rsid w:val="162714E3"/>
    <w:rsid w:val="16290DB7"/>
    <w:rsid w:val="163B5EF6"/>
    <w:rsid w:val="164200CB"/>
    <w:rsid w:val="16504596"/>
    <w:rsid w:val="165168A3"/>
    <w:rsid w:val="16534086"/>
    <w:rsid w:val="165909FE"/>
    <w:rsid w:val="166C5148"/>
    <w:rsid w:val="16707AF8"/>
    <w:rsid w:val="16730A62"/>
    <w:rsid w:val="16873D30"/>
    <w:rsid w:val="16881F81"/>
    <w:rsid w:val="16897AA8"/>
    <w:rsid w:val="16922E00"/>
    <w:rsid w:val="1697487D"/>
    <w:rsid w:val="1699418F"/>
    <w:rsid w:val="169C5A2D"/>
    <w:rsid w:val="169C77DB"/>
    <w:rsid w:val="16A36DBB"/>
    <w:rsid w:val="16A4567A"/>
    <w:rsid w:val="16AE1553"/>
    <w:rsid w:val="16B5089D"/>
    <w:rsid w:val="16BA5EB3"/>
    <w:rsid w:val="16CA259A"/>
    <w:rsid w:val="16DC22CD"/>
    <w:rsid w:val="16DE4297"/>
    <w:rsid w:val="16E01DBD"/>
    <w:rsid w:val="16E55626"/>
    <w:rsid w:val="16EA0A0B"/>
    <w:rsid w:val="16EA7FDB"/>
    <w:rsid w:val="16EF2001"/>
    <w:rsid w:val="16F47617"/>
    <w:rsid w:val="16FB2DD9"/>
    <w:rsid w:val="16FD7459"/>
    <w:rsid w:val="170610F8"/>
    <w:rsid w:val="17103D25"/>
    <w:rsid w:val="1719707D"/>
    <w:rsid w:val="171A224F"/>
    <w:rsid w:val="171A4BA4"/>
    <w:rsid w:val="17231CAA"/>
    <w:rsid w:val="17242EA0"/>
    <w:rsid w:val="17276132"/>
    <w:rsid w:val="17284465"/>
    <w:rsid w:val="17286E95"/>
    <w:rsid w:val="172B6DB1"/>
    <w:rsid w:val="172F68A1"/>
    <w:rsid w:val="1731642A"/>
    <w:rsid w:val="17343EB7"/>
    <w:rsid w:val="1737689A"/>
    <w:rsid w:val="173E0892"/>
    <w:rsid w:val="173F435D"/>
    <w:rsid w:val="17481711"/>
    <w:rsid w:val="174D4F79"/>
    <w:rsid w:val="174D6D27"/>
    <w:rsid w:val="174E29A3"/>
    <w:rsid w:val="17515193"/>
    <w:rsid w:val="175653EE"/>
    <w:rsid w:val="175D48F4"/>
    <w:rsid w:val="175D5E1A"/>
    <w:rsid w:val="175E0F34"/>
    <w:rsid w:val="175E6B6A"/>
    <w:rsid w:val="17670696"/>
    <w:rsid w:val="176E3311"/>
    <w:rsid w:val="17705FE0"/>
    <w:rsid w:val="17742998"/>
    <w:rsid w:val="177644D0"/>
    <w:rsid w:val="178737E2"/>
    <w:rsid w:val="17994EC4"/>
    <w:rsid w:val="179E3A27"/>
    <w:rsid w:val="17A4103D"/>
    <w:rsid w:val="17A96398"/>
    <w:rsid w:val="17AA4179"/>
    <w:rsid w:val="17AC7EF2"/>
    <w:rsid w:val="17B0246F"/>
    <w:rsid w:val="17B24926"/>
    <w:rsid w:val="17BA2A25"/>
    <w:rsid w:val="17BB6387"/>
    <w:rsid w:val="17BD20FF"/>
    <w:rsid w:val="17C0399D"/>
    <w:rsid w:val="17C104F9"/>
    <w:rsid w:val="17D9680D"/>
    <w:rsid w:val="17DD3D91"/>
    <w:rsid w:val="17E02C2C"/>
    <w:rsid w:val="17EA0A1A"/>
    <w:rsid w:val="17EC6540"/>
    <w:rsid w:val="17EE22B8"/>
    <w:rsid w:val="17EF7DDE"/>
    <w:rsid w:val="17F6116D"/>
    <w:rsid w:val="17F673BF"/>
    <w:rsid w:val="17F9141B"/>
    <w:rsid w:val="17FE514D"/>
    <w:rsid w:val="18032795"/>
    <w:rsid w:val="18057602"/>
    <w:rsid w:val="180A2E6A"/>
    <w:rsid w:val="180F222F"/>
    <w:rsid w:val="1815495E"/>
    <w:rsid w:val="1819154B"/>
    <w:rsid w:val="181B6E25"/>
    <w:rsid w:val="181F06C4"/>
    <w:rsid w:val="181F4A63"/>
    <w:rsid w:val="18273A1C"/>
    <w:rsid w:val="18291542"/>
    <w:rsid w:val="183103F7"/>
    <w:rsid w:val="183606FA"/>
    <w:rsid w:val="18365A0D"/>
    <w:rsid w:val="18370544"/>
    <w:rsid w:val="183879D7"/>
    <w:rsid w:val="18470CA7"/>
    <w:rsid w:val="184729BA"/>
    <w:rsid w:val="184B770B"/>
    <w:rsid w:val="18506ACF"/>
    <w:rsid w:val="18583BD5"/>
    <w:rsid w:val="1858668C"/>
    <w:rsid w:val="185C36C6"/>
    <w:rsid w:val="185E09CA"/>
    <w:rsid w:val="1862541A"/>
    <w:rsid w:val="186662F2"/>
    <w:rsid w:val="18687442"/>
    <w:rsid w:val="187205F4"/>
    <w:rsid w:val="18770DA5"/>
    <w:rsid w:val="188260C7"/>
    <w:rsid w:val="188B19BA"/>
    <w:rsid w:val="188B3FAB"/>
    <w:rsid w:val="188F53F8"/>
    <w:rsid w:val="189270E7"/>
    <w:rsid w:val="189728A5"/>
    <w:rsid w:val="18A21AD3"/>
    <w:rsid w:val="18AC3ACE"/>
    <w:rsid w:val="18AE7C99"/>
    <w:rsid w:val="18B52DD6"/>
    <w:rsid w:val="18B54B84"/>
    <w:rsid w:val="18B86B34"/>
    <w:rsid w:val="18BF3C55"/>
    <w:rsid w:val="18BF5A03"/>
    <w:rsid w:val="18C07E1C"/>
    <w:rsid w:val="18C83229"/>
    <w:rsid w:val="18CD6371"/>
    <w:rsid w:val="18D21BDA"/>
    <w:rsid w:val="18D70F9E"/>
    <w:rsid w:val="18D94D16"/>
    <w:rsid w:val="18D9791A"/>
    <w:rsid w:val="18DC4EA1"/>
    <w:rsid w:val="18EE5691"/>
    <w:rsid w:val="18F71640"/>
    <w:rsid w:val="18FE29CF"/>
    <w:rsid w:val="190141FE"/>
    <w:rsid w:val="19034BF0"/>
    <w:rsid w:val="190860B0"/>
    <w:rsid w:val="190C3EB5"/>
    <w:rsid w:val="190D7E26"/>
    <w:rsid w:val="191020DF"/>
    <w:rsid w:val="19102702"/>
    <w:rsid w:val="191B0CA6"/>
    <w:rsid w:val="191D5EC2"/>
    <w:rsid w:val="192166BD"/>
    <w:rsid w:val="192817FA"/>
    <w:rsid w:val="19287A4C"/>
    <w:rsid w:val="192A37C4"/>
    <w:rsid w:val="192B3098"/>
    <w:rsid w:val="192E7960"/>
    <w:rsid w:val="192F64DD"/>
    <w:rsid w:val="19394EDE"/>
    <w:rsid w:val="19397563"/>
    <w:rsid w:val="194A596B"/>
    <w:rsid w:val="19561BC7"/>
    <w:rsid w:val="19597C05"/>
    <w:rsid w:val="197902A7"/>
    <w:rsid w:val="197A3F9A"/>
    <w:rsid w:val="197E141A"/>
    <w:rsid w:val="198033E4"/>
    <w:rsid w:val="198729C4"/>
    <w:rsid w:val="198945B7"/>
    <w:rsid w:val="19936669"/>
    <w:rsid w:val="199E7D0E"/>
    <w:rsid w:val="19B75231"/>
    <w:rsid w:val="19B94B48"/>
    <w:rsid w:val="19BD5040"/>
    <w:rsid w:val="19BE5CBA"/>
    <w:rsid w:val="19BF413C"/>
    <w:rsid w:val="19D33304"/>
    <w:rsid w:val="19D92AF4"/>
    <w:rsid w:val="19DE210A"/>
    <w:rsid w:val="19E219A9"/>
    <w:rsid w:val="19E35721"/>
    <w:rsid w:val="19E51499"/>
    <w:rsid w:val="19ED659F"/>
    <w:rsid w:val="19EE2A43"/>
    <w:rsid w:val="19F142E2"/>
    <w:rsid w:val="19FB0CBC"/>
    <w:rsid w:val="19FF5BD3"/>
    <w:rsid w:val="1A004525"/>
    <w:rsid w:val="1A053239"/>
    <w:rsid w:val="1A0A53A3"/>
    <w:rsid w:val="1A0C2EC9"/>
    <w:rsid w:val="1A0F6516"/>
    <w:rsid w:val="1A134258"/>
    <w:rsid w:val="1A1656B7"/>
    <w:rsid w:val="1A1C61EB"/>
    <w:rsid w:val="1A27558E"/>
    <w:rsid w:val="1A3146DE"/>
    <w:rsid w:val="1A3366A8"/>
    <w:rsid w:val="1A347D3F"/>
    <w:rsid w:val="1A3B1866"/>
    <w:rsid w:val="1A3B4995"/>
    <w:rsid w:val="1A43439E"/>
    <w:rsid w:val="1A46462D"/>
    <w:rsid w:val="1A4A39F2"/>
    <w:rsid w:val="1A6000FA"/>
    <w:rsid w:val="1A69031C"/>
    <w:rsid w:val="1A6D25FD"/>
    <w:rsid w:val="1A713602"/>
    <w:rsid w:val="1A75281D"/>
    <w:rsid w:val="1A7D4B93"/>
    <w:rsid w:val="1A9845E5"/>
    <w:rsid w:val="1AA414D5"/>
    <w:rsid w:val="1AA94F5A"/>
    <w:rsid w:val="1AAA0EAE"/>
    <w:rsid w:val="1AAD645B"/>
    <w:rsid w:val="1AB374E2"/>
    <w:rsid w:val="1ABC1257"/>
    <w:rsid w:val="1AC92B69"/>
    <w:rsid w:val="1ACB4B33"/>
    <w:rsid w:val="1ADD03C2"/>
    <w:rsid w:val="1ADF15D2"/>
    <w:rsid w:val="1ADF413A"/>
    <w:rsid w:val="1AE856E5"/>
    <w:rsid w:val="1AE91C74"/>
    <w:rsid w:val="1AED2CFB"/>
    <w:rsid w:val="1AED4AA9"/>
    <w:rsid w:val="1AEE6276"/>
    <w:rsid w:val="1AF35E37"/>
    <w:rsid w:val="1AFD2812"/>
    <w:rsid w:val="1AFF4613"/>
    <w:rsid w:val="1B045DCF"/>
    <w:rsid w:val="1B0E73A6"/>
    <w:rsid w:val="1B155DAE"/>
    <w:rsid w:val="1B1D6651"/>
    <w:rsid w:val="1B244243"/>
    <w:rsid w:val="1B2A1FB6"/>
    <w:rsid w:val="1B323FFD"/>
    <w:rsid w:val="1B3B1280"/>
    <w:rsid w:val="1B46240B"/>
    <w:rsid w:val="1B4A38B5"/>
    <w:rsid w:val="1B4E010B"/>
    <w:rsid w:val="1B5207ED"/>
    <w:rsid w:val="1B5468D6"/>
    <w:rsid w:val="1B574618"/>
    <w:rsid w:val="1B601E4F"/>
    <w:rsid w:val="1B694D12"/>
    <w:rsid w:val="1B721452"/>
    <w:rsid w:val="1B7A20B5"/>
    <w:rsid w:val="1B7A5621"/>
    <w:rsid w:val="1B854CE1"/>
    <w:rsid w:val="1B925650"/>
    <w:rsid w:val="1B974A15"/>
    <w:rsid w:val="1B9B6711"/>
    <w:rsid w:val="1B9C1031"/>
    <w:rsid w:val="1BAD12C5"/>
    <w:rsid w:val="1BB235FD"/>
    <w:rsid w:val="1BB8267A"/>
    <w:rsid w:val="1BBA7921"/>
    <w:rsid w:val="1BBD091F"/>
    <w:rsid w:val="1BC752FA"/>
    <w:rsid w:val="1BD0092E"/>
    <w:rsid w:val="1BE20386"/>
    <w:rsid w:val="1BE32A90"/>
    <w:rsid w:val="1BE35DC2"/>
    <w:rsid w:val="1BE449D9"/>
    <w:rsid w:val="1BE81160"/>
    <w:rsid w:val="1BEA0FE8"/>
    <w:rsid w:val="1BEA74D5"/>
    <w:rsid w:val="1BEC2CB8"/>
    <w:rsid w:val="1BF14125"/>
    <w:rsid w:val="1BFB31F6"/>
    <w:rsid w:val="1BFB4FA4"/>
    <w:rsid w:val="1BFD51C0"/>
    <w:rsid w:val="1C0E117B"/>
    <w:rsid w:val="1C233876"/>
    <w:rsid w:val="1C281B11"/>
    <w:rsid w:val="1C2F2E9F"/>
    <w:rsid w:val="1C3B7A96"/>
    <w:rsid w:val="1C3F4F02"/>
    <w:rsid w:val="1C404155"/>
    <w:rsid w:val="1C4306F9"/>
    <w:rsid w:val="1C4C3A51"/>
    <w:rsid w:val="1C5648D0"/>
    <w:rsid w:val="1C5B3C94"/>
    <w:rsid w:val="1C672639"/>
    <w:rsid w:val="1C715266"/>
    <w:rsid w:val="1C796E76"/>
    <w:rsid w:val="1C7B2C32"/>
    <w:rsid w:val="1C856F63"/>
    <w:rsid w:val="1C950274"/>
    <w:rsid w:val="1C9E5FCC"/>
    <w:rsid w:val="1CA078F9"/>
    <w:rsid w:val="1CA5324B"/>
    <w:rsid w:val="1CA94A00"/>
    <w:rsid w:val="1CAB0739"/>
    <w:rsid w:val="1CAB69CA"/>
    <w:rsid w:val="1CB15FAA"/>
    <w:rsid w:val="1CC17F9B"/>
    <w:rsid w:val="1CC26B08"/>
    <w:rsid w:val="1CC9658C"/>
    <w:rsid w:val="1CCA79DC"/>
    <w:rsid w:val="1CE114BA"/>
    <w:rsid w:val="1CE617B0"/>
    <w:rsid w:val="1CE7377A"/>
    <w:rsid w:val="1CEB14BC"/>
    <w:rsid w:val="1CEC2B3E"/>
    <w:rsid w:val="1CED7BE0"/>
    <w:rsid w:val="1CEE10D9"/>
    <w:rsid w:val="1CF71C0F"/>
    <w:rsid w:val="1CF77E61"/>
    <w:rsid w:val="1CFD4D4B"/>
    <w:rsid w:val="1D0165EA"/>
    <w:rsid w:val="1D04432C"/>
    <w:rsid w:val="1D0B5412"/>
    <w:rsid w:val="1D1B6C8D"/>
    <w:rsid w:val="1D1E1D0B"/>
    <w:rsid w:val="1D271DC8"/>
    <w:rsid w:val="1D366B78"/>
    <w:rsid w:val="1D3903AF"/>
    <w:rsid w:val="1D3A1AFC"/>
    <w:rsid w:val="1D3D1E31"/>
    <w:rsid w:val="1D3F7112"/>
    <w:rsid w:val="1D436B89"/>
    <w:rsid w:val="1D483FDB"/>
    <w:rsid w:val="1D4961E3"/>
    <w:rsid w:val="1D4D7A81"/>
    <w:rsid w:val="1D5030CD"/>
    <w:rsid w:val="1D533C1F"/>
    <w:rsid w:val="1D631052"/>
    <w:rsid w:val="1D692534"/>
    <w:rsid w:val="1D721295"/>
    <w:rsid w:val="1D795808"/>
    <w:rsid w:val="1D827349"/>
    <w:rsid w:val="1D8334A3"/>
    <w:rsid w:val="1D8D2573"/>
    <w:rsid w:val="1D8D60CF"/>
    <w:rsid w:val="1D954F84"/>
    <w:rsid w:val="1D9B4C90"/>
    <w:rsid w:val="1DAF6046"/>
    <w:rsid w:val="1DAF7105"/>
    <w:rsid w:val="1DB33130"/>
    <w:rsid w:val="1DC046F7"/>
    <w:rsid w:val="1DC13FCB"/>
    <w:rsid w:val="1DC51D0D"/>
    <w:rsid w:val="1DC839D2"/>
    <w:rsid w:val="1DD45AAC"/>
    <w:rsid w:val="1DD625CE"/>
    <w:rsid w:val="1DE57CB9"/>
    <w:rsid w:val="1DF4614E"/>
    <w:rsid w:val="1DF61EC7"/>
    <w:rsid w:val="1DF75C3F"/>
    <w:rsid w:val="1DFD1C32"/>
    <w:rsid w:val="1E067C30"/>
    <w:rsid w:val="1E075E82"/>
    <w:rsid w:val="1E0F0715"/>
    <w:rsid w:val="1E1359D3"/>
    <w:rsid w:val="1E1719F1"/>
    <w:rsid w:val="1E1C364F"/>
    <w:rsid w:val="1E236A34"/>
    <w:rsid w:val="1E2401DB"/>
    <w:rsid w:val="1E261DFE"/>
    <w:rsid w:val="1E2D0B4E"/>
    <w:rsid w:val="1E326C77"/>
    <w:rsid w:val="1E3B1FCF"/>
    <w:rsid w:val="1E3E4A94"/>
    <w:rsid w:val="1E4075E6"/>
    <w:rsid w:val="1E432C32"/>
    <w:rsid w:val="1E4C1AE7"/>
    <w:rsid w:val="1E5360AD"/>
    <w:rsid w:val="1E603D69"/>
    <w:rsid w:val="1E650C11"/>
    <w:rsid w:val="1E6A3D0A"/>
    <w:rsid w:val="1E6A4663"/>
    <w:rsid w:val="1E7053E4"/>
    <w:rsid w:val="1E732AF6"/>
    <w:rsid w:val="1E74103D"/>
    <w:rsid w:val="1E7740FA"/>
    <w:rsid w:val="1E8C3266"/>
    <w:rsid w:val="1E952A60"/>
    <w:rsid w:val="1E965458"/>
    <w:rsid w:val="1E9D67E6"/>
    <w:rsid w:val="1EA336D1"/>
    <w:rsid w:val="1EA35AC9"/>
    <w:rsid w:val="1EB12291"/>
    <w:rsid w:val="1EB458DE"/>
    <w:rsid w:val="1EB91BFE"/>
    <w:rsid w:val="1EBF779B"/>
    <w:rsid w:val="1ECA47D6"/>
    <w:rsid w:val="1ECE699F"/>
    <w:rsid w:val="1ED57D2E"/>
    <w:rsid w:val="1ED61CF8"/>
    <w:rsid w:val="1EDD7BF3"/>
    <w:rsid w:val="1EEC2369"/>
    <w:rsid w:val="1EEE7042"/>
    <w:rsid w:val="1EF06916"/>
    <w:rsid w:val="1EF81C6E"/>
    <w:rsid w:val="1F07086C"/>
    <w:rsid w:val="1F071EB1"/>
    <w:rsid w:val="1F1A1BE5"/>
    <w:rsid w:val="1F1E30AE"/>
    <w:rsid w:val="1F1F12D9"/>
    <w:rsid w:val="1F1F196E"/>
    <w:rsid w:val="1F1F369F"/>
    <w:rsid w:val="1F310AF0"/>
    <w:rsid w:val="1F32696E"/>
    <w:rsid w:val="1F3507CD"/>
    <w:rsid w:val="1F354C71"/>
    <w:rsid w:val="1F356A1F"/>
    <w:rsid w:val="1F3A4035"/>
    <w:rsid w:val="1F3D58D3"/>
    <w:rsid w:val="1F4208BD"/>
    <w:rsid w:val="1F4849A4"/>
    <w:rsid w:val="1F520AA7"/>
    <w:rsid w:val="1F523E3D"/>
    <w:rsid w:val="1F550E6F"/>
    <w:rsid w:val="1F566EB8"/>
    <w:rsid w:val="1F642107"/>
    <w:rsid w:val="1F6D7F66"/>
    <w:rsid w:val="1F7A36E2"/>
    <w:rsid w:val="1F7C289F"/>
    <w:rsid w:val="1F874BEF"/>
    <w:rsid w:val="1F880587"/>
    <w:rsid w:val="1F896D6A"/>
    <w:rsid w:val="1F915AAD"/>
    <w:rsid w:val="1F925C1F"/>
    <w:rsid w:val="1F996FAD"/>
    <w:rsid w:val="1F9B1C69"/>
    <w:rsid w:val="1F9C6A9E"/>
    <w:rsid w:val="1F9C78FB"/>
    <w:rsid w:val="1F9F033C"/>
    <w:rsid w:val="1FAC1F03"/>
    <w:rsid w:val="1FB02549"/>
    <w:rsid w:val="1FB262C1"/>
    <w:rsid w:val="1FC67E6E"/>
    <w:rsid w:val="1FC73179"/>
    <w:rsid w:val="1FCC441A"/>
    <w:rsid w:val="1FDA4F3D"/>
    <w:rsid w:val="1FDB75C6"/>
    <w:rsid w:val="1FE43FA1"/>
    <w:rsid w:val="1FEA06DC"/>
    <w:rsid w:val="1FEB266B"/>
    <w:rsid w:val="1FF22B62"/>
    <w:rsid w:val="1FFC12EA"/>
    <w:rsid w:val="20001E79"/>
    <w:rsid w:val="20036B1D"/>
    <w:rsid w:val="20052895"/>
    <w:rsid w:val="20054643"/>
    <w:rsid w:val="201274A6"/>
    <w:rsid w:val="20146634"/>
    <w:rsid w:val="20195ADE"/>
    <w:rsid w:val="20234AC9"/>
    <w:rsid w:val="20256A93"/>
    <w:rsid w:val="20281A15"/>
    <w:rsid w:val="202A22FB"/>
    <w:rsid w:val="202C7E22"/>
    <w:rsid w:val="202F60DB"/>
    <w:rsid w:val="203521EF"/>
    <w:rsid w:val="203A702A"/>
    <w:rsid w:val="204131A1"/>
    <w:rsid w:val="2042063B"/>
    <w:rsid w:val="2043260B"/>
    <w:rsid w:val="20476A09"/>
    <w:rsid w:val="204809D3"/>
    <w:rsid w:val="204A0286"/>
    <w:rsid w:val="2054268B"/>
    <w:rsid w:val="20547378"/>
    <w:rsid w:val="20580C17"/>
    <w:rsid w:val="205F1963"/>
    <w:rsid w:val="20664C7C"/>
    <w:rsid w:val="20675279"/>
    <w:rsid w:val="206770AC"/>
    <w:rsid w:val="206D0874"/>
    <w:rsid w:val="20735A50"/>
    <w:rsid w:val="208047DF"/>
    <w:rsid w:val="20827A42"/>
    <w:rsid w:val="20880DD0"/>
    <w:rsid w:val="20967991"/>
    <w:rsid w:val="209D0D1F"/>
    <w:rsid w:val="20A12467"/>
    <w:rsid w:val="20AA51EA"/>
    <w:rsid w:val="20AE1CFD"/>
    <w:rsid w:val="20B019B5"/>
    <w:rsid w:val="20B16579"/>
    <w:rsid w:val="20B83B8F"/>
    <w:rsid w:val="20C31E08"/>
    <w:rsid w:val="20C63871"/>
    <w:rsid w:val="20D02EA3"/>
    <w:rsid w:val="20DD111C"/>
    <w:rsid w:val="20F01F24"/>
    <w:rsid w:val="20F344A7"/>
    <w:rsid w:val="20FB5A46"/>
    <w:rsid w:val="21004E0A"/>
    <w:rsid w:val="211A595D"/>
    <w:rsid w:val="211C60E8"/>
    <w:rsid w:val="21254871"/>
    <w:rsid w:val="212E5E1B"/>
    <w:rsid w:val="21332BF6"/>
    <w:rsid w:val="21335A60"/>
    <w:rsid w:val="21355D53"/>
    <w:rsid w:val="213A6642"/>
    <w:rsid w:val="21402ED0"/>
    <w:rsid w:val="214921EE"/>
    <w:rsid w:val="214B077B"/>
    <w:rsid w:val="214C004F"/>
    <w:rsid w:val="214E3DC8"/>
    <w:rsid w:val="21532BAD"/>
    <w:rsid w:val="21570ECE"/>
    <w:rsid w:val="215D18CE"/>
    <w:rsid w:val="216B500D"/>
    <w:rsid w:val="216C6FEF"/>
    <w:rsid w:val="216C71A5"/>
    <w:rsid w:val="216D40E2"/>
    <w:rsid w:val="216F4B47"/>
    <w:rsid w:val="217001E2"/>
    <w:rsid w:val="217D32FC"/>
    <w:rsid w:val="21802EDB"/>
    <w:rsid w:val="21821CC3"/>
    <w:rsid w:val="21863561"/>
    <w:rsid w:val="21871088"/>
    <w:rsid w:val="218B3C37"/>
    <w:rsid w:val="21920158"/>
    <w:rsid w:val="219852BC"/>
    <w:rsid w:val="21993A30"/>
    <w:rsid w:val="21B14034"/>
    <w:rsid w:val="21B209BC"/>
    <w:rsid w:val="21B24356"/>
    <w:rsid w:val="21B72F49"/>
    <w:rsid w:val="21B87493"/>
    <w:rsid w:val="21B93937"/>
    <w:rsid w:val="21BF4166"/>
    <w:rsid w:val="21C546AF"/>
    <w:rsid w:val="21C67E02"/>
    <w:rsid w:val="21C771CB"/>
    <w:rsid w:val="21C834F2"/>
    <w:rsid w:val="21CA5B44"/>
    <w:rsid w:val="21D342CD"/>
    <w:rsid w:val="21D850A8"/>
    <w:rsid w:val="21DA1AFF"/>
    <w:rsid w:val="21DD4411"/>
    <w:rsid w:val="21DE0075"/>
    <w:rsid w:val="21E62252"/>
    <w:rsid w:val="21EF529B"/>
    <w:rsid w:val="21F42BC1"/>
    <w:rsid w:val="21FD6F30"/>
    <w:rsid w:val="22010E3A"/>
    <w:rsid w:val="220628F4"/>
    <w:rsid w:val="220A23E4"/>
    <w:rsid w:val="22145011"/>
    <w:rsid w:val="221C5C74"/>
    <w:rsid w:val="221E19EC"/>
    <w:rsid w:val="222C235B"/>
    <w:rsid w:val="222D60D3"/>
    <w:rsid w:val="22347461"/>
    <w:rsid w:val="2244516D"/>
    <w:rsid w:val="22555D56"/>
    <w:rsid w:val="225658D2"/>
    <w:rsid w:val="22576CAC"/>
    <w:rsid w:val="225B4C6A"/>
    <w:rsid w:val="225E628C"/>
    <w:rsid w:val="22680EB9"/>
    <w:rsid w:val="226A5C9D"/>
    <w:rsid w:val="226A7D59"/>
    <w:rsid w:val="2271258C"/>
    <w:rsid w:val="227774A2"/>
    <w:rsid w:val="227C430C"/>
    <w:rsid w:val="228026A7"/>
    <w:rsid w:val="22812EA5"/>
    <w:rsid w:val="22821F7B"/>
    <w:rsid w:val="229B303C"/>
    <w:rsid w:val="229C1D23"/>
    <w:rsid w:val="22A04AF7"/>
    <w:rsid w:val="22A81146"/>
    <w:rsid w:val="22AA5B91"/>
    <w:rsid w:val="22AF4D3A"/>
    <w:rsid w:val="22B04391"/>
    <w:rsid w:val="22B20386"/>
    <w:rsid w:val="22B45E4A"/>
    <w:rsid w:val="22C5630B"/>
    <w:rsid w:val="22CA1B74"/>
    <w:rsid w:val="22E2053C"/>
    <w:rsid w:val="22EB4219"/>
    <w:rsid w:val="22EC5646"/>
    <w:rsid w:val="22EE5862"/>
    <w:rsid w:val="22F46BD8"/>
    <w:rsid w:val="22F56BF1"/>
    <w:rsid w:val="22F83FEB"/>
    <w:rsid w:val="22F95FB5"/>
    <w:rsid w:val="23030CDE"/>
    <w:rsid w:val="23040BE2"/>
    <w:rsid w:val="230706D2"/>
    <w:rsid w:val="2309444A"/>
    <w:rsid w:val="230E0DDE"/>
    <w:rsid w:val="23156CA6"/>
    <w:rsid w:val="23160915"/>
    <w:rsid w:val="23193975"/>
    <w:rsid w:val="23212434"/>
    <w:rsid w:val="232474D6"/>
    <w:rsid w:val="232C67F1"/>
    <w:rsid w:val="232E56F6"/>
    <w:rsid w:val="232F3539"/>
    <w:rsid w:val="23333275"/>
    <w:rsid w:val="233429F8"/>
    <w:rsid w:val="2335523F"/>
    <w:rsid w:val="233D23C7"/>
    <w:rsid w:val="234021A7"/>
    <w:rsid w:val="234D4382"/>
    <w:rsid w:val="234E4553"/>
    <w:rsid w:val="23503E27"/>
    <w:rsid w:val="23571659"/>
    <w:rsid w:val="23580F2E"/>
    <w:rsid w:val="236B0C61"/>
    <w:rsid w:val="2375131B"/>
    <w:rsid w:val="23775858"/>
    <w:rsid w:val="2378337E"/>
    <w:rsid w:val="237A5348"/>
    <w:rsid w:val="237D0994"/>
    <w:rsid w:val="2382254A"/>
    <w:rsid w:val="23856442"/>
    <w:rsid w:val="239314AB"/>
    <w:rsid w:val="23AE0B4E"/>
    <w:rsid w:val="23B245A0"/>
    <w:rsid w:val="23B24AE2"/>
    <w:rsid w:val="23B753E0"/>
    <w:rsid w:val="23BA5744"/>
    <w:rsid w:val="23BF71FF"/>
    <w:rsid w:val="23C87DB4"/>
    <w:rsid w:val="23C87E61"/>
    <w:rsid w:val="23D42CAA"/>
    <w:rsid w:val="23DA5DE6"/>
    <w:rsid w:val="23DD283A"/>
    <w:rsid w:val="23E6478B"/>
    <w:rsid w:val="23EE50C5"/>
    <w:rsid w:val="23F23130"/>
    <w:rsid w:val="23F46EA8"/>
    <w:rsid w:val="23F92711"/>
    <w:rsid w:val="23F93F53"/>
    <w:rsid w:val="23FA3D93"/>
    <w:rsid w:val="23FC3FAF"/>
    <w:rsid w:val="23FF7120"/>
    <w:rsid w:val="24030E99"/>
    <w:rsid w:val="240E783E"/>
    <w:rsid w:val="240F5A90"/>
    <w:rsid w:val="24166D02"/>
    <w:rsid w:val="24181502"/>
    <w:rsid w:val="241B061F"/>
    <w:rsid w:val="24204989"/>
    <w:rsid w:val="242078E6"/>
    <w:rsid w:val="24257F68"/>
    <w:rsid w:val="24275B83"/>
    <w:rsid w:val="24284DA4"/>
    <w:rsid w:val="242B4894"/>
    <w:rsid w:val="242D4168"/>
    <w:rsid w:val="24311EAA"/>
    <w:rsid w:val="24350A36"/>
    <w:rsid w:val="243C084F"/>
    <w:rsid w:val="243D186F"/>
    <w:rsid w:val="243D6C86"/>
    <w:rsid w:val="243E45C7"/>
    <w:rsid w:val="244427D2"/>
    <w:rsid w:val="24482D50"/>
    <w:rsid w:val="244B3E67"/>
    <w:rsid w:val="244C3532"/>
    <w:rsid w:val="244D0366"/>
    <w:rsid w:val="24572FDD"/>
    <w:rsid w:val="24593831"/>
    <w:rsid w:val="245D6E4F"/>
    <w:rsid w:val="246170B5"/>
    <w:rsid w:val="246F29D3"/>
    <w:rsid w:val="247022A7"/>
    <w:rsid w:val="247E0A3F"/>
    <w:rsid w:val="248C70E1"/>
    <w:rsid w:val="24910197"/>
    <w:rsid w:val="2491511F"/>
    <w:rsid w:val="24971B7A"/>
    <w:rsid w:val="24981981"/>
    <w:rsid w:val="249A1700"/>
    <w:rsid w:val="249D7540"/>
    <w:rsid w:val="24A02B8C"/>
    <w:rsid w:val="24B16B47"/>
    <w:rsid w:val="24B30B11"/>
    <w:rsid w:val="24BD22D1"/>
    <w:rsid w:val="24C148B0"/>
    <w:rsid w:val="24C22B02"/>
    <w:rsid w:val="24C525F3"/>
    <w:rsid w:val="24C7636B"/>
    <w:rsid w:val="24CC61B5"/>
    <w:rsid w:val="24CF3818"/>
    <w:rsid w:val="24D52D86"/>
    <w:rsid w:val="24DB2419"/>
    <w:rsid w:val="24DC2FA8"/>
    <w:rsid w:val="24DF4095"/>
    <w:rsid w:val="24E4577E"/>
    <w:rsid w:val="24E76353"/>
    <w:rsid w:val="24E95804"/>
    <w:rsid w:val="24EA62D3"/>
    <w:rsid w:val="24F00B4F"/>
    <w:rsid w:val="25001CF4"/>
    <w:rsid w:val="25021151"/>
    <w:rsid w:val="25080A70"/>
    <w:rsid w:val="25097A2E"/>
    <w:rsid w:val="25270BB7"/>
    <w:rsid w:val="25284930"/>
    <w:rsid w:val="252B1120"/>
    <w:rsid w:val="252B5F80"/>
    <w:rsid w:val="252C41B1"/>
    <w:rsid w:val="252F5CBE"/>
    <w:rsid w:val="25306EC1"/>
    <w:rsid w:val="2543028D"/>
    <w:rsid w:val="25430923"/>
    <w:rsid w:val="25445C0D"/>
    <w:rsid w:val="25461985"/>
    <w:rsid w:val="254C2D14"/>
    <w:rsid w:val="2551032A"/>
    <w:rsid w:val="25517DB9"/>
    <w:rsid w:val="25624527"/>
    <w:rsid w:val="25633CC8"/>
    <w:rsid w:val="25641E0C"/>
    <w:rsid w:val="256853E6"/>
    <w:rsid w:val="256C0CC0"/>
    <w:rsid w:val="256C6F12"/>
    <w:rsid w:val="256E67E6"/>
    <w:rsid w:val="257532E6"/>
    <w:rsid w:val="25753ECD"/>
    <w:rsid w:val="257638ED"/>
    <w:rsid w:val="257D2A53"/>
    <w:rsid w:val="2584633F"/>
    <w:rsid w:val="25875AFA"/>
    <w:rsid w:val="25893620"/>
    <w:rsid w:val="258B55EA"/>
    <w:rsid w:val="25910727"/>
    <w:rsid w:val="259676C3"/>
    <w:rsid w:val="259D70CC"/>
    <w:rsid w:val="259F45C7"/>
    <w:rsid w:val="25A62424"/>
    <w:rsid w:val="25AE708F"/>
    <w:rsid w:val="25B032A3"/>
    <w:rsid w:val="25B12B88"/>
    <w:rsid w:val="25B50C56"/>
    <w:rsid w:val="25B52667"/>
    <w:rsid w:val="25BA46A0"/>
    <w:rsid w:val="25BB0A6F"/>
    <w:rsid w:val="25BC2767"/>
    <w:rsid w:val="25BD776E"/>
    <w:rsid w:val="25C1725E"/>
    <w:rsid w:val="25C24D84"/>
    <w:rsid w:val="25D80104"/>
    <w:rsid w:val="25D93D16"/>
    <w:rsid w:val="25E876E0"/>
    <w:rsid w:val="25EE3EFB"/>
    <w:rsid w:val="25F13A3B"/>
    <w:rsid w:val="25F17D3C"/>
    <w:rsid w:val="25F628FE"/>
    <w:rsid w:val="25FE4476"/>
    <w:rsid w:val="260E3B25"/>
    <w:rsid w:val="26123616"/>
    <w:rsid w:val="26145F14"/>
    <w:rsid w:val="261521C7"/>
    <w:rsid w:val="261C6242"/>
    <w:rsid w:val="261E645E"/>
    <w:rsid w:val="262308A7"/>
    <w:rsid w:val="26247945"/>
    <w:rsid w:val="26272215"/>
    <w:rsid w:val="26282E39"/>
    <w:rsid w:val="262A3886"/>
    <w:rsid w:val="262D7B45"/>
    <w:rsid w:val="263A491A"/>
    <w:rsid w:val="264056AC"/>
    <w:rsid w:val="264D28A0"/>
    <w:rsid w:val="265A45D2"/>
    <w:rsid w:val="265C0D35"/>
    <w:rsid w:val="2668592C"/>
    <w:rsid w:val="266876DA"/>
    <w:rsid w:val="266B71CA"/>
    <w:rsid w:val="2677280B"/>
    <w:rsid w:val="267C27E8"/>
    <w:rsid w:val="26800618"/>
    <w:rsid w:val="26881050"/>
    <w:rsid w:val="2688125E"/>
    <w:rsid w:val="268830E0"/>
    <w:rsid w:val="26963D4E"/>
    <w:rsid w:val="26B02E2F"/>
    <w:rsid w:val="26B4502E"/>
    <w:rsid w:val="26B91C40"/>
    <w:rsid w:val="26BE19EF"/>
    <w:rsid w:val="26C03072"/>
    <w:rsid w:val="26C3198C"/>
    <w:rsid w:val="26CE0EB6"/>
    <w:rsid w:val="26CF59AB"/>
    <w:rsid w:val="26CF7759"/>
    <w:rsid w:val="26D20FF7"/>
    <w:rsid w:val="26D23572"/>
    <w:rsid w:val="26E52AD8"/>
    <w:rsid w:val="26EC0FC9"/>
    <w:rsid w:val="26F07CA0"/>
    <w:rsid w:val="26F50752"/>
    <w:rsid w:val="26FB26FB"/>
    <w:rsid w:val="27077C17"/>
    <w:rsid w:val="270F24F9"/>
    <w:rsid w:val="27184CEA"/>
    <w:rsid w:val="27194E78"/>
    <w:rsid w:val="271C4A6F"/>
    <w:rsid w:val="271F27F9"/>
    <w:rsid w:val="27282D2C"/>
    <w:rsid w:val="27343A60"/>
    <w:rsid w:val="27386B1B"/>
    <w:rsid w:val="273B094A"/>
    <w:rsid w:val="27402404"/>
    <w:rsid w:val="274243CE"/>
    <w:rsid w:val="27441EF5"/>
    <w:rsid w:val="274A3283"/>
    <w:rsid w:val="274E53E9"/>
    <w:rsid w:val="275639D6"/>
    <w:rsid w:val="275814FC"/>
    <w:rsid w:val="275859A0"/>
    <w:rsid w:val="275B2A8B"/>
    <w:rsid w:val="275B723E"/>
    <w:rsid w:val="275C602C"/>
    <w:rsid w:val="27651060"/>
    <w:rsid w:val="27675BE3"/>
    <w:rsid w:val="276E106B"/>
    <w:rsid w:val="2772678C"/>
    <w:rsid w:val="277D7BBD"/>
    <w:rsid w:val="277E547B"/>
    <w:rsid w:val="278F197C"/>
    <w:rsid w:val="27910EB2"/>
    <w:rsid w:val="27914CC8"/>
    <w:rsid w:val="27985C5A"/>
    <w:rsid w:val="27987D44"/>
    <w:rsid w:val="27B178DB"/>
    <w:rsid w:val="27B21B89"/>
    <w:rsid w:val="27B222AE"/>
    <w:rsid w:val="27B5694E"/>
    <w:rsid w:val="27B70919"/>
    <w:rsid w:val="27BF3F2A"/>
    <w:rsid w:val="27C366E8"/>
    <w:rsid w:val="27CE5C62"/>
    <w:rsid w:val="27D05E68"/>
    <w:rsid w:val="27D33279"/>
    <w:rsid w:val="27E00166"/>
    <w:rsid w:val="27E674F0"/>
    <w:rsid w:val="27EB24A8"/>
    <w:rsid w:val="27EB411E"/>
    <w:rsid w:val="27F136FF"/>
    <w:rsid w:val="27F82CDF"/>
    <w:rsid w:val="27FC3A2D"/>
    <w:rsid w:val="27FD02F5"/>
    <w:rsid w:val="280254F9"/>
    <w:rsid w:val="280451E0"/>
    <w:rsid w:val="2805074B"/>
    <w:rsid w:val="280A3758"/>
    <w:rsid w:val="280C22E7"/>
    <w:rsid w:val="281126D2"/>
    <w:rsid w:val="281318C7"/>
    <w:rsid w:val="28131A9F"/>
    <w:rsid w:val="282433A0"/>
    <w:rsid w:val="28277120"/>
    <w:rsid w:val="282C3046"/>
    <w:rsid w:val="283261F1"/>
    <w:rsid w:val="28355CE1"/>
    <w:rsid w:val="283C20C5"/>
    <w:rsid w:val="283D64A2"/>
    <w:rsid w:val="28416434"/>
    <w:rsid w:val="284A74CB"/>
    <w:rsid w:val="284B22D8"/>
    <w:rsid w:val="285E08FB"/>
    <w:rsid w:val="28643ED1"/>
    <w:rsid w:val="2864429F"/>
    <w:rsid w:val="28667C49"/>
    <w:rsid w:val="286A598B"/>
    <w:rsid w:val="286F11F3"/>
    <w:rsid w:val="28866677"/>
    <w:rsid w:val="288E455E"/>
    <w:rsid w:val="289B799F"/>
    <w:rsid w:val="289D5315"/>
    <w:rsid w:val="289F03B8"/>
    <w:rsid w:val="28A30E9D"/>
    <w:rsid w:val="28A36949"/>
    <w:rsid w:val="28A644E9"/>
    <w:rsid w:val="28B704A4"/>
    <w:rsid w:val="28BB12F1"/>
    <w:rsid w:val="28C11DAA"/>
    <w:rsid w:val="28C84508"/>
    <w:rsid w:val="28D265E4"/>
    <w:rsid w:val="28D64DCE"/>
    <w:rsid w:val="28E76FDC"/>
    <w:rsid w:val="28EB280F"/>
    <w:rsid w:val="28F17E5A"/>
    <w:rsid w:val="28F45255"/>
    <w:rsid w:val="28FB65E3"/>
    <w:rsid w:val="29017971"/>
    <w:rsid w:val="2903193C"/>
    <w:rsid w:val="29053FDD"/>
    <w:rsid w:val="290C194A"/>
    <w:rsid w:val="290C4C94"/>
    <w:rsid w:val="29107616"/>
    <w:rsid w:val="291D0C4F"/>
    <w:rsid w:val="291D4B60"/>
    <w:rsid w:val="292673D8"/>
    <w:rsid w:val="2939710B"/>
    <w:rsid w:val="293D309F"/>
    <w:rsid w:val="294423CE"/>
    <w:rsid w:val="2950508C"/>
    <w:rsid w:val="2956655C"/>
    <w:rsid w:val="29580844"/>
    <w:rsid w:val="295D54F0"/>
    <w:rsid w:val="295E3016"/>
    <w:rsid w:val="29600D5C"/>
    <w:rsid w:val="296A5517"/>
    <w:rsid w:val="296D6FCD"/>
    <w:rsid w:val="29760805"/>
    <w:rsid w:val="297A7E50"/>
    <w:rsid w:val="29806A9C"/>
    <w:rsid w:val="298F4ADE"/>
    <w:rsid w:val="29910CF5"/>
    <w:rsid w:val="299971E9"/>
    <w:rsid w:val="299A22A0"/>
    <w:rsid w:val="299D2868"/>
    <w:rsid w:val="29A368F7"/>
    <w:rsid w:val="29AE18A7"/>
    <w:rsid w:val="29AE5D4B"/>
    <w:rsid w:val="29B637AA"/>
    <w:rsid w:val="29B91531"/>
    <w:rsid w:val="29BD1AEA"/>
    <w:rsid w:val="29C015DB"/>
    <w:rsid w:val="29C03740"/>
    <w:rsid w:val="29C72969"/>
    <w:rsid w:val="29CE1046"/>
    <w:rsid w:val="29D15E68"/>
    <w:rsid w:val="29D56A0C"/>
    <w:rsid w:val="29DC2793"/>
    <w:rsid w:val="29E11888"/>
    <w:rsid w:val="29E15FE8"/>
    <w:rsid w:val="29E3170A"/>
    <w:rsid w:val="29E4351B"/>
    <w:rsid w:val="29E835CB"/>
    <w:rsid w:val="29F04FFF"/>
    <w:rsid w:val="29FA4AED"/>
    <w:rsid w:val="2A0616E3"/>
    <w:rsid w:val="2A0E120D"/>
    <w:rsid w:val="2A151926"/>
    <w:rsid w:val="2A1831C5"/>
    <w:rsid w:val="2A186EBC"/>
    <w:rsid w:val="2A1E357C"/>
    <w:rsid w:val="2A222295"/>
    <w:rsid w:val="2A2C0A1E"/>
    <w:rsid w:val="2A3049B2"/>
    <w:rsid w:val="2A350F5A"/>
    <w:rsid w:val="2A3A7521"/>
    <w:rsid w:val="2A455ED8"/>
    <w:rsid w:val="2A467631"/>
    <w:rsid w:val="2A480FED"/>
    <w:rsid w:val="2A510485"/>
    <w:rsid w:val="2A5A03AF"/>
    <w:rsid w:val="2A5C08E2"/>
    <w:rsid w:val="2A5F1650"/>
    <w:rsid w:val="2A5F28B7"/>
    <w:rsid w:val="2A6428F1"/>
    <w:rsid w:val="2A663F30"/>
    <w:rsid w:val="2A6B4835"/>
    <w:rsid w:val="2A6D1762"/>
    <w:rsid w:val="2A720B27"/>
    <w:rsid w:val="2A7D127A"/>
    <w:rsid w:val="2A856A1C"/>
    <w:rsid w:val="2A8B1BE9"/>
    <w:rsid w:val="2A950CB9"/>
    <w:rsid w:val="2A97233B"/>
    <w:rsid w:val="2A9E122B"/>
    <w:rsid w:val="2A9E191C"/>
    <w:rsid w:val="2A9F164A"/>
    <w:rsid w:val="2A9F38E6"/>
    <w:rsid w:val="2AA902C1"/>
    <w:rsid w:val="2AA9206F"/>
    <w:rsid w:val="2AB00E6E"/>
    <w:rsid w:val="2AB40F49"/>
    <w:rsid w:val="2ABD4763"/>
    <w:rsid w:val="2ABF1892"/>
    <w:rsid w:val="2AC46EA9"/>
    <w:rsid w:val="2AC84BEB"/>
    <w:rsid w:val="2ACA6CA5"/>
    <w:rsid w:val="2ACB6D8B"/>
    <w:rsid w:val="2ADA18D3"/>
    <w:rsid w:val="2AE01EFD"/>
    <w:rsid w:val="2AE35581"/>
    <w:rsid w:val="2AE839DA"/>
    <w:rsid w:val="2AE83B8F"/>
    <w:rsid w:val="2AE92DE3"/>
    <w:rsid w:val="2AF27EBA"/>
    <w:rsid w:val="2AF4502B"/>
    <w:rsid w:val="2AFC0FCB"/>
    <w:rsid w:val="2B05115E"/>
    <w:rsid w:val="2B0D0850"/>
    <w:rsid w:val="2B347656"/>
    <w:rsid w:val="2B395AE8"/>
    <w:rsid w:val="2B3F1B5C"/>
    <w:rsid w:val="2B4008AA"/>
    <w:rsid w:val="2B4104F9"/>
    <w:rsid w:val="2B4324C3"/>
    <w:rsid w:val="2B4A6A01"/>
    <w:rsid w:val="2B51698E"/>
    <w:rsid w:val="2B563FA5"/>
    <w:rsid w:val="2B593A95"/>
    <w:rsid w:val="2B5E2B0A"/>
    <w:rsid w:val="2B607D2C"/>
    <w:rsid w:val="2B6A1814"/>
    <w:rsid w:val="2B6A19C9"/>
    <w:rsid w:val="2B6D775F"/>
    <w:rsid w:val="2B6E4F01"/>
    <w:rsid w:val="2B7A2CC6"/>
    <w:rsid w:val="2B7B3A0B"/>
    <w:rsid w:val="2B7B7EAF"/>
    <w:rsid w:val="2B7F68C6"/>
    <w:rsid w:val="2B822FEC"/>
    <w:rsid w:val="2B8235DF"/>
    <w:rsid w:val="2B856638"/>
    <w:rsid w:val="2B8723B0"/>
    <w:rsid w:val="2B8A00F2"/>
    <w:rsid w:val="2B8E7BE2"/>
    <w:rsid w:val="2B8F74B6"/>
    <w:rsid w:val="2B954300"/>
    <w:rsid w:val="2B9D7E25"/>
    <w:rsid w:val="2BA20325"/>
    <w:rsid w:val="2BA42EFC"/>
    <w:rsid w:val="2BA51F9A"/>
    <w:rsid w:val="2BA72A52"/>
    <w:rsid w:val="2BA83950"/>
    <w:rsid w:val="2BB533C1"/>
    <w:rsid w:val="2BB60EE7"/>
    <w:rsid w:val="2BCB017A"/>
    <w:rsid w:val="2BCF3D57"/>
    <w:rsid w:val="2BDB4456"/>
    <w:rsid w:val="2BDE3F9A"/>
    <w:rsid w:val="2BE02C74"/>
    <w:rsid w:val="2BE07D12"/>
    <w:rsid w:val="2BE313BE"/>
    <w:rsid w:val="2BF11F1F"/>
    <w:rsid w:val="2BF51A0F"/>
    <w:rsid w:val="2BFB2D9E"/>
    <w:rsid w:val="2BFF63EA"/>
    <w:rsid w:val="2C002162"/>
    <w:rsid w:val="2C041C52"/>
    <w:rsid w:val="2C0B6D4E"/>
    <w:rsid w:val="2C1A7BC2"/>
    <w:rsid w:val="2C267E1B"/>
    <w:rsid w:val="2C2B5431"/>
    <w:rsid w:val="2C302A48"/>
    <w:rsid w:val="2C351E0C"/>
    <w:rsid w:val="2C3C763E"/>
    <w:rsid w:val="2C42277B"/>
    <w:rsid w:val="2C463234"/>
    <w:rsid w:val="2C4C35F9"/>
    <w:rsid w:val="2C574478"/>
    <w:rsid w:val="2C5936C8"/>
    <w:rsid w:val="2C5B775C"/>
    <w:rsid w:val="2C771D6E"/>
    <w:rsid w:val="2C820DC9"/>
    <w:rsid w:val="2C932FD6"/>
    <w:rsid w:val="2C934D84"/>
    <w:rsid w:val="2C950AFD"/>
    <w:rsid w:val="2CA64AB8"/>
    <w:rsid w:val="2CAB47C4"/>
    <w:rsid w:val="2CB847EB"/>
    <w:rsid w:val="2CBA540D"/>
    <w:rsid w:val="2CBB49CC"/>
    <w:rsid w:val="2CBC077F"/>
    <w:rsid w:val="2CC2469D"/>
    <w:rsid w:val="2CCC3583"/>
    <w:rsid w:val="2CDA259B"/>
    <w:rsid w:val="2CE64163"/>
    <w:rsid w:val="2CE83322"/>
    <w:rsid w:val="2CED0939"/>
    <w:rsid w:val="2CF9518B"/>
    <w:rsid w:val="2CF9552F"/>
    <w:rsid w:val="2CFA3055"/>
    <w:rsid w:val="2D03015C"/>
    <w:rsid w:val="2D061DEB"/>
    <w:rsid w:val="2D067C4C"/>
    <w:rsid w:val="2D1934DC"/>
    <w:rsid w:val="2D1E6D44"/>
    <w:rsid w:val="2D2B4E16"/>
    <w:rsid w:val="2D2D19CD"/>
    <w:rsid w:val="2D2F0029"/>
    <w:rsid w:val="2D306F11"/>
    <w:rsid w:val="2D331CD5"/>
    <w:rsid w:val="2D340315"/>
    <w:rsid w:val="2D360531"/>
    <w:rsid w:val="2D371BB4"/>
    <w:rsid w:val="2D3B78F6"/>
    <w:rsid w:val="2D3F06D5"/>
    <w:rsid w:val="2D4D2232"/>
    <w:rsid w:val="2D4D7629"/>
    <w:rsid w:val="2D5145A8"/>
    <w:rsid w:val="2D56396E"/>
    <w:rsid w:val="2D5C5ABE"/>
    <w:rsid w:val="2D5C786C"/>
    <w:rsid w:val="2D60735C"/>
    <w:rsid w:val="2D684463"/>
    <w:rsid w:val="2D7626DC"/>
    <w:rsid w:val="2D855015"/>
    <w:rsid w:val="2D863EDD"/>
    <w:rsid w:val="2D947006"/>
    <w:rsid w:val="2DA74F8B"/>
    <w:rsid w:val="2DAF2092"/>
    <w:rsid w:val="2DB9081B"/>
    <w:rsid w:val="2DBD47AF"/>
    <w:rsid w:val="2DD85925"/>
    <w:rsid w:val="2DDC6A88"/>
    <w:rsid w:val="2DE24215"/>
    <w:rsid w:val="2DE65D89"/>
    <w:rsid w:val="2DEA5ED6"/>
    <w:rsid w:val="2DF06932"/>
    <w:rsid w:val="2DF45CF7"/>
    <w:rsid w:val="2DF61A6F"/>
    <w:rsid w:val="2DF67CC1"/>
    <w:rsid w:val="2DF75AE8"/>
    <w:rsid w:val="2E04428C"/>
    <w:rsid w:val="2E083758"/>
    <w:rsid w:val="2E1A3139"/>
    <w:rsid w:val="2E1D349F"/>
    <w:rsid w:val="2E241309"/>
    <w:rsid w:val="2E25717B"/>
    <w:rsid w:val="2E271C28"/>
    <w:rsid w:val="2E2B1457"/>
    <w:rsid w:val="2E2B2C2B"/>
    <w:rsid w:val="2E2E2FB7"/>
    <w:rsid w:val="2E2E453D"/>
    <w:rsid w:val="2E330928"/>
    <w:rsid w:val="2E332B84"/>
    <w:rsid w:val="2E365952"/>
    <w:rsid w:val="2E406C74"/>
    <w:rsid w:val="2E527CD7"/>
    <w:rsid w:val="2E5C5D76"/>
    <w:rsid w:val="2E731311"/>
    <w:rsid w:val="2E782484"/>
    <w:rsid w:val="2E7A26A0"/>
    <w:rsid w:val="2E7C01C6"/>
    <w:rsid w:val="2E824B5A"/>
    <w:rsid w:val="2E82647A"/>
    <w:rsid w:val="2E840E29"/>
    <w:rsid w:val="2E8A1592"/>
    <w:rsid w:val="2E905A1F"/>
    <w:rsid w:val="2E9D1EEA"/>
    <w:rsid w:val="2E9F5C62"/>
    <w:rsid w:val="2EAE40F8"/>
    <w:rsid w:val="2EB56403"/>
    <w:rsid w:val="2EB8351D"/>
    <w:rsid w:val="2EBD4542"/>
    <w:rsid w:val="2EC102CF"/>
    <w:rsid w:val="2EC612D6"/>
    <w:rsid w:val="2ECB4CA9"/>
    <w:rsid w:val="2ECF1A58"/>
    <w:rsid w:val="2EE14C9D"/>
    <w:rsid w:val="2EE1627B"/>
    <w:rsid w:val="2EE5675B"/>
    <w:rsid w:val="2EED4C20"/>
    <w:rsid w:val="2EF108B8"/>
    <w:rsid w:val="2EF27B0B"/>
    <w:rsid w:val="2EF85E1E"/>
    <w:rsid w:val="2F0401BB"/>
    <w:rsid w:val="2F067253"/>
    <w:rsid w:val="2F067A44"/>
    <w:rsid w:val="2F077C8B"/>
    <w:rsid w:val="2F0B32F8"/>
    <w:rsid w:val="2F0E5A28"/>
    <w:rsid w:val="2F117A25"/>
    <w:rsid w:val="2F16265C"/>
    <w:rsid w:val="2F1877C3"/>
    <w:rsid w:val="2F2D05FC"/>
    <w:rsid w:val="2F3740ED"/>
    <w:rsid w:val="2F382935"/>
    <w:rsid w:val="2F394DAF"/>
    <w:rsid w:val="2F3C6F86"/>
    <w:rsid w:val="2F3E34A4"/>
    <w:rsid w:val="2F3E547B"/>
    <w:rsid w:val="2F4308A5"/>
    <w:rsid w:val="2F451D68"/>
    <w:rsid w:val="2F4A524B"/>
    <w:rsid w:val="2F513423"/>
    <w:rsid w:val="2F527179"/>
    <w:rsid w:val="2F551796"/>
    <w:rsid w:val="2F561C30"/>
    <w:rsid w:val="2F570620"/>
    <w:rsid w:val="2F5841ED"/>
    <w:rsid w:val="2F61560E"/>
    <w:rsid w:val="2F6A0915"/>
    <w:rsid w:val="2F6A44C2"/>
    <w:rsid w:val="2F6B22AB"/>
    <w:rsid w:val="2F7610B9"/>
    <w:rsid w:val="2F7736F3"/>
    <w:rsid w:val="2F83700A"/>
    <w:rsid w:val="2F930885"/>
    <w:rsid w:val="2F94153F"/>
    <w:rsid w:val="2F984477"/>
    <w:rsid w:val="2F985BB8"/>
    <w:rsid w:val="2F9C6646"/>
    <w:rsid w:val="2F9E23BE"/>
    <w:rsid w:val="2FA71273"/>
    <w:rsid w:val="2FAA2B11"/>
    <w:rsid w:val="2FB361F0"/>
    <w:rsid w:val="2FB86512"/>
    <w:rsid w:val="2FBD4D02"/>
    <w:rsid w:val="2FC33BD3"/>
    <w:rsid w:val="2FC75471"/>
    <w:rsid w:val="2FCC2A87"/>
    <w:rsid w:val="2FD22068"/>
    <w:rsid w:val="2FDA54F7"/>
    <w:rsid w:val="2FE204FD"/>
    <w:rsid w:val="2FE603CD"/>
    <w:rsid w:val="2FEC137B"/>
    <w:rsid w:val="2FEC412C"/>
    <w:rsid w:val="2FEF1F17"/>
    <w:rsid w:val="2FFB15BE"/>
    <w:rsid w:val="2FFB3907"/>
    <w:rsid w:val="2FFD5337"/>
    <w:rsid w:val="30024B76"/>
    <w:rsid w:val="300527EC"/>
    <w:rsid w:val="30054C8E"/>
    <w:rsid w:val="300E12F2"/>
    <w:rsid w:val="3010717A"/>
    <w:rsid w:val="3015041B"/>
    <w:rsid w:val="3018450B"/>
    <w:rsid w:val="30202DD3"/>
    <w:rsid w:val="30244E07"/>
    <w:rsid w:val="30326609"/>
    <w:rsid w:val="303643A5"/>
    <w:rsid w:val="30463342"/>
    <w:rsid w:val="3049232A"/>
    <w:rsid w:val="30566D3E"/>
    <w:rsid w:val="306B6744"/>
    <w:rsid w:val="306C431F"/>
    <w:rsid w:val="30713277"/>
    <w:rsid w:val="30727505"/>
    <w:rsid w:val="307D4ABA"/>
    <w:rsid w:val="3087105C"/>
    <w:rsid w:val="308A13EE"/>
    <w:rsid w:val="309243ED"/>
    <w:rsid w:val="30962A4A"/>
    <w:rsid w:val="30A532D8"/>
    <w:rsid w:val="30A6152A"/>
    <w:rsid w:val="30AF4D78"/>
    <w:rsid w:val="30B17ECF"/>
    <w:rsid w:val="30B33C47"/>
    <w:rsid w:val="30C16223"/>
    <w:rsid w:val="30C714A1"/>
    <w:rsid w:val="30C978F2"/>
    <w:rsid w:val="30CE282F"/>
    <w:rsid w:val="30DC1326"/>
    <w:rsid w:val="30DC319E"/>
    <w:rsid w:val="30E15E23"/>
    <w:rsid w:val="30FC0F59"/>
    <w:rsid w:val="31052870"/>
    <w:rsid w:val="31097D0B"/>
    <w:rsid w:val="310B3EA9"/>
    <w:rsid w:val="310D3357"/>
    <w:rsid w:val="311441D7"/>
    <w:rsid w:val="31181CFC"/>
    <w:rsid w:val="311B750B"/>
    <w:rsid w:val="31215055"/>
    <w:rsid w:val="31232B7B"/>
    <w:rsid w:val="31280191"/>
    <w:rsid w:val="312928DF"/>
    <w:rsid w:val="312D54CE"/>
    <w:rsid w:val="31327760"/>
    <w:rsid w:val="31352B82"/>
    <w:rsid w:val="31354017"/>
    <w:rsid w:val="313B6BEC"/>
    <w:rsid w:val="31407EA7"/>
    <w:rsid w:val="314B5736"/>
    <w:rsid w:val="315216B2"/>
    <w:rsid w:val="31550BF3"/>
    <w:rsid w:val="31605B7D"/>
    <w:rsid w:val="316E7B6E"/>
    <w:rsid w:val="3179422E"/>
    <w:rsid w:val="317A24C2"/>
    <w:rsid w:val="31815AF3"/>
    <w:rsid w:val="318A49A8"/>
    <w:rsid w:val="319C29C7"/>
    <w:rsid w:val="319E41A3"/>
    <w:rsid w:val="31B22151"/>
    <w:rsid w:val="31B71515"/>
    <w:rsid w:val="31B934DF"/>
    <w:rsid w:val="31C939C4"/>
    <w:rsid w:val="31D04895"/>
    <w:rsid w:val="31DE2EB7"/>
    <w:rsid w:val="31DE5041"/>
    <w:rsid w:val="31E0281A"/>
    <w:rsid w:val="31E16592"/>
    <w:rsid w:val="31E35BA3"/>
    <w:rsid w:val="31E621E0"/>
    <w:rsid w:val="31E77F3D"/>
    <w:rsid w:val="31EC1380"/>
    <w:rsid w:val="31EC7411"/>
    <w:rsid w:val="31EF6F84"/>
    <w:rsid w:val="31F523AF"/>
    <w:rsid w:val="31F52564"/>
    <w:rsid w:val="31F6203D"/>
    <w:rsid w:val="31FD161E"/>
    <w:rsid w:val="32004C6A"/>
    <w:rsid w:val="320329AC"/>
    <w:rsid w:val="3203475A"/>
    <w:rsid w:val="32086B6D"/>
    <w:rsid w:val="320C1861"/>
    <w:rsid w:val="320F30FF"/>
    <w:rsid w:val="321B1AA4"/>
    <w:rsid w:val="3226005B"/>
    <w:rsid w:val="32311DE8"/>
    <w:rsid w:val="3239017C"/>
    <w:rsid w:val="32396A52"/>
    <w:rsid w:val="324234D5"/>
    <w:rsid w:val="324A65F0"/>
    <w:rsid w:val="324B19B3"/>
    <w:rsid w:val="324C0EAC"/>
    <w:rsid w:val="324E1E79"/>
    <w:rsid w:val="324F665F"/>
    <w:rsid w:val="3255145A"/>
    <w:rsid w:val="32584AA6"/>
    <w:rsid w:val="32586854"/>
    <w:rsid w:val="325A6415"/>
    <w:rsid w:val="32662F17"/>
    <w:rsid w:val="326E6B2C"/>
    <w:rsid w:val="326E7E26"/>
    <w:rsid w:val="326F3B9E"/>
    <w:rsid w:val="32723FB1"/>
    <w:rsid w:val="32805DAB"/>
    <w:rsid w:val="328238D1"/>
    <w:rsid w:val="328525BE"/>
    <w:rsid w:val="328B4E7C"/>
    <w:rsid w:val="328E671A"/>
    <w:rsid w:val="32965FE3"/>
    <w:rsid w:val="32996A63"/>
    <w:rsid w:val="329B1AB6"/>
    <w:rsid w:val="32A80A7D"/>
    <w:rsid w:val="32AB107A"/>
    <w:rsid w:val="32AF043E"/>
    <w:rsid w:val="32B015EE"/>
    <w:rsid w:val="32B37F2E"/>
    <w:rsid w:val="32C043F9"/>
    <w:rsid w:val="32C71C2C"/>
    <w:rsid w:val="32C86926"/>
    <w:rsid w:val="32CF5252"/>
    <w:rsid w:val="32D228C1"/>
    <w:rsid w:val="32D33B45"/>
    <w:rsid w:val="32D83E39"/>
    <w:rsid w:val="32D970F4"/>
    <w:rsid w:val="32DA370D"/>
    <w:rsid w:val="32E427DE"/>
    <w:rsid w:val="32E620B2"/>
    <w:rsid w:val="32E7407C"/>
    <w:rsid w:val="32EB3B6C"/>
    <w:rsid w:val="32F101C3"/>
    <w:rsid w:val="32F10A57"/>
    <w:rsid w:val="32F36890"/>
    <w:rsid w:val="32F95B01"/>
    <w:rsid w:val="32FB3683"/>
    <w:rsid w:val="33003996"/>
    <w:rsid w:val="33057AA5"/>
    <w:rsid w:val="330B38C7"/>
    <w:rsid w:val="330F332F"/>
    <w:rsid w:val="33131E56"/>
    <w:rsid w:val="33242BDA"/>
    <w:rsid w:val="33332E1D"/>
    <w:rsid w:val="33337A76"/>
    <w:rsid w:val="33437504"/>
    <w:rsid w:val="334E005B"/>
    <w:rsid w:val="334E5EA9"/>
    <w:rsid w:val="33557238"/>
    <w:rsid w:val="3359251C"/>
    <w:rsid w:val="335F00B6"/>
    <w:rsid w:val="33664FA1"/>
    <w:rsid w:val="33753436"/>
    <w:rsid w:val="337F2D3E"/>
    <w:rsid w:val="337F42B4"/>
    <w:rsid w:val="3381002D"/>
    <w:rsid w:val="33811DDB"/>
    <w:rsid w:val="339273DB"/>
    <w:rsid w:val="33997B48"/>
    <w:rsid w:val="339A10EE"/>
    <w:rsid w:val="33A06705"/>
    <w:rsid w:val="33AE3659"/>
    <w:rsid w:val="33C17C11"/>
    <w:rsid w:val="33C323F3"/>
    <w:rsid w:val="33C90654"/>
    <w:rsid w:val="33D12D62"/>
    <w:rsid w:val="33DA14EB"/>
    <w:rsid w:val="33E00844"/>
    <w:rsid w:val="33E159F9"/>
    <w:rsid w:val="33E41473"/>
    <w:rsid w:val="33E87093"/>
    <w:rsid w:val="33ED50F0"/>
    <w:rsid w:val="33EF2FCD"/>
    <w:rsid w:val="33F425AD"/>
    <w:rsid w:val="33F61C82"/>
    <w:rsid w:val="33F64577"/>
    <w:rsid w:val="33FD6212"/>
    <w:rsid w:val="34054394"/>
    <w:rsid w:val="340B78F6"/>
    <w:rsid w:val="340F037E"/>
    <w:rsid w:val="3411315F"/>
    <w:rsid w:val="342176A3"/>
    <w:rsid w:val="342310E4"/>
    <w:rsid w:val="342509B8"/>
    <w:rsid w:val="342A4220"/>
    <w:rsid w:val="342D4AAC"/>
    <w:rsid w:val="34311A53"/>
    <w:rsid w:val="34381F52"/>
    <w:rsid w:val="34390907"/>
    <w:rsid w:val="34394463"/>
    <w:rsid w:val="343B467F"/>
    <w:rsid w:val="34475DD4"/>
    <w:rsid w:val="345179FF"/>
    <w:rsid w:val="34527549"/>
    <w:rsid w:val="34586FDF"/>
    <w:rsid w:val="34596954"/>
    <w:rsid w:val="345B182B"/>
    <w:rsid w:val="346C285D"/>
    <w:rsid w:val="346C65E7"/>
    <w:rsid w:val="347E631A"/>
    <w:rsid w:val="348A3678"/>
    <w:rsid w:val="348C6C89"/>
    <w:rsid w:val="348E2A01"/>
    <w:rsid w:val="348E47AF"/>
    <w:rsid w:val="34983880"/>
    <w:rsid w:val="34987BD3"/>
    <w:rsid w:val="3499149E"/>
    <w:rsid w:val="34993154"/>
    <w:rsid w:val="349B511E"/>
    <w:rsid w:val="349C377A"/>
    <w:rsid w:val="34A00617"/>
    <w:rsid w:val="34A00995"/>
    <w:rsid w:val="34A57D4B"/>
    <w:rsid w:val="34A73A14"/>
    <w:rsid w:val="34A75DD3"/>
    <w:rsid w:val="34AA7CA0"/>
    <w:rsid w:val="34B306BA"/>
    <w:rsid w:val="34B63D06"/>
    <w:rsid w:val="34B65AB4"/>
    <w:rsid w:val="34BA5D3A"/>
    <w:rsid w:val="34BB30CA"/>
    <w:rsid w:val="34BC5B05"/>
    <w:rsid w:val="34C04B85"/>
    <w:rsid w:val="34C401D1"/>
    <w:rsid w:val="34CF439C"/>
    <w:rsid w:val="34D67F04"/>
    <w:rsid w:val="34D90058"/>
    <w:rsid w:val="34D92FE0"/>
    <w:rsid w:val="34DB376C"/>
    <w:rsid w:val="34E16FD5"/>
    <w:rsid w:val="34E82FA8"/>
    <w:rsid w:val="34E97C37"/>
    <w:rsid w:val="34F36D08"/>
    <w:rsid w:val="34F373ED"/>
    <w:rsid w:val="34FA1E45"/>
    <w:rsid w:val="350E769E"/>
    <w:rsid w:val="35123632"/>
    <w:rsid w:val="351C000D"/>
    <w:rsid w:val="351F18AB"/>
    <w:rsid w:val="351F261B"/>
    <w:rsid w:val="35202E8D"/>
    <w:rsid w:val="352944D8"/>
    <w:rsid w:val="352E5F92"/>
    <w:rsid w:val="3537176B"/>
    <w:rsid w:val="35374E47"/>
    <w:rsid w:val="353C245D"/>
    <w:rsid w:val="3558300F"/>
    <w:rsid w:val="355C48AD"/>
    <w:rsid w:val="35613C72"/>
    <w:rsid w:val="35614940"/>
    <w:rsid w:val="35684F0E"/>
    <w:rsid w:val="35690D78"/>
    <w:rsid w:val="356B689E"/>
    <w:rsid w:val="35700359"/>
    <w:rsid w:val="35812566"/>
    <w:rsid w:val="35860AB3"/>
    <w:rsid w:val="358B0CEF"/>
    <w:rsid w:val="358D0F0B"/>
    <w:rsid w:val="358E0A52"/>
    <w:rsid w:val="358F6692"/>
    <w:rsid w:val="35966E67"/>
    <w:rsid w:val="359D214C"/>
    <w:rsid w:val="35A746BE"/>
    <w:rsid w:val="35B04BF9"/>
    <w:rsid w:val="35BD4BE3"/>
    <w:rsid w:val="35C30488"/>
    <w:rsid w:val="35C44201"/>
    <w:rsid w:val="35C83CF1"/>
    <w:rsid w:val="35D24B6F"/>
    <w:rsid w:val="35D323B6"/>
    <w:rsid w:val="35E548A3"/>
    <w:rsid w:val="35E87EEF"/>
    <w:rsid w:val="35EB79DF"/>
    <w:rsid w:val="35EC42C5"/>
    <w:rsid w:val="35ED19A9"/>
    <w:rsid w:val="35EF127D"/>
    <w:rsid w:val="35EF44A1"/>
    <w:rsid w:val="35EF74CF"/>
    <w:rsid w:val="35F23CC2"/>
    <w:rsid w:val="35F46DD1"/>
    <w:rsid w:val="35FE5964"/>
    <w:rsid w:val="360016DD"/>
    <w:rsid w:val="36033620"/>
    <w:rsid w:val="36077491"/>
    <w:rsid w:val="360905B2"/>
    <w:rsid w:val="360A3AE4"/>
    <w:rsid w:val="360F7196"/>
    <w:rsid w:val="361239A0"/>
    <w:rsid w:val="3627628E"/>
    <w:rsid w:val="36276456"/>
    <w:rsid w:val="36296D8F"/>
    <w:rsid w:val="362D1DA6"/>
    <w:rsid w:val="3632560E"/>
    <w:rsid w:val="36357709"/>
    <w:rsid w:val="36395B52"/>
    <w:rsid w:val="363C5FCD"/>
    <w:rsid w:val="363D5FAB"/>
    <w:rsid w:val="364D41F6"/>
    <w:rsid w:val="364F61C0"/>
    <w:rsid w:val="36545584"/>
    <w:rsid w:val="36590DED"/>
    <w:rsid w:val="365929CF"/>
    <w:rsid w:val="36592B9B"/>
    <w:rsid w:val="365E28A7"/>
    <w:rsid w:val="36657792"/>
    <w:rsid w:val="36683C05"/>
    <w:rsid w:val="3668796C"/>
    <w:rsid w:val="366B2CE5"/>
    <w:rsid w:val="366F0F07"/>
    <w:rsid w:val="367128E9"/>
    <w:rsid w:val="36723C5D"/>
    <w:rsid w:val="36726387"/>
    <w:rsid w:val="367D7B42"/>
    <w:rsid w:val="36835E6A"/>
    <w:rsid w:val="36853887"/>
    <w:rsid w:val="36857E34"/>
    <w:rsid w:val="368A544A"/>
    <w:rsid w:val="368C0333"/>
    <w:rsid w:val="368C2F70"/>
    <w:rsid w:val="368D049B"/>
    <w:rsid w:val="368F2A60"/>
    <w:rsid w:val="36940077"/>
    <w:rsid w:val="369736C3"/>
    <w:rsid w:val="36A77DAA"/>
    <w:rsid w:val="36AC716F"/>
    <w:rsid w:val="36BA5D2F"/>
    <w:rsid w:val="36BC1ACD"/>
    <w:rsid w:val="36BD75CE"/>
    <w:rsid w:val="36BE50F4"/>
    <w:rsid w:val="36CC5A63"/>
    <w:rsid w:val="36D13079"/>
    <w:rsid w:val="36D52D08"/>
    <w:rsid w:val="36DA0180"/>
    <w:rsid w:val="36DA1F9A"/>
    <w:rsid w:val="36DD1FAD"/>
    <w:rsid w:val="36DE1BB9"/>
    <w:rsid w:val="36E06005"/>
    <w:rsid w:val="36E27AE8"/>
    <w:rsid w:val="36E52680"/>
    <w:rsid w:val="36E7289C"/>
    <w:rsid w:val="36EC7EB3"/>
    <w:rsid w:val="36ED2000"/>
    <w:rsid w:val="36F30A8E"/>
    <w:rsid w:val="370311F1"/>
    <w:rsid w:val="370C2303"/>
    <w:rsid w:val="371050B8"/>
    <w:rsid w:val="37133D87"/>
    <w:rsid w:val="371A07CC"/>
    <w:rsid w:val="371A4A20"/>
    <w:rsid w:val="371E7EBA"/>
    <w:rsid w:val="37215DAE"/>
    <w:rsid w:val="372F1B4E"/>
    <w:rsid w:val="373158C6"/>
    <w:rsid w:val="37353608"/>
    <w:rsid w:val="37364D13"/>
    <w:rsid w:val="37410393"/>
    <w:rsid w:val="37421881"/>
    <w:rsid w:val="37454136"/>
    <w:rsid w:val="37476E97"/>
    <w:rsid w:val="37555A58"/>
    <w:rsid w:val="37557E62"/>
    <w:rsid w:val="375869AC"/>
    <w:rsid w:val="37623CD1"/>
    <w:rsid w:val="376734F4"/>
    <w:rsid w:val="376736AE"/>
    <w:rsid w:val="376E2676"/>
    <w:rsid w:val="376F602F"/>
    <w:rsid w:val="376F660D"/>
    <w:rsid w:val="37721F5F"/>
    <w:rsid w:val="37753A04"/>
    <w:rsid w:val="37774D6F"/>
    <w:rsid w:val="377759CE"/>
    <w:rsid w:val="377A5B12"/>
    <w:rsid w:val="37803F47"/>
    <w:rsid w:val="37824373"/>
    <w:rsid w:val="37841E99"/>
    <w:rsid w:val="3790342A"/>
    <w:rsid w:val="37913ADD"/>
    <w:rsid w:val="379D2F5B"/>
    <w:rsid w:val="37A8202C"/>
    <w:rsid w:val="37A96661"/>
    <w:rsid w:val="37AC6C16"/>
    <w:rsid w:val="37B00EE0"/>
    <w:rsid w:val="37B02C8E"/>
    <w:rsid w:val="37B1660C"/>
    <w:rsid w:val="37B409D1"/>
    <w:rsid w:val="37BB657C"/>
    <w:rsid w:val="37C42558"/>
    <w:rsid w:val="37C4498C"/>
    <w:rsid w:val="37C6770B"/>
    <w:rsid w:val="37CE4EB3"/>
    <w:rsid w:val="37D03331"/>
    <w:rsid w:val="37D0796C"/>
    <w:rsid w:val="37D56B99"/>
    <w:rsid w:val="37D83F93"/>
    <w:rsid w:val="37D90437"/>
    <w:rsid w:val="37DD4698"/>
    <w:rsid w:val="37E0589C"/>
    <w:rsid w:val="37E80BA5"/>
    <w:rsid w:val="37EB7469"/>
    <w:rsid w:val="37F107C7"/>
    <w:rsid w:val="37F27DF2"/>
    <w:rsid w:val="37FA13BA"/>
    <w:rsid w:val="37FE0B1D"/>
    <w:rsid w:val="380A4A95"/>
    <w:rsid w:val="380D1E8F"/>
    <w:rsid w:val="3810730B"/>
    <w:rsid w:val="38134A0C"/>
    <w:rsid w:val="381855C7"/>
    <w:rsid w:val="38206066"/>
    <w:rsid w:val="382471D8"/>
    <w:rsid w:val="382607A9"/>
    <w:rsid w:val="382E45C3"/>
    <w:rsid w:val="383E64EC"/>
    <w:rsid w:val="3840106E"/>
    <w:rsid w:val="38441920"/>
    <w:rsid w:val="38471845"/>
    <w:rsid w:val="38563836"/>
    <w:rsid w:val="385A3725"/>
    <w:rsid w:val="385B709E"/>
    <w:rsid w:val="38606463"/>
    <w:rsid w:val="38611B4B"/>
    <w:rsid w:val="3862196A"/>
    <w:rsid w:val="38697929"/>
    <w:rsid w:val="38703BC9"/>
    <w:rsid w:val="3872263A"/>
    <w:rsid w:val="387E4B3B"/>
    <w:rsid w:val="388008B3"/>
    <w:rsid w:val="3885236D"/>
    <w:rsid w:val="388E2615"/>
    <w:rsid w:val="3891486E"/>
    <w:rsid w:val="38AA327E"/>
    <w:rsid w:val="38B467AE"/>
    <w:rsid w:val="38B71A55"/>
    <w:rsid w:val="38C84008"/>
    <w:rsid w:val="38CA7D80"/>
    <w:rsid w:val="38CB1241"/>
    <w:rsid w:val="38CD0F8C"/>
    <w:rsid w:val="38D24458"/>
    <w:rsid w:val="38D35896"/>
    <w:rsid w:val="38D94467"/>
    <w:rsid w:val="38DE55D9"/>
    <w:rsid w:val="38EF3C8A"/>
    <w:rsid w:val="38F35173"/>
    <w:rsid w:val="38FB4F53"/>
    <w:rsid w:val="390239BE"/>
    <w:rsid w:val="390A4620"/>
    <w:rsid w:val="390E5EBF"/>
    <w:rsid w:val="390F4B99"/>
    <w:rsid w:val="39106BCA"/>
    <w:rsid w:val="391334D5"/>
    <w:rsid w:val="391C0D1A"/>
    <w:rsid w:val="392751D2"/>
    <w:rsid w:val="394B4BE7"/>
    <w:rsid w:val="395064D7"/>
    <w:rsid w:val="39522688"/>
    <w:rsid w:val="39545CE6"/>
    <w:rsid w:val="395A1104"/>
    <w:rsid w:val="395D2841"/>
    <w:rsid w:val="39674FEE"/>
    <w:rsid w:val="39691347"/>
    <w:rsid w:val="396E1053"/>
    <w:rsid w:val="39736E9C"/>
    <w:rsid w:val="39742D64"/>
    <w:rsid w:val="397D1296"/>
    <w:rsid w:val="397D4DF2"/>
    <w:rsid w:val="39846181"/>
    <w:rsid w:val="39846C6D"/>
    <w:rsid w:val="398D772B"/>
    <w:rsid w:val="39A04403"/>
    <w:rsid w:val="39AD696B"/>
    <w:rsid w:val="39B20F40"/>
    <w:rsid w:val="39B26C5B"/>
    <w:rsid w:val="39B36A66"/>
    <w:rsid w:val="39B747A8"/>
    <w:rsid w:val="39BC1DFF"/>
    <w:rsid w:val="39C62C3D"/>
    <w:rsid w:val="39C649EB"/>
    <w:rsid w:val="39DE1D35"/>
    <w:rsid w:val="39E73B05"/>
    <w:rsid w:val="39E76710"/>
    <w:rsid w:val="39F50E2C"/>
    <w:rsid w:val="39F7273B"/>
    <w:rsid w:val="39FA4695"/>
    <w:rsid w:val="39FE0F50"/>
    <w:rsid w:val="39FE34A7"/>
    <w:rsid w:val="39FF5246"/>
    <w:rsid w:val="39FF7EFD"/>
    <w:rsid w:val="3A002A5F"/>
    <w:rsid w:val="3A013C75"/>
    <w:rsid w:val="3A147C15"/>
    <w:rsid w:val="3A173499"/>
    <w:rsid w:val="3A231E3E"/>
    <w:rsid w:val="3A2406E3"/>
    <w:rsid w:val="3A272D2D"/>
    <w:rsid w:val="3A2B5892"/>
    <w:rsid w:val="3A2D187A"/>
    <w:rsid w:val="3A3B7187"/>
    <w:rsid w:val="3A407CD2"/>
    <w:rsid w:val="3A412722"/>
    <w:rsid w:val="3A445910"/>
    <w:rsid w:val="3A485400"/>
    <w:rsid w:val="3A524F53"/>
    <w:rsid w:val="3A565D13"/>
    <w:rsid w:val="3A6A62B8"/>
    <w:rsid w:val="3A714924"/>
    <w:rsid w:val="3A8A5A19"/>
    <w:rsid w:val="3A9248CD"/>
    <w:rsid w:val="3AA6651D"/>
    <w:rsid w:val="3AA80595"/>
    <w:rsid w:val="3AB05274"/>
    <w:rsid w:val="3ABB02C8"/>
    <w:rsid w:val="3ABE1B66"/>
    <w:rsid w:val="3AC547BA"/>
    <w:rsid w:val="3AC96CE5"/>
    <w:rsid w:val="3ACC4283"/>
    <w:rsid w:val="3AD14FE6"/>
    <w:rsid w:val="3AE45C9E"/>
    <w:rsid w:val="3AF33BF2"/>
    <w:rsid w:val="3AF630AE"/>
    <w:rsid w:val="3AF73D60"/>
    <w:rsid w:val="3AF8136A"/>
    <w:rsid w:val="3AFB2473"/>
    <w:rsid w:val="3B001EA4"/>
    <w:rsid w:val="3B027CA5"/>
    <w:rsid w:val="3B0C0B24"/>
    <w:rsid w:val="3B1B5586"/>
    <w:rsid w:val="3B1B56C3"/>
    <w:rsid w:val="3B1B6E04"/>
    <w:rsid w:val="3B2714BA"/>
    <w:rsid w:val="3B2C2F74"/>
    <w:rsid w:val="3B2F65C0"/>
    <w:rsid w:val="3B384C6F"/>
    <w:rsid w:val="3B4274FF"/>
    <w:rsid w:val="3B4B164C"/>
    <w:rsid w:val="3B5B2B56"/>
    <w:rsid w:val="3B5D312D"/>
    <w:rsid w:val="3B616116"/>
    <w:rsid w:val="3B6251B3"/>
    <w:rsid w:val="3B633EE6"/>
    <w:rsid w:val="3B651FE2"/>
    <w:rsid w:val="3B660234"/>
    <w:rsid w:val="3B742225"/>
    <w:rsid w:val="3B787F67"/>
    <w:rsid w:val="3B7B4841"/>
    <w:rsid w:val="3B800BCA"/>
    <w:rsid w:val="3B8227AD"/>
    <w:rsid w:val="3B8E32E7"/>
    <w:rsid w:val="3B8F315C"/>
    <w:rsid w:val="3B950B19"/>
    <w:rsid w:val="3B981668"/>
    <w:rsid w:val="3B9A1090"/>
    <w:rsid w:val="3BA725FA"/>
    <w:rsid w:val="3BA97646"/>
    <w:rsid w:val="3BAA5C47"/>
    <w:rsid w:val="3BAC788A"/>
    <w:rsid w:val="3BAD60C9"/>
    <w:rsid w:val="3BB16FD5"/>
    <w:rsid w:val="3BB47700"/>
    <w:rsid w:val="3BB80364"/>
    <w:rsid w:val="3BB92E7F"/>
    <w:rsid w:val="3BBD1E1E"/>
    <w:rsid w:val="3BC26088"/>
    <w:rsid w:val="3BCC2061"/>
    <w:rsid w:val="3BDA477E"/>
    <w:rsid w:val="3BDF3DFC"/>
    <w:rsid w:val="3BE02958"/>
    <w:rsid w:val="3BE42422"/>
    <w:rsid w:val="3BE61375"/>
    <w:rsid w:val="3BEA0F0F"/>
    <w:rsid w:val="3BEB24E7"/>
    <w:rsid w:val="3BF3242B"/>
    <w:rsid w:val="3BF515B8"/>
    <w:rsid w:val="3BF53366"/>
    <w:rsid w:val="3BFA097C"/>
    <w:rsid w:val="3BFD182F"/>
    <w:rsid w:val="3C0812EB"/>
    <w:rsid w:val="3C0A2B23"/>
    <w:rsid w:val="3C1001A0"/>
    <w:rsid w:val="3C1104C4"/>
    <w:rsid w:val="3C12216A"/>
    <w:rsid w:val="3C131A08"/>
    <w:rsid w:val="3C1744FA"/>
    <w:rsid w:val="3C1852A6"/>
    <w:rsid w:val="3C1A7270"/>
    <w:rsid w:val="3C1E1CA2"/>
    <w:rsid w:val="3C265C15"/>
    <w:rsid w:val="3C277297"/>
    <w:rsid w:val="3C2846F1"/>
    <w:rsid w:val="3C2B4FD9"/>
    <w:rsid w:val="3C335C3C"/>
    <w:rsid w:val="3C37572C"/>
    <w:rsid w:val="3C3C7E5D"/>
    <w:rsid w:val="3C3D7980"/>
    <w:rsid w:val="3C460065"/>
    <w:rsid w:val="3C4C11FB"/>
    <w:rsid w:val="3C5A3D40"/>
    <w:rsid w:val="3C616C4D"/>
    <w:rsid w:val="3C6E4EC6"/>
    <w:rsid w:val="3C7624CD"/>
    <w:rsid w:val="3C7E15AD"/>
    <w:rsid w:val="3C812767"/>
    <w:rsid w:val="3C8A7F52"/>
    <w:rsid w:val="3C8D359E"/>
    <w:rsid w:val="3C8F40C0"/>
    <w:rsid w:val="3C8F7316"/>
    <w:rsid w:val="3C9012E0"/>
    <w:rsid w:val="3C94492D"/>
    <w:rsid w:val="3C9506A5"/>
    <w:rsid w:val="3CAA05F4"/>
    <w:rsid w:val="3CB11D10"/>
    <w:rsid w:val="3CB66843"/>
    <w:rsid w:val="3CB74C32"/>
    <w:rsid w:val="3CC10042"/>
    <w:rsid w:val="3CC311DF"/>
    <w:rsid w:val="3CC66D60"/>
    <w:rsid w:val="3CD411CD"/>
    <w:rsid w:val="3CD45671"/>
    <w:rsid w:val="3CD613E9"/>
    <w:rsid w:val="3CDC56E3"/>
    <w:rsid w:val="3CE72762"/>
    <w:rsid w:val="3CEB69AE"/>
    <w:rsid w:val="3CEC308D"/>
    <w:rsid w:val="3CEC4769"/>
    <w:rsid w:val="3CF03B2D"/>
    <w:rsid w:val="3CF24C29"/>
    <w:rsid w:val="3CF3617C"/>
    <w:rsid w:val="3CF51E0D"/>
    <w:rsid w:val="3CF51E92"/>
    <w:rsid w:val="3CF61143"/>
    <w:rsid w:val="3CF74EBC"/>
    <w:rsid w:val="3CFD5C00"/>
    <w:rsid w:val="3CFE624A"/>
    <w:rsid w:val="3D0870C9"/>
    <w:rsid w:val="3D0D3370"/>
    <w:rsid w:val="3D0E3E15"/>
    <w:rsid w:val="3D11534D"/>
    <w:rsid w:val="3D143CBF"/>
    <w:rsid w:val="3D1617E6"/>
    <w:rsid w:val="3D17730C"/>
    <w:rsid w:val="3D1A42E3"/>
    <w:rsid w:val="3D1B6DFC"/>
    <w:rsid w:val="3D2959BD"/>
    <w:rsid w:val="3D2D739E"/>
    <w:rsid w:val="3D346BE7"/>
    <w:rsid w:val="3D365577"/>
    <w:rsid w:val="3D373021"/>
    <w:rsid w:val="3D431059"/>
    <w:rsid w:val="3D436353"/>
    <w:rsid w:val="3D440462"/>
    <w:rsid w:val="3D4A4FA9"/>
    <w:rsid w:val="3D4C5E8E"/>
    <w:rsid w:val="3D4F4CF8"/>
    <w:rsid w:val="3D5161ED"/>
    <w:rsid w:val="3D55095C"/>
    <w:rsid w:val="3D5B369C"/>
    <w:rsid w:val="3D671CED"/>
    <w:rsid w:val="3D69400B"/>
    <w:rsid w:val="3D7804FA"/>
    <w:rsid w:val="3D78653C"/>
    <w:rsid w:val="3D7D2220"/>
    <w:rsid w:val="3D82755B"/>
    <w:rsid w:val="3D840E45"/>
    <w:rsid w:val="3D8726E3"/>
    <w:rsid w:val="3D98044D"/>
    <w:rsid w:val="3D98271F"/>
    <w:rsid w:val="3DA70690"/>
    <w:rsid w:val="3DA94408"/>
    <w:rsid w:val="3DAB7717"/>
    <w:rsid w:val="3DAE129E"/>
    <w:rsid w:val="3DB42DAD"/>
    <w:rsid w:val="3DB81269"/>
    <w:rsid w:val="3DBA03C3"/>
    <w:rsid w:val="3DCE0312"/>
    <w:rsid w:val="3DD403A2"/>
    <w:rsid w:val="3DDF42CD"/>
    <w:rsid w:val="3DE6740A"/>
    <w:rsid w:val="3DE742AE"/>
    <w:rsid w:val="3DEE4511"/>
    <w:rsid w:val="3DF16F67"/>
    <w:rsid w:val="3DFD29A6"/>
    <w:rsid w:val="3DFE00DB"/>
    <w:rsid w:val="3E00493A"/>
    <w:rsid w:val="3E012496"/>
    <w:rsid w:val="3E047E0A"/>
    <w:rsid w:val="3E077380"/>
    <w:rsid w:val="3E0B0C1F"/>
    <w:rsid w:val="3E1C107E"/>
    <w:rsid w:val="3E1D3B91"/>
    <w:rsid w:val="3E3143FD"/>
    <w:rsid w:val="3E391743"/>
    <w:rsid w:val="3E3F52C4"/>
    <w:rsid w:val="3E412892"/>
    <w:rsid w:val="3E4413E0"/>
    <w:rsid w:val="3E4458D5"/>
    <w:rsid w:val="3E502AD5"/>
    <w:rsid w:val="3E510064"/>
    <w:rsid w:val="3E52684D"/>
    <w:rsid w:val="3E5361D5"/>
    <w:rsid w:val="3E5844CD"/>
    <w:rsid w:val="3E622809"/>
    <w:rsid w:val="3E66679D"/>
    <w:rsid w:val="3E682515"/>
    <w:rsid w:val="3E6F1764"/>
    <w:rsid w:val="3E7C1B1C"/>
    <w:rsid w:val="3E7E2E78"/>
    <w:rsid w:val="3E7E3AE6"/>
    <w:rsid w:val="3E815385"/>
    <w:rsid w:val="3E817133"/>
    <w:rsid w:val="3E83433A"/>
    <w:rsid w:val="3E8409D1"/>
    <w:rsid w:val="3E842A27"/>
    <w:rsid w:val="3E8D1F7B"/>
    <w:rsid w:val="3E900F58"/>
    <w:rsid w:val="3E90381A"/>
    <w:rsid w:val="3E95498C"/>
    <w:rsid w:val="3E9735A8"/>
    <w:rsid w:val="3E990920"/>
    <w:rsid w:val="3E9C21BE"/>
    <w:rsid w:val="3EA572C5"/>
    <w:rsid w:val="3EAA23B7"/>
    <w:rsid w:val="3EAD43CC"/>
    <w:rsid w:val="3EB07A18"/>
    <w:rsid w:val="3EB23790"/>
    <w:rsid w:val="3EBE3EE3"/>
    <w:rsid w:val="3ECD4126"/>
    <w:rsid w:val="3ED53FA0"/>
    <w:rsid w:val="3ED90D1D"/>
    <w:rsid w:val="3EE85404"/>
    <w:rsid w:val="3EE87285"/>
    <w:rsid w:val="3EEA4CD8"/>
    <w:rsid w:val="3EF416A3"/>
    <w:rsid w:val="3F0518E8"/>
    <w:rsid w:val="3F292EFF"/>
    <w:rsid w:val="3F2D1CB6"/>
    <w:rsid w:val="3F2D63DB"/>
    <w:rsid w:val="3F4A1C1A"/>
    <w:rsid w:val="3F4A7370"/>
    <w:rsid w:val="3F5E1222"/>
    <w:rsid w:val="3F626F64"/>
    <w:rsid w:val="3F6619C5"/>
    <w:rsid w:val="3F746C97"/>
    <w:rsid w:val="3F7622E0"/>
    <w:rsid w:val="3F7D3D9E"/>
    <w:rsid w:val="3F81108B"/>
    <w:rsid w:val="3F827606"/>
    <w:rsid w:val="3F875618"/>
    <w:rsid w:val="3F890194"/>
    <w:rsid w:val="3F8A2017"/>
    <w:rsid w:val="3F8C5D8F"/>
    <w:rsid w:val="3F902B34"/>
    <w:rsid w:val="3FA330D9"/>
    <w:rsid w:val="3FA4757D"/>
    <w:rsid w:val="3FA70E1B"/>
    <w:rsid w:val="3FB154C4"/>
    <w:rsid w:val="3FB52D16"/>
    <w:rsid w:val="3FBD419A"/>
    <w:rsid w:val="3FC63852"/>
    <w:rsid w:val="3FDA4D4C"/>
    <w:rsid w:val="3FDB52D2"/>
    <w:rsid w:val="3FE62F25"/>
    <w:rsid w:val="3FEE2A7D"/>
    <w:rsid w:val="3FEF0B07"/>
    <w:rsid w:val="3FF57DD8"/>
    <w:rsid w:val="3FFA719D"/>
    <w:rsid w:val="40055B41"/>
    <w:rsid w:val="401979FB"/>
    <w:rsid w:val="401B7113"/>
    <w:rsid w:val="401D2C36"/>
    <w:rsid w:val="401D4686"/>
    <w:rsid w:val="40204729"/>
    <w:rsid w:val="40247A79"/>
    <w:rsid w:val="402F63D8"/>
    <w:rsid w:val="403A3A3D"/>
    <w:rsid w:val="403B1563"/>
    <w:rsid w:val="404457C1"/>
    <w:rsid w:val="40460BE4"/>
    <w:rsid w:val="4046605F"/>
    <w:rsid w:val="404A344A"/>
    <w:rsid w:val="404C551E"/>
    <w:rsid w:val="404E1296"/>
    <w:rsid w:val="40556AC9"/>
    <w:rsid w:val="405A5E8D"/>
    <w:rsid w:val="406304E4"/>
    <w:rsid w:val="40630A6C"/>
    <w:rsid w:val="4064171F"/>
    <w:rsid w:val="40730CFD"/>
    <w:rsid w:val="40742CC1"/>
    <w:rsid w:val="4077259B"/>
    <w:rsid w:val="407A208B"/>
    <w:rsid w:val="407D6A36"/>
    <w:rsid w:val="40896772"/>
    <w:rsid w:val="40906E47"/>
    <w:rsid w:val="4091520E"/>
    <w:rsid w:val="4093139F"/>
    <w:rsid w:val="40935C2D"/>
    <w:rsid w:val="40972C3D"/>
    <w:rsid w:val="409B43BF"/>
    <w:rsid w:val="409D2154"/>
    <w:rsid w:val="409E0DFA"/>
    <w:rsid w:val="40A125A4"/>
    <w:rsid w:val="40A1586A"/>
    <w:rsid w:val="40A4348B"/>
    <w:rsid w:val="40A62E81"/>
    <w:rsid w:val="40A92971"/>
    <w:rsid w:val="40AB493B"/>
    <w:rsid w:val="40B80747"/>
    <w:rsid w:val="40B934D5"/>
    <w:rsid w:val="40BB01C3"/>
    <w:rsid w:val="40BC4452"/>
    <w:rsid w:val="40BF3F42"/>
    <w:rsid w:val="40C96B6F"/>
    <w:rsid w:val="40CD48B1"/>
    <w:rsid w:val="40D7128C"/>
    <w:rsid w:val="40DC3F2B"/>
    <w:rsid w:val="40DD5EC6"/>
    <w:rsid w:val="40E045E4"/>
    <w:rsid w:val="40E1035D"/>
    <w:rsid w:val="40E165AE"/>
    <w:rsid w:val="40E47808"/>
    <w:rsid w:val="40EB2F89"/>
    <w:rsid w:val="40ED2564"/>
    <w:rsid w:val="40F07927"/>
    <w:rsid w:val="40F55D06"/>
    <w:rsid w:val="410858E9"/>
    <w:rsid w:val="41151DB4"/>
    <w:rsid w:val="41170C3B"/>
    <w:rsid w:val="411B4114"/>
    <w:rsid w:val="412479F7"/>
    <w:rsid w:val="41253F5D"/>
    <w:rsid w:val="412C5357"/>
    <w:rsid w:val="412E6E7D"/>
    <w:rsid w:val="41377F7D"/>
    <w:rsid w:val="413D3E30"/>
    <w:rsid w:val="41401527"/>
    <w:rsid w:val="414300BE"/>
    <w:rsid w:val="41432DC5"/>
    <w:rsid w:val="414A4154"/>
    <w:rsid w:val="414C43D2"/>
    <w:rsid w:val="41511859"/>
    <w:rsid w:val="415154E2"/>
    <w:rsid w:val="41562CE5"/>
    <w:rsid w:val="4156513A"/>
    <w:rsid w:val="41596343"/>
    <w:rsid w:val="415E6EB8"/>
    <w:rsid w:val="416C5E78"/>
    <w:rsid w:val="416E62DC"/>
    <w:rsid w:val="41740393"/>
    <w:rsid w:val="417967E7"/>
    <w:rsid w:val="41813EC3"/>
    <w:rsid w:val="4182744A"/>
    <w:rsid w:val="418C651A"/>
    <w:rsid w:val="418E2292"/>
    <w:rsid w:val="41A30CE0"/>
    <w:rsid w:val="41B45A71"/>
    <w:rsid w:val="41B95CFE"/>
    <w:rsid w:val="41C5246F"/>
    <w:rsid w:val="41C757A4"/>
    <w:rsid w:val="41CC4B69"/>
    <w:rsid w:val="41D103D1"/>
    <w:rsid w:val="41D17FC1"/>
    <w:rsid w:val="41EC6AFB"/>
    <w:rsid w:val="41F52311"/>
    <w:rsid w:val="41FA7928"/>
    <w:rsid w:val="42004812"/>
    <w:rsid w:val="4202058A"/>
    <w:rsid w:val="42097EFD"/>
    <w:rsid w:val="420D42ED"/>
    <w:rsid w:val="42136939"/>
    <w:rsid w:val="422150B6"/>
    <w:rsid w:val="4221632B"/>
    <w:rsid w:val="42224789"/>
    <w:rsid w:val="422608BA"/>
    <w:rsid w:val="422E6094"/>
    <w:rsid w:val="42310E70"/>
    <w:rsid w:val="42334885"/>
    <w:rsid w:val="423746D8"/>
    <w:rsid w:val="42417305"/>
    <w:rsid w:val="424720EA"/>
    <w:rsid w:val="4248180C"/>
    <w:rsid w:val="42487C6D"/>
    <w:rsid w:val="424A376C"/>
    <w:rsid w:val="4251506E"/>
    <w:rsid w:val="42517CE6"/>
    <w:rsid w:val="42544982"/>
    <w:rsid w:val="425608D6"/>
    <w:rsid w:val="42577BE4"/>
    <w:rsid w:val="425A3F23"/>
    <w:rsid w:val="42660B19"/>
    <w:rsid w:val="42671AEE"/>
    <w:rsid w:val="426D56E2"/>
    <w:rsid w:val="426D5897"/>
    <w:rsid w:val="42725710"/>
    <w:rsid w:val="42764AD5"/>
    <w:rsid w:val="427743CF"/>
    <w:rsid w:val="427A6373"/>
    <w:rsid w:val="427B20EB"/>
    <w:rsid w:val="4286713B"/>
    <w:rsid w:val="429C11E6"/>
    <w:rsid w:val="42A15A3C"/>
    <w:rsid w:val="42AC4C0A"/>
    <w:rsid w:val="42B375DC"/>
    <w:rsid w:val="42B77F6E"/>
    <w:rsid w:val="42B850ED"/>
    <w:rsid w:val="42C341BE"/>
    <w:rsid w:val="42CD2946"/>
    <w:rsid w:val="42CF2B62"/>
    <w:rsid w:val="42D42037"/>
    <w:rsid w:val="42D4469C"/>
    <w:rsid w:val="42D46ED7"/>
    <w:rsid w:val="42E163B6"/>
    <w:rsid w:val="42E32866"/>
    <w:rsid w:val="42E34DC3"/>
    <w:rsid w:val="42E45EE2"/>
    <w:rsid w:val="42ED2FE9"/>
    <w:rsid w:val="42F06635"/>
    <w:rsid w:val="42F24CD4"/>
    <w:rsid w:val="42F51E2A"/>
    <w:rsid w:val="42FA336E"/>
    <w:rsid w:val="42FE51F6"/>
    <w:rsid w:val="42FE6109"/>
    <w:rsid w:val="43085574"/>
    <w:rsid w:val="430A3B9B"/>
    <w:rsid w:val="430F2F5F"/>
    <w:rsid w:val="43120CA1"/>
    <w:rsid w:val="431248AC"/>
    <w:rsid w:val="431E7646"/>
    <w:rsid w:val="432B58BF"/>
    <w:rsid w:val="432F53AF"/>
    <w:rsid w:val="43354AF3"/>
    <w:rsid w:val="43362BE2"/>
    <w:rsid w:val="43394480"/>
    <w:rsid w:val="433A5C59"/>
    <w:rsid w:val="433C2B75"/>
    <w:rsid w:val="4346094B"/>
    <w:rsid w:val="4348021F"/>
    <w:rsid w:val="4355293C"/>
    <w:rsid w:val="43615785"/>
    <w:rsid w:val="43635059"/>
    <w:rsid w:val="4364501E"/>
    <w:rsid w:val="43665029"/>
    <w:rsid w:val="436E3370"/>
    <w:rsid w:val="437E00E5"/>
    <w:rsid w:val="437F5A9F"/>
    <w:rsid w:val="4387343D"/>
    <w:rsid w:val="438751EB"/>
    <w:rsid w:val="438F5E4E"/>
    <w:rsid w:val="43923943"/>
    <w:rsid w:val="439873F8"/>
    <w:rsid w:val="439A35C1"/>
    <w:rsid w:val="439A3794"/>
    <w:rsid w:val="439E6E16"/>
    <w:rsid w:val="43A37C06"/>
    <w:rsid w:val="43A538C3"/>
    <w:rsid w:val="43AD09C3"/>
    <w:rsid w:val="43AF4742"/>
    <w:rsid w:val="43B6162D"/>
    <w:rsid w:val="43C27FD1"/>
    <w:rsid w:val="43C33D49"/>
    <w:rsid w:val="43C44F94"/>
    <w:rsid w:val="43CA332A"/>
    <w:rsid w:val="43CF321B"/>
    <w:rsid w:val="43D04F3E"/>
    <w:rsid w:val="43D23F8D"/>
    <w:rsid w:val="43E048FB"/>
    <w:rsid w:val="43E142FE"/>
    <w:rsid w:val="43E50164"/>
    <w:rsid w:val="43E55A97"/>
    <w:rsid w:val="43E90395"/>
    <w:rsid w:val="43EA06B6"/>
    <w:rsid w:val="43EB4717"/>
    <w:rsid w:val="43F16B09"/>
    <w:rsid w:val="43F3462F"/>
    <w:rsid w:val="43FB56B5"/>
    <w:rsid w:val="44093E52"/>
    <w:rsid w:val="44185E43"/>
    <w:rsid w:val="441D224A"/>
    <w:rsid w:val="44222B9D"/>
    <w:rsid w:val="442C5D93"/>
    <w:rsid w:val="44316F05"/>
    <w:rsid w:val="44366C11"/>
    <w:rsid w:val="443A225E"/>
    <w:rsid w:val="443C4228"/>
    <w:rsid w:val="443F307C"/>
    <w:rsid w:val="4440539A"/>
    <w:rsid w:val="44427364"/>
    <w:rsid w:val="44444E8A"/>
    <w:rsid w:val="444E3F5B"/>
    <w:rsid w:val="44515D2B"/>
    <w:rsid w:val="44654E01"/>
    <w:rsid w:val="44663053"/>
    <w:rsid w:val="446A2417"/>
    <w:rsid w:val="446D0585"/>
    <w:rsid w:val="447A02DD"/>
    <w:rsid w:val="448434D9"/>
    <w:rsid w:val="44896D41"/>
    <w:rsid w:val="448C05DF"/>
    <w:rsid w:val="448E1A25"/>
    <w:rsid w:val="448F3867"/>
    <w:rsid w:val="44924730"/>
    <w:rsid w:val="449556E6"/>
    <w:rsid w:val="44963FB0"/>
    <w:rsid w:val="449851D6"/>
    <w:rsid w:val="449B0C14"/>
    <w:rsid w:val="449B522E"/>
    <w:rsid w:val="44A75520"/>
    <w:rsid w:val="44AD0C81"/>
    <w:rsid w:val="44B71B00"/>
    <w:rsid w:val="44B85878"/>
    <w:rsid w:val="44BF09B5"/>
    <w:rsid w:val="44C24A2E"/>
    <w:rsid w:val="44C26352"/>
    <w:rsid w:val="44C747ED"/>
    <w:rsid w:val="44CB1108"/>
    <w:rsid w:val="44CE67D1"/>
    <w:rsid w:val="44D83825"/>
    <w:rsid w:val="44F56185"/>
    <w:rsid w:val="44F71EFD"/>
    <w:rsid w:val="44FA379B"/>
    <w:rsid w:val="44FF34A7"/>
    <w:rsid w:val="450464A6"/>
    <w:rsid w:val="450D1720"/>
    <w:rsid w:val="45140D01"/>
    <w:rsid w:val="452F5B3A"/>
    <w:rsid w:val="4538593A"/>
    <w:rsid w:val="45482758"/>
    <w:rsid w:val="454A0786"/>
    <w:rsid w:val="454B2248"/>
    <w:rsid w:val="455517D3"/>
    <w:rsid w:val="455A5594"/>
    <w:rsid w:val="455B7035"/>
    <w:rsid w:val="456504A4"/>
    <w:rsid w:val="456A55FA"/>
    <w:rsid w:val="45701CAF"/>
    <w:rsid w:val="45707244"/>
    <w:rsid w:val="457572C5"/>
    <w:rsid w:val="457C4AF8"/>
    <w:rsid w:val="45833892"/>
    <w:rsid w:val="45897AC1"/>
    <w:rsid w:val="458C4D3B"/>
    <w:rsid w:val="459534C4"/>
    <w:rsid w:val="4599501F"/>
    <w:rsid w:val="459A4D4A"/>
    <w:rsid w:val="459B4F7E"/>
    <w:rsid w:val="45AB0DE1"/>
    <w:rsid w:val="45B222C8"/>
    <w:rsid w:val="45B47DEE"/>
    <w:rsid w:val="45B95404"/>
    <w:rsid w:val="45BB5620"/>
    <w:rsid w:val="45BB7A4E"/>
    <w:rsid w:val="45C55607"/>
    <w:rsid w:val="45C67B21"/>
    <w:rsid w:val="45D67FF6"/>
    <w:rsid w:val="45DB35CC"/>
    <w:rsid w:val="45DC018A"/>
    <w:rsid w:val="45E63CEC"/>
    <w:rsid w:val="45E76415"/>
    <w:rsid w:val="45F12DF0"/>
    <w:rsid w:val="45F35A54"/>
    <w:rsid w:val="460053EE"/>
    <w:rsid w:val="460103E6"/>
    <w:rsid w:val="46037A0C"/>
    <w:rsid w:val="460C19D8"/>
    <w:rsid w:val="46113492"/>
    <w:rsid w:val="46162856"/>
    <w:rsid w:val="4618784F"/>
    <w:rsid w:val="461D5993"/>
    <w:rsid w:val="461F3D68"/>
    <w:rsid w:val="462A00B0"/>
    <w:rsid w:val="462C1AB8"/>
    <w:rsid w:val="463351B6"/>
    <w:rsid w:val="46342CDD"/>
    <w:rsid w:val="46380A1F"/>
    <w:rsid w:val="463902F3"/>
    <w:rsid w:val="464078D3"/>
    <w:rsid w:val="464B259D"/>
    <w:rsid w:val="465957C7"/>
    <w:rsid w:val="46595B26"/>
    <w:rsid w:val="46603AD2"/>
    <w:rsid w:val="46641814"/>
    <w:rsid w:val="4665558C"/>
    <w:rsid w:val="46687557"/>
    <w:rsid w:val="466E2692"/>
    <w:rsid w:val="467071D3"/>
    <w:rsid w:val="46731A57"/>
    <w:rsid w:val="46761547"/>
    <w:rsid w:val="467F664E"/>
    <w:rsid w:val="46837AAD"/>
    <w:rsid w:val="46850148"/>
    <w:rsid w:val="468B4FF2"/>
    <w:rsid w:val="4690085B"/>
    <w:rsid w:val="469320F9"/>
    <w:rsid w:val="469814BD"/>
    <w:rsid w:val="469F43E0"/>
    <w:rsid w:val="46A14816"/>
    <w:rsid w:val="46AC5AA6"/>
    <w:rsid w:val="46AE7BBD"/>
    <w:rsid w:val="46B01136"/>
    <w:rsid w:val="46B0393D"/>
    <w:rsid w:val="46B03E5E"/>
    <w:rsid w:val="46B61944"/>
    <w:rsid w:val="46BD2CD2"/>
    <w:rsid w:val="46C04E4C"/>
    <w:rsid w:val="46C71DA3"/>
    <w:rsid w:val="46D51CD3"/>
    <w:rsid w:val="46D544C0"/>
    <w:rsid w:val="46DB13AA"/>
    <w:rsid w:val="46E464B1"/>
    <w:rsid w:val="46E70490"/>
    <w:rsid w:val="46E841F3"/>
    <w:rsid w:val="46E93AC7"/>
    <w:rsid w:val="46F024C9"/>
    <w:rsid w:val="46F74436"/>
    <w:rsid w:val="46FA6014"/>
    <w:rsid w:val="46FA6F06"/>
    <w:rsid w:val="46FA73EB"/>
    <w:rsid w:val="46FD7572"/>
    <w:rsid w:val="470152B5"/>
    <w:rsid w:val="47017063"/>
    <w:rsid w:val="470365A9"/>
    <w:rsid w:val="47054D84"/>
    <w:rsid w:val="470F656B"/>
    <w:rsid w:val="471746ED"/>
    <w:rsid w:val="4718206C"/>
    <w:rsid w:val="471843AC"/>
    <w:rsid w:val="47204E94"/>
    <w:rsid w:val="47255E82"/>
    <w:rsid w:val="47264849"/>
    <w:rsid w:val="4732546E"/>
    <w:rsid w:val="473A4938"/>
    <w:rsid w:val="473C453F"/>
    <w:rsid w:val="473D47BE"/>
    <w:rsid w:val="473E02B7"/>
    <w:rsid w:val="47430FF6"/>
    <w:rsid w:val="47495A94"/>
    <w:rsid w:val="47504F42"/>
    <w:rsid w:val="47531C2A"/>
    <w:rsid w:val="4753521B"/>
    <w:rsid w:val="475C073D"/>
    <w:rsid w:val="4760218C"/>
    <w:rsid w:val="476359FF"/>
    <w:rsid w:val="47673926"/>
    <w:rsid w:val="47685334"/>
    <w:rsid w:val="476F0470"/>
    <w:rsid w:val="47714B20"/>
    <w:rsid w:val="47723ABC"/>
    <w:rsid w:val="477474B8"/>
    <w:rsid w:val="47847862"/>
    <w:rsid w:val="478832E0"/>
    <w:rsid w:val="47887727"/>
    <w:rsid w:val="4789450D"/>
    <w:rsid w:val="478B23DE"/>
    <w:rsid w:val="478C491C"/>
    <w:rsid w:val="47997CE8"/>
    <w:rsid w:val="479B74B7"/>
    <w:rsid w:val="479E2B03"/>
    <w:rsid w:val="479F6BC7"/>
    <w:rsid w:val="47A67F81"/>
    <w:rsid w:val="47A913B5"/>
    <w:rsid w:val="47AD2D46"/>
    <w:rsid w:val="47AF2F63"/>
    <w:rsid w:val="47B265AF"/>
    <w:rsid w:val="47B83827"/>
    <w:rsid w:val="47BC742D"/>
    <w:rsid w:val="47C0508F"/>
    <w:rsid w:val="47CA16E7"/>
    <w:rsid w:val="47CA2E01"/>
    <w:rsid w:val="47DA06F3"/>
    <w:rsid w:val="47DF0C10"/>
    <w:rsid w:val="47E26E94"/>
    <w:rsid w:val="47ED5839"/>
    <w:rsid w:val="4800556C"/>
    <w:rsid w:val="480A1F47"/>
    <w:rsid w:val="480F1EC9"/>
    <w:rsid w:val="481132D5"/>
    <w:rsid w:val="481D611E"/>
    <w:rsid w:val="482E1DBA"/>
    <w:rsid w:val="48311BC9"/>
    <w:rsid w:val="4832149E"/>
    <w:rsid w:val="48390A7E"/>
    <w:rsid w:val="48496F13"/>
    <w:rsid w:val="484B7795"/>
    <w:rsid w:val="48535EE5"/>
    <w:rsid w:val="485427D7"/>
    <w:rsid w:val="48566CF1"/>
    <w:rsid w:val="485A1E43"/>
    <w:rsid w:val="48615F8E"/>
    <w:rsid w:val="486B02D5"/>
    <w:rsid w:val="486F19CC"/>
    <w:rsid w:val="48733F90"/>
    <w:rsid w:val="487D6E9C"/>
    <w:rsid w:val="48861061"/>
    <w:rsid w:val="48894D7A"/>
    <w:rsid w:val="488C6E00"/>
    <w:rsid w:val="488F68F0"/>
    <w:rsid w:val="48912EFC"/>
    <w:rsid w:val="48945CB4"/>
    <w:rsid w:val="489D725F"/>
    <w:rsid w:val="489F1A9F"/>
    <w:rsid w:val="48A4239B"/>
    <w:rsid w:val="48A51C70"/>
    <w:rsid w:val="48A766BF"/>
    <w:rsid w:val="48A95C04"/>
    <w:rsid w:val="48AE6D76"/>
    <w:rsid w:val="48BD5CAC"/>
    <w:rsid w:val="48C05429"/>
    <w:rsid w:val="48C810F6"/>
    <w:rsid w:val="48D42422"/>
    <w:rsid w:val="48D525B6"/>
    <w:rsid w:val="48D82045"/>
    <w:rsid w:val="48DE2AEC"/>
    <w:rsid w:val="48E17742"/>
    <w:rsid w:val="48E7655B"/>
    <w:rsid w:val="48E94252"/>
    <w:rsid w:val="48ED00F3"/>
    <w:rsid w:val="48F27454"/>
    <w:rsid w:val="48F549A5"/>
    <w:rsid w:val="48F84495"/>
    <w:rsid w:val="48FF25D1"/>
    <w:rsid w:val="48FF75D2"/>
    <w:rsid w:val="490042FA"/>
    <w:rsid w:val="490612E6"/>
    <w:rsid w:val="490966A2"/>
    <w:rsid w:val="491750B6"/>
    <w:rsid w:val="491D7D57"/>
    <w:rsid w:val="49275D14"/>
    <w:rsid w:val="492822E2"/>
    <w:rsid w:val="492E6109"/>
    <w:rsid w:val="492F3B7B"/>
    <w:rsid w:val="493062DE"/>
    <w:rsid w:val="49325BF9"/>
    <w:rsid w:val="49351245"/>
    <w:rsid w:val="49395755"/>
    <w:rsid w:val="49441489"/>
    <w:rsid w:val="49465201"/>
    <w:rsid w:val="494D5ACC"/>
    <w:rsid w:val="494D662E"/>
    <w:rsid w:val="494E4BE9"/>
    <w:rsid w:val="49584F34"/>
    <w:rsid w:val="495C0214"/>
    <w:rsid w:val="495E29B8"/>
    <w:rsid w:val="496A3954"/>
    <w:rsid w:val="496F2199"/>
    <w:rsid w:val="49785F7B"/>
    <w:rsid w:val="49865514"/>
    <w:rsid w:val="498B5309"/>
    <w:rsid w:val="498D475F"/>
    <w:rsid w:val="49900B72"/>
    <w:rsid w:val="49902920"/>
    <w:rsid w:val="49921B40"/>
    <w:rsid w:val="49942410"/>
    <w:rsid w:val="499441BE"/>
    <w:rsid w:val="49A0215B"/>
    <w:rsid w:val="49AD1724"/>
    <w:rsid w:val="49AD5280"/>
    <w:rsid w:val="49B94735"/>
    <w:rsid w:val="49C57D0C"/>
    <w:rsid w:val="49D5663E"/>
    <w:rsid w:val="49D7054F"/>
    <w:rsid w:val="49D97E23"/>
    <w:rsid w:val="49F20EE5"/>
    <w:rsid w:val="49F625B6"/>
    <w:rsid w:val="4A064990"/>
    <w:rsid w:val="4A0A26D2"/>
    <w:rsid w:val="4A233794"/>
    <w:rsid w:val="4A262FA2"/>
    <w:rsid w:val="4A317C5F"/>
    <w:rsid w:val="4A370FED"/>
    <w:rsid w:val="4A3D4856"/>
    <w:rsid w:val="4A3E65D7"/>
    <w:rsid w:val="4A43181B"/>
    <w:rsid w:val="4A452632"/>
    <w:rsid w:val="4A477482"/>
    <w:rsid w:val="4A4B6D70"/>
    <w:rsid w:val="4A4E6A63"/>
    <w:rsid w:val="4A541B9F"/>
    <w:rsid w:val="4A600E46"/>
    <w:rsid w:val="4A6F0787"/>
    <w:rsid w:val="4A7162AD"/>
    <w:rsid w:val="4A757163"/>
    <w:rsid w:val="4A7713A7"/>
    <w:rsid w:val="4A7F112E"/>
    <w:rsid w:val="4A7F3C52"/>
    <w:rsid w:val="4A835FE1"/>
    <w:rsid w:val="4A8561FD"/>
    <w:rsid w:val="4A8F7F6C"/>
    <w:rsid w:val="4A9D4F96"/>
    <w:rsid w:val="4AA04DE4"/>
    <w:rsid w:val="4AB30F38"/>
    <w:rsid w:val="4AB703EF"/>
    <w:rsid w:val="4ABA3B32"/>
    <w:rsid w:val="4ABB39CC"/>
    <w:rsid w:val="4ABD14F2"/>
    <w:rsid w:val="4ABE526B"/>
    <w:rsid w:val="4AC40AD3"/>
    <w:rsid w:val="4AC565F9"/>
    <w:rsid w:val="4AC705C3"/>
    <w:rsid w:val="4AC72AD7"/>
    <w:rsid w:val="4AC97E97"/>
    <w:rsid w:val="4AD52CE0"/>
    <w:rsid w:val="4AD53D34"/>
    <w:rsid w:val="4AD54A8E"/>
    <w:rsid w:val="4AD55CF6"/>
    <w:rsid w:val="4AD6479B"/>
    <w:rsid w:val="4AD8242D"/>
    <w:rsid w:val="4AE729B3"/>
    <w:rsid w:val="4AE83552"/>
    <w:rsid w:val="4AEB4773"/>
    <w:rsid w:val="4AF1036B"/>
    <w:rsid w:val="4AF84C20"/>
    <w:rsid w:val="4B047E79"/>
    <w:rsid w:val="4B055DDA"/>
    <w:rsid w:val="4B133808"/>
    <w:rsid w:val="4B140B00"/>
    <w:rsid w:val="4B177484"/>
    <w:rsid w:val="4B1F5D09"/>
    <w:rsid w:val="4B206F4A"/>
    <w:rsid w:val="4B223A4B"/>
    <w:rsid w:val="4B241572"/>
    <w:rsid w:val="4B2B6DA4"/>
    <w:rsid w:val="4B2D35EC"/>
    <w:rsid w:val="4B373E0F"/>
    <w:rsid w:val="4B375749"/>
    <w:rsid w:val="4B3D2B27"/>
    <w:rsid w:val="4B3D6AD7"/>
    <w:rsid w:val="4B3F0159"/>
    <w:rsid w:val="4B410375"/>
    <w:rsid w:val="4B4340EE"/>
    <w:rsid w:val="4B49722A"/>
    <w:rsid w:val="4B4B650F"/>
    <w:rsid w:val="4B58746D"/>
    <w:rsid w:val="4B5A4F93"/>
    <w:rsid w:val="4B5E6EB7"/>
    <w:rsid w:val="4B6202EC"/>
    <w:rsid w:val="4B643050"/>
    <w:rsid w:val="4B663938"/>
    <w:rsid w:val="4B6E4EE3"/>
    <w:rsid w:val="4B6E62AA"/>
    <w:rsid w:val="4B79502C"/>
    <w:rsid w:val="4B7C13AE"/>
    <w:rsid w:val="4B8743DD"/>
    <w:rsid w:val="4B8806DC"/>
    <w:rsid w:val="4B8E4932"/>
    <w:rsid w:val="4B9506C1"/>
    <w:rsid w:val="4B964554"/>
    <w:rsid w:val="4B974814"/>
    <w:rsid w:val="4B9762C0"/>
    <w:rsid w:val="4B9D30D2"/>
    <w:rsid w:val="4B9F32EE"/>
    <w:rsid w:val="4BA252A4"/>
    <w:rsid w:val="4BA44460"/>
    <w:rsid w:val="4BA916AB"/>
    <w:rsid w:val="4BAB1C93"/>
    <w:rsid w:val="4BAD5A0B"/>
    <w:rsid w:val="4BAF3531"/>
    <w:rsid w:val="4BB23021"/>
    <w:rsid w:val="4BBB78AA"/>
    <w:rsid w:val="4BC01147"/>
    <w:rsid w:val="4BC36FDC"/>
    <w:rsid w:val="4BCC5028"/>
    <w:rsid w:val="4BD046E5"/>
    <w:rsid w:val="4BD25472"/>
    <w:rsid w:val="4BD40E87"/>
    <w:rsid w:val="4BD51A25"/>
    <w:rsid w:val="4BDA5A90"/>
    <w:rsid w:val="4BDA60D4"/>
    <w:rsid w:val="4BDF12E5"/>
    <w:rsid w:val="4BEB02E1"/>
    <w:rsid w:val="4BF1634C"/>
    <w:rsid w:val="4BF453E8"/>
    <w:rsid w:val="4BF47196"/>
    <w:rsid w:val="4BF61160"/>
    <w:rsid w:val="4BF75A90"/>
    <w:rsid w:val="4BFC3701"/>
    <w:rsid w:val="4BFF5B3B"/>
    <w:rsid w:val="4C070712"/>
    <w:rsid w:val="4C07336D"/>
    <w:rsid w:val="4C0B44E0"/>
    <w:rsid w:val="4C0F3FD0"/>
    <w:rsid w:val="4C150AB7"/>
    <w:rsid w:val="4C176BF2"/>
    <w:rsid w:val="4C17747E"/>
    <w:rsid w:val="4C177634"/>
    <w:rsid w:val="4C2973D6"/>
    <w:rsid w:val="4C2A0E0A"/>
    <w:rsid w:val="4C2D2E42"/>
    <w:rsid w:val="4C325F10"/>
    <w:rsid w:val="4C345F7A"/>
    <w:rsid w:val="4C39104D"/>
    <w:rsid w:val="4C392DFB"/>
    <w:rsid w:val="4C3C28EB"/>
    <w:rsid w:val="4C431ECB"/>
    <w:rsid w:val="4C435D95"/>
    <w:rsid w:val="4C455C43"/>
    <w:rsid w:val="4C4B0D80"/>
    <w:rsid w:val="4C510646"/>
    <w:rsid w:val="4C52210E"/>
    <w:rsid w:val="4C575977"/>
    <w:rsid w:val="4C592E7C"/>
    <w:rsid w:val="4C5C2F8D"/>
    <w:rsid w:val="4C5C727E"/>
    <w:rsid w:val="4C60482B"/>
    <w:rsid w:val="4C651E42"/>
    <w:rsid w:val="4C653BF0"/>
    <w:rsid w:val="4C6B4F7E"/>
    <w:rsid w:val="4C6F2CC0"/>
    <w:rsid w:val="4C6F4A6E"/>
    <w:rsid w:val="4C781A7F"/>
    <w:rsid w:val="4C79769B"/>
    <w:rsid w:val="4C7A3B96"/>
    <w:rsid w:val="4C7D48E6"/>
    <w:rsid w:val="4C805297"/>
    <w:rsid w:val="4C87000A"/>
    <w:rsid w:val="4C8C40E0"/>
    <w:rsid w:val="4C96649F"/>
    <w:rsid w:val="4C974F03"/>
    <w:rsid w:val="4C97554E"/>
    <w:rsid w:val="4C9D782D"/>
    <w:rsid w:val="4CA301C9"/>
    <w:rsid w:val="4CA31D79"/>
    <w:rsid w:val="4CA706AC"/>
    <w:rsid w:val="4CB31B3D"/>
    <w:rsid w:val="4CBD46A4"/>
    <w:rsid w:val="4CC41E36"/>
    <w:rsid w:val="4CC53781"/>
    <w:rsid w:val="4CC70D3F"/>
    <w:rsid w:val="4CD45776"/>
    <w:rsid w:val="4CD946AF"/>
    <w:rsid w:val="4CDB0356"/>
    <w:rsid w:val="4CE114E8"/>
    <w:rsid w:val="4CEF09AC"/>
    <w:rsid w:val="4CF3569F"/>
    <w:rsid w:val="4CF51418"/>
    <w:rsid w:val="4D0B0584"/>
    <w:rsid w:val="4D172984"/>
    <w:rsid w:val="4D1B69A4"/>
    <w:rsid w:val="4D2717ED"/>
    <w:rsid w:val="4D2B3D75"/>
    <w:rsid w:val="4D357A66"/>
    <w:rsid w:val="4D36558C"/>
    <w:rsid w:val="4D387556"/>
    <w:rsid w:val="4D3A1520"/>
    <w:rsid w:val="4D3C262E"/>
    <w:rsid w:val="4D402587"/>
    <w:rsid w:val="4D5022F6"/>
    <w:rsid w:val="4D553C64"/>
    <w:rsid w:val="4D5812A7"/>
    <w:rsid w:val="4D597AF4"/>
    <w:rsid w:val="4D6B60A2"/>
    <w:rsid w:val="4D6B792C"/>
    <w:rsid w:val="4D754306"/>
    <w:rsid w:val="4D7560B4"/>
    <w:rsid w:val="4D78636E"/>
    <w:rsid w:val="4D8056D5"/>
    <w:rsid w:val="4D8C33FE"/>
    <w:rsid w:val="4D9C5D37"/>
    <w:rsid w:val="4D9F1383"/>
    <w:rsid w:val="4DA1334D"/>
    <w:rsid w:val="4DA90454"/>
    <w:rsid w:val="4DA93FB0"/>
    <w:rsid w:val="4DAC20D0"/>
    <w:rsid w:val="4DAC4ACA"/>
    <w:rsid w:val="4DB75168"/>
    <w:rsid w:val="4DBE5CAD"/>
    <w:rsid w:val="4DC36FD1"/>
    <w:rsid w:val="4DC51B47"/>
    <w:rsid w:val="4DCA28A4"/>
    <w:rsid w:val="4DDD3C5A"/>
    <w:rsid w:val="4DDE1EAC"/>
    <w:rsid w:val="4DE85CF6"/>
    <w:rsid w:val="4DEA0BB2"/>
    <w:rsid w:val="4DF2028E"/>
    <w:rsid w:val="4E0929FA"/>
    <w:rsid w:val="4E0A23FF"/>
    <w:rsid w:val="4E0D23AD"/>
    <w:rsid w:val="4E133F60"/>
    <w:rsid w:val="4E1B3100"/>
    <w:rsid w:val="4E1C0C26"/>
    <w:rsid w:val="4E2142A9"/>
    <w:rsid w:val="4E261AA5"/>
    <w:rsid w:val="4E281379"/>
    <w:rsid w:val="4E3F66C2"/>
    <w:rsid w:val="4E4454AB"/>
    <w:rsid w:val="4E451F2B"/>
    <w:rsid w:val="4E4D47C5"/>
    <w:rsid w:val="4E4F4E1D"/>
    <w:rsid w:val="4E5258FB"/>
    <w:rsid w:val="4E5D709A"/>
    <w:rsid w:val="4E5E123E"/>
    <w:rsid w:val="4E5E4D9B"/>
    <w:rsid w:val="4E5F235C"/>
    <w:rsid w:val="4E683E6B"/>
    <w:rsid w:val="4E6C5709"/>
    <w:rsid w:val="4E7147DF"/>
    <w:rsid w:val="4E740A62"/>
    <w:rsid w:val="4E797E26"/>
    <w:rsid w:val="4E7B4F3A"/>
    <w:rsid w:val="4E802F63"/>
    <w:rsid w:val="4E832A53"/>
    <w:rsid w:val="4E850579"/>
    <w:rsid w:val="4E8645F7"/>
    <w:rsid w:val="4E8979AE"/>
    <w:rsid w:val="4E9051F3"/>
    <w:rsid w:val="4EA056A9"/>
    <w:rsid w:val="4EA12ED9"/>
    <w:rsid w:val="4EA7124F"/>
    <w:rsid w:val="4EAC3CBD"/>
    <w:rsid w:val="4EB273E3"/>
    <w:rsid w:val="4EBB3F9B"/>
    <w:rsid w:val="4EBF6FC0"/>
    <w:rsid w:val="4EC54E1A"/>
    <w:rsid w:val="4EC72940"/>
    <w:rsid w:val="4EC81323"/>
    <w:rsid w:val="4ECE3A54"/>
    <w:rsid w:val="4ECF3EEA"/>
    <w:rsid w:val="4ED908C5"/>
    <w:rsid w:val="4EDE24FE"/>
    <w:rsid w:val="4EE07EA5"/>
    <w:rsid w:val="4EEB48FB"/>
    <w:rsid w:val="4EEC684A"/>
    <w:rsid w:val="4EED611E"/>
    <w:rsid w:val="4EF30134"/>
    <w:rsid w:val="4EF5033F"/>
    <w:rsid w:val="4EFE032C"/>
    <w:rsid w:val="4F040656"/>
    <w:rsid w:val="4F0516BA"/>
    <w:rsid w:val="4F082F58"/>
    <w:rsid w:val="4F0C76FA"/>
    <w:rsid w:val="4F1B712F"/>
    <w:rsid w:val="4F2064F4"/>
    <w:rsid w:val="4F343D4D"/>
    <w:rsid w:val="4F3B1580"/>
    <w:rsid w:val="4F3B7F03"/>
    <w:rsid w:val="4F3D2C02"/>
    <w:rsid w:val="4F4026F2"/>
    <w:rsid w:val="4F416B96"/>
    <w:rsid w:val="4F45117A"/>
    <w:rsid w:val="4F4514B9"/>
    <w:rsid w:val="4F4B2608"/>
    <w:rsid w:val="4F4C5E91"/>
    <w:rsid w:val="4F534001"/>
    <w:rsid w:val="4F5C39D0"/>
    <w:rsid w:val="4F5E38C5"/>
    <w:rsid w:val="4F68018C"/>
    <w:rsid w:val="4F6A4411"/>
    <w:rsid w:val="4F6C0472"/>
    <w:rsid w:val="4F6C1739"/>
    <w:rsid w:val="4F700E05"/>
    <w:rsid w:val="4F734EC4"/>
    <w:rsid w:val="4F871635"/>
    <w:rsid w:val="4F912F4E"/>
    <w:rsid w:val="4F9A62A6"/>
    <w:rsid w:val="4F9F38BD"/>
    <w:rsid w:val="4FA13429"/>
    <w:rsid w:val="4FA40ED3"/>
    <w:rsid w:val="4FA93450"/>
    <w:rsid w:val="4FAA2338"/>
    <w:rsid w:val="4FAB1172"/>
    <w:rsid w:val="4FB071BA"/>
    <w:rsid w:val="4FB13B8D"/>
    <w:rsid w:val="4FB1539E"/>
    <w:rsid w:val="4FB16BA6"/>
    <w:rsid w:val="4FB72413"/>
    <w:rsid w:val="4FBB12A6"/>
    <w:rsid w:val="4FBD3D43"/>
    <w:rsid w:val="4FC60E49"/>
    <w:rsid w:val="4FC7765E"/>
    <w:rsid w:val="4FCB31FF"/>
    <w:rsid w:val="4FD25A40"/>
    <w:rsid w:val="4FD5108C"/>
    <w:rsid w:val="4FD81D51"/>
    <w:rsid w:val="4FDD3A7F"/>
    <w:rsid w:val="4FDF63AF"/>
    <w:rsid w:val="4FE61EC7"/>
    <w:rsid w:val="4FEB01C7"/>
    <w:rsid w:val="4FEB4D54"/>
    <w:rsid w:val="4FF04026"/>
    <w:rsid w:val="4FF5558B"/>
    <w:rsid w:val="4FFF120E"/>
    <w:rsid w:val="5006043E"/>
    <w:rsid w:val="50175B49"/>
    <w:rsid w:val="501778F7"/>
    <w:rsid w:val="501A73E7"/>
    <w:rsid w:val="501C315F"/>
    <w:rsid w:val="50256650"/>
    <w:rsid w:val="50285660"/>
    <w:rsid w:val="502B6F59"/>
    <w:rsid w:val="5035213F"/>
    <w:rsid w:val="50367BCC"/>
    <w:rsid w:val="50463D38"/>
    <w:rsid w:val="50577CF3"/>
    <w:rsid w:val="50593A6B"/>
    <w:rsid w:val="505A5787"/>
    <w:rsid w:val="505C0F03"/>
    <w:rsid w:val="50630D8E"/>
    <w:rsid w:val="5066314E"/>
    <w:rsid w:val="5076286F"/>
    <w:rsid w:val="507B60BC"/>
    <w:rsid w:val="50804243"/>
    <w:rsid w:val="50863F0E"/>
    <w:rsid w:val="50877DE9"/>
    <w:rsid w:val="509176A9"/>
    <w:rsid w:val="50920766"/>
    <w:rsid w:val="50974594"/>
    <w:rsid w:val="50A15412"/>
    <w:rsid w:val="50A25AD7"/>
    <w:rsid w:val="50A5479F"/>
    <w:rsid w:val="50AA2519"/>
    <w:rsid w:val="50B36711"/>
    <w:rsid w:val="50BE173C"/>
    <w:rsid w:val="50BF46B5"/>
    <w:rsid w:val="50C32124"/>
    <w:rsid w:val="50C50B26"/>
    <w:rsid w:val="50C6354B"/>
    <w:rsid w:val="50C636F7"/>
    <w:rsid w:val="50CD09CB"/>
    <w:rsid w:val="50CF3D2E"/>
    <w:rsid w:val="50D457E8"/>
    <w:rsid w:val="50D75B0C"/>
    <w:rsid w:val="50D8235D"/>
    <w:rsid w:val="50DB55BF"/>
    <w:rsid w:val="50DC644B"/>
    <w:rsid w:val="50E023F9"/>
    <w:rsid w:val="50E579F5"/>
    <w:rsid w:val="50E7551B"/>
    <w:rsid w:val="50EC10D6"/>
    <w:rsid w:val="50EE4AFC"/>
    <w:rsid w:val="50F25C6E"/>
    <w:rsid w:val="50FB0FC7"/>
    <w:rsid w:val="50FD3D3E"/>
    <w:rsid w:val="51020AA1"/>
    <w:rsid w:val="510559A1"/>
    <w:rsid w:val="5112495F"/>
    <w:rsid w:val="511856D5"/>
    <w:rsid w:val="511B754A"/>
    <w:rsid w:val="51204589"/>
    <w:rsid w:val="51226553"/>
    <w:rsid w:val="512C73D2"/>
    <w:rsid w:val="51363DAD"/>
    <w:rsid w:val="513762A6"/>
    <w:rsid w:val="514364CA"/>
    <w:rsid w:val="51450494"/>
    <w:rsid w:val="515406D7"/>
    <w:rsid w:val="515626A1"/>
    <w:rsid w:val="51583D23"/>
    <w:rsid w:val="51606DB2"/>
    <w:rsid w:val="5165265C"/>
    <w:rsid w:val="51677206"/>
    <w:rsid w:val="51695F30"/>
    <w:rsid w:val="516A7EFA"/>
    <w:rsid w:val="516B1768"/>
    <w:rsid w:val="516C72A2"/>
    <w:rsid w:val="516F4BE7"/>
    <w:rsid w:val="51714DE5"/>
    <w:rsid w:val="5176064D"/>
    <w:rsid w:val="517843C5"/>
    <w:rsid w:val="517D19DC"/>
    <w:rsid w:val="517D3BB6"/>
    <w:rsid w:val="518260BE"/>
    <w:rsid w:val="51850890"/>
    <w:rsid w:val="5187285A"/>
    <w:rsid w:val="518E0D7A"/>
    <w:rsid w:val="519B00B4"/>
    <w:rsid w:val="51AA471F"/>
    <w:rsid w:val="51AC615D"/>
    <w:rsid w:val="51BD5907"/>
    <w:rsid w:val="51C63383"/>
    <w:rsid w:val="51CC5E14"/>
    <w:rsid w:val="51D07D5D"/>
    <w:rsid w:val="51D11D63"/>
    <w:rsid w:val="51D51818"/>
    <w:rsid w:val="51D75590"/>
    <w:rsid w:val="51ED4DB3"/>
    <w:rsid w:val="51F92090"/>
    <w:rsid w:val="51FB0B52"/>
    <w:rsid w:val="51FB5AF8"/>
    <w:rsid w:val="51FD2B1C"/>
    <w:rsid w:val="52024F4A"/>
    <w:rsid w:val="52036385"/>
    <w:rsid w:val="5213447D"/>
    <w:rsid w:val="52152E53"/>
    <w:rsid w:val="521D477A"/>
    <w:rsid w:val="52214A5D"/>
    <w:rsid w:val="5230738F"/>
    <w:rsid w:val="52354064"/>
    <w:rsid w:val="52383B54"/>
    <w:rsid w:val="523A157F"/>
    <w:rsid w:val="5244074B"/>
    <w:rsid w:val="525564B4"/>
    <w:rsid w:val="52595FA5"/>
    <w:rsid w:val="525F1DED"/>
    <w:rsid w:val="526959D1"/>
    <w:rsid w:val="526C7ABA"/>
    <w:rsid w:val="52704D94"/>
    <w:rsid w:val="52706D8F"/>
    <w:rsid w:val="52752746"/>
    <w:rsid w:val="527A5569"/>
    <w:rsid w:val="527B646A"/>
    <w:rsid w:val="52825CD0"/>
    <w:rsid w:val="52831274"/>
    <w:rsid w:val="528648C0"/>
    <w:rsid w:val="52884ADC"/>
    <w:rsid w:val="5297279D"/>
    <w:rsid w:val="529B7A17"/>
    <w:rsid w:val="529B7FFB"/>
    <w:rsid w:val="529E31AB"/>
    <w:rsid w:val="52A01E26"/>
    <w:rsid w:val="52B551A5"/>
    <w:rsid w:val="52C11D9C"/>
    <w:rsid w:val="52C22EFB"/>
    <w:rsid w:val="52C65CCD"/>
    <w:rsid w:val="52D47D21"/>
    <w:rsid w:val="52E141EC"/>
    <w:rsid w:val="52EB65EF"/>
    <w:rsid w:val="52FA40B1"/>
    <w:rsid w:val="52FE538A"/>
    <w:rsid w:val="530C3017"/>
    <w:rsid w:val="5312018A"/>
    <w:rsid w:val="531243A6"/>
    <w:rsid w:val="531B5950"/>
    <w:rsid w:val="531D5224"/>
    <w:rsid w:val="531E6161"/>
    <w:rsid w:val="531E71EE"/>
    <w:rsid w:val="532109CD"/>
    <w:rsid w:val="5322219A"/>
    <w:rsid w:val="53315FDD"/>
    <w:rsid w:val="533407C0"/>
    <w:rsid w:val="53397B84"/>
    <w:rsid w:val="53456529"/>
    <w:rsid w:val="534C68D8"/>
    <w:rsid w:val="534D74AF"/>
    <w:rsid w:val="535569D5"/>
    <w:rsid w:val="53560F47"/>
    <w:rsid w:val="535B15B5"/>
    <w:rsid w:val="53607807"/>
    <w:rsid w:val="537137C2"/>
    <w:rsid w:val="53740BBC"/>
    <w:rsid w:val="53741922"/>
    <w:rsid w:val="53794425"/>
    <w:rsid w:val="537D1C8A"/>
    <w:rsid w:val="537F7B8D"/>
    <w:rsid w:val="538057B3"/>
    <w:rsid w:val="538E1E04"/>
    <w:rsid w:val="5394300C"/>
    <w:rsid w:val="539F032F"/>
    <w:rsid w:val="53A94D0A"/>
    <w:rsid w:val="53AF1153"/>
    <w:rsid w:val="53C03E02"/>
    <w:rsid w:val="53C50E71"/>
    <w:rsid w:val="53C9715A"/>
    <w:rsid w:val="53D17DBD"/>
    <w:rsid w:val="53D8114B"/>
    <w:rsid w:val="53DD49B3"/>
    <w:rsid w:val="53DE2F6F"/>
    <w:rsid w:val="53E17907"/>
    <w:rsid w:val="53E53868"/>
    <w:rsid w:val="53EA0E7E"/>
    <w:rsid w:val="53EB70D0"/>
    <w:rsid w:val="53EC109A"/>
    <w:rsid w:val="53ED08FF"/>
    <w:rsid w:val="53F20208"/>
    <w:rsid w:val="53F341D7"/>
    <w:rsid w:val="53F73CC7"/>
    <w:rsid w:val="53F83BBD"/>
    <w:rsid w:val="53FB3B1D"/>
    <w:rsid w:val="5407552B"/>
    <w:rsid w:val="54183C3E"/>
    <w:rsid w:val="54196BAA"/>
    <w:rsid w:val="54282699"/>
    <w:rsid w:val="54285E64"/>
    <w:rsid w:val="54422A68"/>
    <w:rsid w:val="54446DEC"/>
    <w:rsid w:val="544B7B6F"/>
    <w:rsid w:val="54537B65"/>
    <w:rsid w:val="545D5EF6"/>
    <w:rsid w:val="54612FF9"/>
    <w:rsid w:val="54696247"/>
    <w:rsid w:val="547215A0"/>
    <w:rsid w:val="54754BEC"/>
    <w:rsid w:val="547F5A6B"/>
    <w:rsid w:val="548E3152"/>
    <w:rsid w:val="54907C78"/>
    <w:rsid w:val="5492579E"/>
    <w:rsid w:val="54930741"/>
    <w:rsid w:val="54996B2C"/>
    <w:rsid w:val="549A4653"/>
    <w:rsid w:val="54A07B2F"/>
    <w:rsid w:val="54A35BFD"/>
    <w:rsid w:val="54A61249"/>
    <w:rsid w:val="54A66EE6"/>
    <w:rsid w:val="54AB58BE"/>
    <w:rsid w:val="54B13782"/>
    <w:rsid w:val="54B43966"/>
    <w:rsid w:val="54B52D8E"/>
    <w:rsid w:val="54BD75DE"/>
    <w:rsid w:val="54C53DC5"/>
    <w:rsid w:val="54CA6A15"/>
    <w:rsid w:val="54D86E3A"/>
    <w:rsid w:val="54D9161F"/>
    <w:rsid w:val="54DE4E87"/>
    <w:rsid w:val="54E0475B"/>
    <w:rsid w:val="54E40086"/>
    <w:rsid w:val="54E56216"/>
    <w:rsid w:val="54E57124"/>
    <w:rsid w:val="54E577FA"/>
    <w:rsid w:val="54E63D3C"/>
    <w:rsid w:val="54EE37EA"/>
    <w:rsid w:val="54F159AB"/>
    <w:rsid w:val="54F216D5"/>
    <w:rsid w:val="54F2448F"/>
    <w:rsid w:val="54F45305"/>
    <w:rsid w:val="55015561"/>
    <w:rsid w:val="55094EF9"/>
    <w:rsid w:val="550F3292"/>
    <w:rsid w:val="551065AB"/>
    <w:rsid w:val="55180399"/>
    <w:rsid w:val="55195EBF"/>
    <w:rsid w:val="55224664"/>
    <w:rsid w:val="55241A05"/>
    <w:rsid w:val="552D196B"/>
    <w:rsid w:val="552D3719"/>
    <w:rsid w:val="552E2FE9"/>
    <w:rsid w:val="553625CD"/>
    <w:rsid w:val="55386341"/>
    <w:rsid w:val="553E1482"/>
    <w:rsid w:val="55434CEA"/>
    <w:rsid w:val="554738F5"/>
    <w:rsid w:val="5552317F"/>
    <w:rsid w:val="55546EF7"/>
    <w:rsid w:val="555667CB"/>
    <w:rsid w:val="555E7D76"/>
    <w:rsid w:val="55674E7D"/>
    <w:rsid w:val="556B4035"/>
    <w:rsid w:val="556E620B"/>
    <w:rsid w:val="556F1D9F"/>
    <w:rsid w:val="556F788D"/>
    <w:rsid w:val="557A0D15"/>
    <w:rsid w:val="557A1216"/>
    <w:rsid w:val="557B2E4B"/>
    <w:rsid w:val="55825812"/>
    <w:rsid w:val="558570B1"/>
    <w:rsid w:val="558E225D"/>
    <w:rsid w:val="55937A20"/>
    <w:rsid w:val="559B0682"/>
    <w:rsid w:val="559B4B26"/>
    <w:rsid w:val="55A0038E"/>
    <w:rsid w:val="55A256E3"/>
    <w:rsid w:val="55A35789"/>
    <w:rsid w:val="55A504E4"/>
    <w:rsid w:val="55A576A2"/>
    <w:rsid w:val="55A90FF1"/>
    <w:rsid w:val="55AA2FBB"/>
    <w:rsid w:val="55AD3642"/>
    <w:rsid w:val="55AF05D2"/>
    <w:rsid w:val="55AF2380"/>
    <w:rsid w:val="55B300C2"/>
    <w:rsid w:val="55BD684B"/>
    <w:rsid w:val="55BF1FC7"/>
    <w:rsid w:val="55C62F77"/>
    <w:rsid w:val="55CA0F67"/>
    <w:rsid w:val="55D43B94"/>
    <w:rsid w:val="55D818D6"/>
    <w:rsid w:val="55E70297"/>
    <w:rsid w:val="55F85053"/>
    <w:rsid w:val="55F93BD0"/>
    <w:rsid w:val="56004989"/>
    <w:rsid w:val="560501F2"/>
    <w:rsid w:val="56075D18"/>
    <w:rsid w:val="56076FA5"/>
    <w:rsid w:val="56082EE6"/>
    <w:rsid w:val="560E70A6"/>
    <w:rsid w:val="5616545C"/>
    <w:rsid w:val="56196ACA"/>
    <w:rsid w:val="561B4F10"/>
    <w:rsid w:val="56343E9A"/>
    <w:rsid w:val="56352885"/>
    <w:rsid w:val="56356D29"/>
    <w:rsid w:val="563A7E9B"/>
    <w:rsid w:val="563F3703"/>
    <w:rsid w:val="56446F6C"/>
    <w:rsid w:val="56575EE6"/>
    <w:rsid w:val="565C2507"/>
    <w:rsid w:val="565E26FD"/>
    <w:rsid w:val="565E4A50"/>
    <w:rsid w:val="565F7902"/>
    <w:rsid w:val="566118CC"/>
    <w:rsid w:val="5661367A"/>
    <w:rsid w:val="56616D4A"/>
    <w:rsid w:val="56633896"/>
    <w:rsid w:val="56690780"/>
    <w:rsid w:val="566B4CD4"/>
    <w:rsid w:val="566E56D4"/>
    <w:rsid w:val="567F61F6"/>
    <w:rsid w:val="56821842"/>
    <w:rsid w:val="568E6439"/>
    <w:rsid w:val="568F6618"/>
    <w:rsid w:val="5699538C"/>
    <w:rsid w:val="569A45DF"/>
    <w:rsid w:val="569D433F"/>
    <w:rsid w:val="56A96DCF"/>
    <w:rsid w:val="56AA3137"/>
    <w:rsid w:val="56B23ED5"/>
    <w:rsid w:val="56B440F1"/>
    <w:rsid w:val="56B55774"/>
    <w:rsid w:val="56B85264"/>
    <w:rsid w:val="56BA722E"/>
    <w:rsid w:val="56BC6B02"/>
    <w:rsid w:val="56C43C09"/>
    <w:rsid w:val="56C9121F"/>
    <w:rsid w:val="56D4209E"/>
    <w:rsid w:val="56D455F1"/>
    <w:rsid w:val="56E322E1"/>
    <w:rsid w:val="56E436DA"/>
    <w:rsid w:val="56E71659"/>
    <w:rsid w:val="56EC7679"/>
    <w:rsid w:val="56EE0F83"/>
    <w:rsid w:val="56F444EE"/>
    <w:rsid w:val="56FC27FF"/>
    <w:rsid w:val="56FF14FB"/>
    <w:rsid w:val="570010E5"/>
    <w:rsid w:val="57172725"/>
    <w:rsid w:val="571D7828"/>
    <w:rsid w:val="57234DD3"/>
    <w:rsid w:val="57346FE0"/>
    <w:rsid w:val="5735078A"/>
    <w:rsid w:val="57376AD1"/>
    <w:rsid w:val="57401EA9"/>
    <w:rsid w:val="57431626"/>
    <w:rsid w:val="57435475"/>
    <w:rsid w:val="5748116E"/>
    <w:rsid w:val="574A6804"/>
    <w:rsid w:val="574E13B2"/>
    <w:rsid w:val="574F5BC8"/>
    <w:rsid w:val="57603931"/>
    <w:rsid w:val="576A0C54"/>
    <w:rsid w:val="576E7FE6"/>
    <w:rsid w:val="576F1DC6"/>
    <w:rsid w:val="57763155"/>
    <w:rsid w:val="577D2735"/>
    <w:rsid w:val="579051E9"/>
    <w:rsid w:val="57935094"/>
    <w:rsid w:val="579637F7"/>
    <w:rsid w:val="579920BA"/>
    <w:rsid w:val="579B3D40"/>
    <w:rsid w:val="57A05CB7"/>
    <w:rsid w:val="57A06022"/>
    <w:rsid w:val="57A10B57"/>
    <w:rsid w:val="57BF5FD4"/>
    <w:rsid w:val="57C13D24"/>
    <w:rsid w:val="57C20AC5"/>
    <w:rsid w:val="57C3022A"/>
    <w:rsid w:val="57CA6C3D"/>
    <w:rsid w:val="57CE0F24"/>
    <w:rsid w:val="57D836EC"/>
    <w:rsid w:val="57DA770B"/>
    <w:rsid w:val="57E26A3C"/>
    <w:rsid w:val="57E502DB"/>
    <w:rsid w:val="57E73521"/>
    <w:rsid w:val="57F81DBC"/>
    <w:rsid w:val="58047C4F"/>
    <w:rsid w:val="58056FFF"/>
    <w:rsid w:val="58085D3D"/>
    <w:rsid w:val="581A4428"/>
    <w:rsid w:val="581B1F4E"/>
    <w:rsid w:val="581B5AAA"/>
    <w:rsid w:val="581D1822"/>
    <w:rsid w:val="583062CE"/>
    <w:rsid w:val="58360B36"/>
    <w:rsid w:val="583B12A8"/>
    <w:rsid w:val="583C619A"/>
    <w:rsid w:val="58422E3D"/>
    <w:rsid w:val="58495894"/>
    <w:rsid w:val="584F1C4F"/>
    <w:rsid w:val="58564D34"/>
    <w:rsid w:val="58615BB3"/>
    <w:rsid w:val="5863438A"/>
    <w:rsid w:val="586631C9"/>
    <w:rsid w:val="586B2293"/>
    <w:rsid w:val="586C27AA"/>
    <w:rsid w:val="58727DC0"/>
    <w:rsid w:val="58733B38"/>
    <w:rsid w:val="587647D5"/>
    <w:rsid w:val="58810003"/>
    <w:rsid w:val="58825B29"/>
    <w:rsid w:val="5886561A"/>
    <w:rsid w:val="588751FD"/>
    <w:rsid w:val="588875E4"/>
    <w:rsid w:val="5889335C"/>
    <w:rsid w:val="588E3AA5"/>
    <w:rsid w:val="58931AE5"/>
    <w:rsid w:val="589324AE"/>
    <w:rsid w:val="589A2E73"/>
    <w:rsid w:val="589C308F"/>
    <w:rsid w:val="58A07243"/>
    <w:rsid w:val="58A65CBC"/>
    <w:rsid w:val="58AE2D18"/>
    <w:rsid w:val="58B303D9"/>
    <w:rsid w:val="58B71C77"/>
    <w:rsid w:val="58C223CA"/>
    <w:rsid w:val="58C6030A"/>
    <w:rsid w:val="58C61F82"/>
    <w:rsid w:val="58C8623C"/>
    <w:rsid w:val="58C92E19"/>
    <w:rsid w:val="58D02D39"/>
    <w:rsid w:val="58D1771E"/>
    <w:rsid w:val="58E46002"/>
    <w:rsid w:val="58E90372"/>
    <w:rsid w:val="58ED3575"/>
    <w:rsid w:val="58F018D7"/>
    <w:rsid w:val="58F033DB"/>
    <w:rsid w:val="59060509"/>
    <w:rsid w:val="5909243F"/>
    <w:rsid w:val="59172716"/>
    <w:rsid w:val="591E37F4"/>
    <w:rsid w:val="59232E69"/>
    <w:rsid w:val="5927712F"/>
    <w:rsid w:val="59352B9C"/>
    <w:rsid w:val="593C6736"/>
    <w:rsid w:val="594A4EFC"/>
    <w:rsid w:val="59543BB4"/>
    <w:rsid w:val="595E0345"/>
    <w:rsid w:val="59723DF0"/>
    <w:rsid w:val="597D6D22"/>
    <w:rsid w:val="597E40F8"/>
    <w:rsid w:val="597E4543"/>
    <w:rsid w:val="59835FFD"/>
    <w:rsid w:val="59882670"/>
    <w:rsid w:val="599124C8"/>
    <w:rsid w:val="599B193E"/>
    <w:rsid w:val="59A07D9A"/>
    <w:rsid w:val="59BA481A"/>
    <w:rsid w:val="59BB12F3"/>
    <w:rsid w:val="59C445BF"/>
    <w:rsid w:val="59C503FE"/>
    <w:rsid w:val="59D32AE1"/>
    <w:rsid w:val="59D81EA5"/>
    <w:rsid w:val="59E20F76"/>
    <w:rsid w:val="59EE3EC5"/>
    <w:rsid w:val="59EF1191"/>
    <w:rsid w:val="59F1740B"/>
    <w:rsid w:val="59F9006D"/>
    <w:rsid w:val="59FB327B"/>
    <w:rsid w:val="5A0A04CC"/>
    <w:rsid w:val="5A130056"/>
    <w:rsid w:val="5A24333C"/>
    <w:rsid w:val="5A2E5F69"/>
    <w:rsid w:val="5A355549"/>
    <w:rsid w:val="5A386DE8"/>
    <w:rsid w:val="5A3A32AF"/>
    <w:rsid w:val="5A3C08E2"/>
    <w:rsid w:val="5A4126B8"/>
    <w:rsid w:val="5A4440A8"/>
    <w:rsid w:val="5A44753A"/>
    <w:rsid w:val="5A453B87"/>
    <w:rsid w:val="5A4F5EDF"/>
    <w:rsid w:val="5A53777D"/>
    <w:rsid w:val="5A5A4FB0"/>
    <w:rsid w:val="5A5B1DED"/>
    <w:rsid w:val="5A5B4884"/>
    <w:rsid w:val="5A627D25"/>
    <w:rsid w:val="5A6663EC"/>
    <w:rsid w:val="5A673229"/>
    <w:rsid w:val="5A676E82"/>
    <w:rsid w:val="5A7542C1"/>
    <w:rsid w:val="5A76387F"/>
    <w:rsid w:val="5A7B1F0C"/>
    <w:rsid w:val="5A7F0B4D"/>
    <w:rsid w:val="5A7F4A16"/>
    <w:rsid w:val="5A813D7F"/>
    <w:rsid w:val="5A8416D8"/>
    <w:rsid w:val="5A8770DA"/>
    <w:rsid w:val="5A8A4156"/>
    <w:rsid w:val="5A9D2814"/>
    <w:rsid w:val="5AA02F8E"/>
    <w:rsid w:val="5AA1498D"/>
    <w:rsid w:val="5AB0511D"/>
    <w:rsid w:val="5AB3215E"/>
    <w:rsid w:val="5ABB05D6"/>
    <w:rsid w:val="5AC41895"/>
    <w:rsid w:val="5ACC00D6"/>
    <w:rsid w:val="5AD73B2D"/>
    <w:rsid w:val="5AD92379"/>
    <w:rsid w:val="5ADC7773"/>
    <w:rsid w:val="5ADE201A"/>
    <w:rsid w:val="5AE35A67"/>
    <w:rsid w:val="5AEE56F8"/>
    <w:rsid w:val="5AF56A87"/>
    <w:rsid w:val="5AFA409D"/>
    <w:rsid w:val="5B022F52"/>
    <w:rsid w:val="5B0311A3"/>
    <w:rsid w:val="5B062A42"/>
    <w:rsid w:val="5B1038C0"/>
    <w:rsid w:val="5B150ED7"/>
    <w:rsid w:val="5B184523"/>
    <w:rsid w:val="5B1E7D8B"/>
    <w:rsid w:val="5B266EFD"/>
    <w:rsid w:val="5B370C30"/>
    <w:rsid w:val="5B423199"/>
    <w:rsid w:val="5B430127"/>
    <w:rsid w:val="5B4377F2"/>
    <w:rsid w:val="5B4669BF"/>
    <w:rsid w:val="5B4A5024"/>
    <w:rsid w:val="5B4B2214"/>
    <w:rsid w:val="5B5714EF"/>
    <w:rsid w:val="5B590DC3"/>
    <w:rsid w:val="5B597015"/>
    <w:rsid w:val="5B5C4D58"/>
    <w:rsid w:val="5B6854AA"/>
    <w:rsid w:val="5B6C5E29"/>
    <w:rsid w:val="5B706CF3"/>
    <w:rsid w:val="5B7200D7"/>
    <w:rsid w:val="5B7756EE"/>
    <w:rsid w:val="5B7A6F8C"/>
    <w:rsid w:val="5B85605C"/>
    <w:rsid w:val="5B861235"/>
    <w:rsid w:val="5B872136"/>
    <w:rsid w:val="5B8A693E"/>
    <w:rsid w:val="5B933F79"/>
    <w:rsid w:val="5B93792A"/>
    <w:rsid w:val="5B9C6F02"/>
    <w:rsid w:val="5BA02E96"/>
    <w:rsid w:val="5BA54009"/>
    <w:rsid w:val="5BA746EF"/>
    <w:rsid w:val="5BA748A4"/>
    <w:rsid w:val="5BAA5AC3"/>
    <w:rsid w:val="5BAD2995"/>
    <w:rsid w:val="5BAF5A18"/>
    <w:rsid w:val="5BB65DB4"/>
    <w:rsid w:val="5BB823D4"/>
    <w:rsid w:val="5BBA55DA"/>
    <w:rsid w:val="5BC16969"/>
    <w:rsid w:val="5BC22F58"/>
    <w:rsid w:val="5BC872EC"/>
    <w:rsid w:val="5BC934AE"/>
    <w:rsid w:val="5BD33445"/>
    <w:rsid w:val="5BD36320"/>
    <w:rsid w:val="5BE508A9"/>
    <w:rsid w:val="5BEF03FF"/>
    <w:rsid w:val="5BF31218"/>
    <w:rsid w:val="5BFF1C79"/>
    <w:rsid w:val="5C074A7D"/>
    <w:rsid w:val="5C074CC3"/>
    <w:rsid w:val="5C0C0EB5"/>
    <w:rsid w:val="5C1271C4"/>
    <w:rsid w:val="5C164525"/>
    <w:rsid w:val="5C273E95"/>
    <w:rsid w:val="5C2C64D8"/>
    <w:rsid w:val="5C337866"/>
    <w:rsid w:val="5C3B2BBF"/>
    <w:rsid w:val="5C3D6937"/>
    <w:rsid w:val="5C3F445D"/>
    <w:rsid w:val="5C5060C3"/>
    <w:rsid w:val="5C545A2F"/>
    <w:rsid w:val="5C5477DD"/>
    <w:rsid w:val="5C5617A7"/>
    <w:rsid w:val="5C58551F"/>
    <w:rsid w:val="5C677510"/>
    <w:rsid w:val="5C6B34A4"/>
    <w:rsid w:val="5C6E6AF1"/>
    <w:rsid w:val="5C7165E1"/>
    <w:rsid w:val="5C74717A"/>
    <w:rsid w:val="5C757E7F"/>
    <w:rsid w:val="5C950521"/>
    <w:rsid w:val="5C9E12FA"/>
    <w:rsid w:val="5CA67C9A"/>
    <w:rsid w:val="5CA954F9"/>
    <w:rsid w:val="5CA96851"/>
    <w:rsid w:val="5CAC6214"/>
    <w:rsid w:val="5CAE3391"/>
    <w:rsid w:val="5CB07109"/>
    <w:rsid w:val="5CB36BF9"/>
    <w:rsid w:val="5CB87D6C"/>
    <w:rsid w:val="5CBD6A4B"/>
    <w:rsid w:val="5CBD6C00"/>
    <w:rsid w:val="5CC2508E"/>
    <w:rsid w:val="5CC606DB"/>
    <w:rsid w:val="5CC71F9C"/>
    <w:rsid w:val="5CC826A5"/>
    <w:rsid w:val="5CC93B2E"/>
    <w:rsid w:val="5CDC6150"/>
    <w:rsid w:val="5CFB5EAA"/>
    <w:rsid w:val="5CFC1D3D"/>
    <w:rsid w:val="5D06571C"/>
    <w:rsid w:val="5D080CF3"/>
    <w:rsid w:val="5D092EE3"/>
    <w:rsid w:val="5D0E056E"/>
    <w:rsid w:val="5D1A0A26"/>
    <w:rsid w:val="5D1C02FB"/>
    <w:rsid w:val="5D1C64FA"/>
    <w:rsid w:val="5D1F428F"/>
    <w:rsid w:val="5D1F603D"/>
    <w:rsid w:val="5D235B2D"/>
    <w:rsid w:val="5D284EF1"/>
    <w:rsid w:val="5D2F2941"/>
    <w:rsid w:val="5D320DA7"/>
    <w:rsid w:val="5D352289"/>
    <w:rsid w:val="5D3A69D3"/>
    <w:rsid w:val="5D3E57E7"/>
    <w:rsid w:val="5D3F048D"/>
    <w:rsid w:val="5D3F4364"/>
    <w:rsid w:val="5D4567E9"/>
    <w:rsid w:val="5D467A6D"/>
    <w:rsid w:val="5D5201C0"/>
    <w:rsid w:val="5D55380D"/>
    <w:rsid w:val="5D5D133E"/>
    <w:rsid w:val="5D5D1C96"/>
    <w:rsid w:val="5D6D0B56"/>
    <w:rsid w:val="5D6D6DA8"/>
    <w:rsid w:val="5D7F0FB0"/>
    <w:rsid w:val="5D7F5BC5"/>
    <w:rsid w:val="5D8506A1"/>
    <w:rsid w:val="5D852344"/>
    <w:rsid w:val="5D881B42"/>
    <w:rsid w:val="5D911B45"/>
    <w:rsid w:val="5D916F3A"/>
    <w:rsid w:val="5D9702C9"/>
    <w:rsid w:val="5DA405FE"/>
    <w:rsid w:val="5DAB49FC"/>
    <w:rsid w:val="5DAF5613"/>
    <w:rsid w:val="5DAF67CF"/>
    <w:rsid w:val="5DBF350B"/>
    <w:rsid w:val="5DC064EF"/>
    <w:rsid w:val="5DC12353"/>
    <w:rsid w:val="5DC13DAD"/>
    <w:rsid w:val="5DC34C1A"/>
    <w:rsid w:val="5DCF5572"/>
    <w:rsid w:val="5DD40BD5"/>
    <w:rsid w:val="5DDE1A54"/>
    <w:rsid w:val="5DE75EA5"/>
    <w:rsid w:val="5DF271A3"/>
    <w:rsid w:val="5DFC012C"/>
    <w:rsid w:val="5E0771FD"/>
    <w:rsid w:val="5E0B036F"/>
    <w:rsid w:val="5E0F60B1"/>
    <w:rsid w:val="5E115985"/>
    <w:rsid w:val="5E185D25"/>
    <w:rsid w:val="5E190CDE"/>
    <w:rsid w:val="5E1A67C6"/>
    <w:rsid w:val="5E292356"/>
    <w:rsid w:val="5E3653EC"/>
    <w:rsid w:val="5E385608"/>
    <w:rsid w:val="5E39312E"/>
    <w:rsid w:val="5E3B7E93"/>
    <w:rsid w:val="5E3C677A"/>
    <w:rsid w:val="5E4105E7"/>
    <w:rsid w:val="5E414336"/>
    <w:rsid w:val="5E4512CB"/>
    <w:rsid w:val="5E465A3C"/>
    <w:rsid w:val="5E482795"/>
    <w:rsid w:val="5E4951BD"/>
    <w:rsid w:val="5E4C2E61"/>
    <w:rsid w:val="5E5252BB"/>
    <w:rsid w:val="5E547EAE"/>
    <w:rsid w:val="5E5D6E1D"/>
    <w:rsid w:val="5E67188D"/>
    <w:rsid w:val="5E6732B8"/>
    <w:rsid w:val="5E6A17CE"/>
    <w:rsid w:val="5E6C2174"/>
    <w:rsid w:val="5E6E7C43"/>
    <w:rsid w:val="5E6F582C"/>
    <w:rsid w:val="5E6F6B50"/>
    <w:rsid w:val="5E714792"/>
    <w:rsid w:val="5E7A5C21"/>
    <w:rsid w:val="5E806F6F"/>
    <w:rsid w:val="5E8B689C"/>
    <w:rsid w:val="5E8C37C6"/>
    <w:rsid w:val="5E93283E"/>
    <w:rsid w:val="5E9F11E3"/>
    <w:rsid w:val="5EA410AC"/>
    <w:rsid w:val="5EA944E1"/>
    <w:rsid w:val="5EAC7607"/>
    <w:rsid w:val="5EAE7678"/>
    <w:rsid w:val="5EBF3633"/>
    <w:rsid w:val="5EC21376"/>
    <w:rsid w:val="5EC56770"/>
    <w:rsid w:val="5ECB647C"/>
    <w:rsid w:val="5ECC5D50"/>
    <w:rsid w:val="5ED35331"/>
    <w:rsid w:val="5ED4172E"/>
    <w:rsid w:val="5ED6097D"/>
    <w:rsid w:val="5ED85791"/>
    <w:rsid w:val="5EE66E12"/>
    <w:rsid w:val="5EF52F7B"/>
    <w:rsid w:val="5EFC7E27"/>
    <w:rsid w:val="5EFD415C"/>
    <w:rsid w:val="5F061262"/>
    <w:rsid w:val="5F13572D"/>
    <w:rsid w:val="5F195121"/>
    <w:rsid w:val="5F1A63D6"/>
    <w:rsid w:val="5F1D65AC"/>
    <w:rsid w:val="5F245B8C"/>
    <w:rsid w:val="5F2D60E0"/>
    <w:rsid w:val="5F373350"/>
    <w:rsid w:val="5F381638"/>
    <w:rsid w:val="5F3B6A32"/>
    <w:rsid w:val="5F3C4C84"/>
    <w:rsid w:val="5F4019C2"/>
    <w:rsid w:val="5F411581"/>
    <w:rsid w:val="5F422A20"/>
    <w:rsid w:val="5F43353F"/>
    <w:rsid w:val="5F4467D8"/>
    <w:rsid w:val="5F4B77EB"/>
    <w:rsid w:val="5F4E230F"/>
    <w:rsid w:val="5F4E2C09"/>
    <w:rsid w:val="5F5A7800"/>
    <w:rsid w:val="5F601C40"/>
    <w:rsid w:val="5F697A43"/>
    <w:rsid w:val="5F776541"/>
    <w:rsid w:val="5F824661"/>
    <w:rsid w:val="5F8B5C0B"/>
    <w:rsid w:val="5F974510"/>
    <w:rsid w:val="5FA665A1"/>
    <w:rsid w:val="5FB23198"/>
    <w:rsid w:val="5FB46F10"/>
    <w:rsid w:val="5FBF7663"/>
    <w:rsid w:val="5FCD546F"/>
    <w:rsid w:val="5FD17AC2"/>
    <w:rsid w:val="5FD56823"/>
    <w:rsid w:val="5FD749AD"/>
    <w:rsid w:val="5FE01AB3"/>
    <w:rsid w:val="5FE64BF0"/>
    <w:rsid w:val="5FEC289C"/>
    <w:rsid w:val="5FEC48FC"/>
    <w:rsid w:val="5FF76DFD"/>
    <w:rsid w:val="6008061C"/>
    <w:rsid w:val="60082DB8"/>
    <w:rsid w:val="60085BF5"/>
    <w:rsid w:val="600A6B30"/>
    <w:rsid w:val="600E2614"/>
    <w:rsid w:val="601259E5"/>
    <w:rsid w:val="60152522"/>
    <w:rsid w:val="60244033"/>
    <w:rsid w:val="602B6AA7"/>
    <w:rsid w:val="603040BD"/>
    <w:rsid w:val="60310561"/>
    <w:rsid w:val="60335C18"/>
    <w:rsid w:val="603D6F06"/>
    <w:rsid w:val="603F5681"/>
    <w:rsid w:val="603F5E05"/>
    <w:rsid w:val="60430294"/>
    <w:rsid w:val="604A517F"/>
    <w:rsid w:val="60543E36"/>
    <w:rsid w:val="605E50CE"/>
    <w:rsid w:val="605E6476"/>
    <w:rsid w:val="606340E6"/>
    <w:rsid w:val="60687CFB"/>
    <w:rsid w:val="606C3347"/>
    <w:rsid w:val="6074044E"/>
    <w:rsid w:val="60787F3E"/>
    <w:rsid w:val="607C09C6"/>
    <w:rsid w:val="607C76DB"/>
    <w:rsid w:val="607D37A6"/>
    <w:rsid w:val="60870181"/>
    <w:rsid w:val="60877AD2"/>
    <w:rsid w:val="608D150F"/>
    <w:rsid w:val="608D72C8"/>
    <w:rsid w:val="60934D78"/>
    <w:rsid w:val="60936B26"/>
    <w:rsid w:val="60950F07"/>
    <w:rsid w:val="60974649"/>
    <w:rsid w:val="60991818"/>
    <w:rsid w:val="609D4E6C"/>
    <w:rsid w:val="60A56859"/>
    <w:rsid w:val="60A615E0"/>
    <w:rsid w:val="60A87566"/>
    <w:rsid w:val="60AF1486"/>
    <w:rsid w:val="60B116A2"/>
    <w:rsid w:val="60B349C5"/>
    <w:rsid w:val="60BD0047"/>
    <w:rsid w:val="60C07C62"/>
    <w:rsid w:val="60C442E0"/>
    <w:rsid w:val="60CA62C0"/>
    <w:rsid w:val="60CD7695"/>
    <w:rsid w:val="60D84E80"/>
    <w:rsid w:val="60D86C2E"/>
    <w:rsid w:val="60E530F9"/>
    <w:rsid w:val="60E92064"/>
    <w:rsid w:val="60EB4BB4"/>
    <w:rsid w:val="60EF0A8D"/>
    <w:rsid w:val="60F12D55"/>
    <w:rsid w:val="60F35816"/>
    <w:rsid w:val="60F670B5"/>
    <w:rsid w:val="60F7645D"/>
    <w:rsid w:val="60F8107F"/>
    <w:rsid w:val="60FC0281"/>
    <w:rsid w:val="610D47AC"/>
    <w:rsid w:val="61167757"/>
    <w:rsid w:val="611F2AAF"/>
    <w:rsid w:val="6122434D"/>
    <w:rsid w:val="61271964"/>
    <w:rsid w:val="61273712"/>
    <w:rsid w:val="61286B5F"/>
    <w:rsid w:val="612A53A0"/>
    <w:rsid w:val="61300818"/>
    <w:rsid w:val="61371BA7"/>
    <w:rsid w:val="613C540F"/>
    <w:rsid w:val="614147D4"/>
    <w:rsid w:val="6142054C"/>
    <w:rsid w:val="61436FDD"/>
    <w:rsid w:val="61477912"/>
    <w:rsid w:val="614A2C54"/>
    <w:rsid w:val="615269E1"/>
    <w:rsid w:val="61616C24"/>
    <w:rsid w:val="61646FA9"/>
    <w:rsid w:val="617149E4"/>
    <w:rsid w:val="61747A77"/>
    <w:rsid w:val="61826B9A"/>
    <w:rsid w:val="61914F52"/>
    <w:rsid w:val="61921DB2"/>
    <w:rsid w:val="619C7C5C"/>
    <w:rsid w:val="619F599E"/>
    <w:rsid w:val="61A82AA5"/>
    <w:rsid w:val="61AB60F1"/>
    <w:rsid w:val="61B50D1E"/>
    <w:rsid w:val="61BE4076"/>
    <w:rsid w:val="61C37858"/>
    <w:rsid w:val="61C47E4F"/>
    <w:rsid w:val="61C564E0"/>
    <w:rsid w:val="61CB0541"/>
    <w:rsid w:val="61CB588D"/>
    <w:rsid w:val="61D27B22"/>
    <w:rsid w:val="61D31C02"/>
    <w:rsid w:val="61D54F1C"/>
    <w:rsid w:val="61DE2C95"/>
    <w:rsid w:val="61DE656B"/>
    <w:rsid w:val="61E41603"/>
    <w:rsid w:val="61E4606C"/>
    <w:rsid w:val="61F515AC"/>
    <w:rsid w:val="61FB0E26"/>
    <w:rsid w:val="62050A10"/>
    <w:rsid w:val="62051CA5"/>
    <w:rsid w:val="620771B2"/>
    <w:rsid w:val="620A24E2"/>
    <w:rsid w:val="621023F8"/>
    <w:rsid w:val="62106C7C"/>
    <w:rsid w:val="6211064A"/>
    <w:rsid w:val="62175534"/>
    <w:rsid w:val="621912AD"/>
    <w:rsid w:val="621C15A0"/>
    <w:rsid w:val="621E2D67"/>
    <w:rsid w:val="62232B09"/>
    <w:rsid w:val="622C743C"/>
    <w:rsid w:val="623460E6"/>
    <w:rsid w:val="62390C3F"/>
    <w:rsid w:val="623F023C"/>
    <w:rsid w:val="62465E1A"/>
    <w:rsid w:val="624A085E"/>
    <w:rsid w:val="624C1682"/>
    <w:rsid w:val="624D387D"/>
    <w:rsid w:val="624F3EEF"/>
    <w:rsid w:val="62516C98"/>
    <w:rsid w:val="625978FB"/>
    <w:rsid w:val="625B1CD5"/>
    <w:rsid w:val="625B4AF6"/>
    <w:rsid w:val="626544F2"/>
    <w:rsid w:val="6268653A"/>
    <w:rsid w:val="626B3B80"/>
    <w:rsid w:val="626C5880"/>
    <w:rsid w:val="6271393A"/>
    <w:rsid w:val="62726C0F"/>
    <w:rsid w:val="6273741A"/>
    <w:rsid w:val="627B3D15"/>
    <w:rsid w:val="627E6257"/>
    <w:rsid w:val="628C6D13"/>
    <w:rsid w:val="629331D1"/>
    <w:rsid w:val="6297662A"/>
    <w:rsid w:val="629F4BEA"/>
    <w:rsid w:val="62A52B40"/>
    <w:rsid w:val="62A80882"/>
    <w:rsid w:val="62AE5943"/>
    <w:rsid w:val="62B37719"/>
    <w:rsid w:val="62C53589"/>
    <w:rsid w:val="62CE02E9"/>
    <w:rsid w:val="62D954FE"/>
    <w:rsid w:val="62E23D94"/>
    <w:rsid w:val="62F472AA"/>
    <w:rsid w:val="62F85366"/>
    <w:rsid w:val="62FB4E56"/>
    <w:rsid w:val="630C2BBF"/>
    <w:rsid w:val="63186930"/>
    <w:rsid w:val="631A52DC"/>
    <w:rsid w:val="631B72A6"/>
    <w:rsid w:val="63226E50"/>
    <w:rsid w:val="63292F0E"/>
    <w:rsid w:val="632C3261"/>
    <w:rsid w:val="632C5010"/>
    <w:rsid w:val="632E6FDA"/>
    <w:rsid w:val="632E7C88"/>
    <w:rsid w:val="63381C06"/>
    <w:rsid w:val="63461ABD"/>
    <w:rsid w:val="63471E49"/>
    <w:rsid w:val="6347265C"/>
    <w:rsid w:val="634D1ACC"/>
    <w:rsid w:val="634D3E5D"/>
    <w:rsid w:val="634E4F86"/>
    <w:rsid w:val="63627732"/>
    <w:rsid w:val="63676048"/>
    <w:rsid w:val="636C18B0"/>
    <w:rsid w:val="636C7B02"/>
    <w:rsid w:val="63750765"/>
    <w:rsid w:val="637E0CC9"/>
    <w:rsid w:val="638C3D00"/>
    <w:rsid w:val="638E1826"/>
    <w:rsid w:val="63902AC3"/>
    <w:rsid w:val="639A229E"/>
    <w:rsid w:val="639F57E1"/>
    <w:rsid w:val="63A423C9"/>
    <w:rsid w:val="63A454EE"/>
    <w:rsid w:val="63B212A3"/>
    <w:rsid w:val="63B53257"/>
    <w:rsid w:val="63BF7C32"/>
    <w:rsid w:val="63C06FBB"/>
    <w:rsid w:val="63C35974"/>
    <w:rsid w:val="63C60FC0"/>
    <w:rsid w:val="63D47B81"/>
    <w:rsid w:val="63D53D2B"/>
    <w:rsid w:val="63DB7766"/>
    <w:rsid w:val="63DC07E4"/>
    <w:rsid w:val="63E135A4"/>
    <w:rsid w:val="63E1404C"/>
    <w:rsid w:val="63F024E1"/>
    <w:rsid w:val="63F068E5"/>
    <w:rsid w:val="63F35B2D"/>
    <w:rsid w:val="63FA3360"/>
    <w:rsid w:val="64030141"/>
    <w:rsid w:val="64137F7D"/>
    <w:rsid w:val="64184643"/>
    <w:rsid w:val="641A55BD"/>
    <w:rsid w:val="641D732B"/>
    <w:rsid w:val="642276F0"/>
    <w:rsid w:val="64255857"/>
    <w:rsid w:val="64322AF9"/>
    <w:rsid w:val="64371EBE"/>
    <w:rsid w:val="643F5AA9"/>
    <w:rsid w:val="64416899"/>
    <w:rsid w:val="64422767"/>
    <w:rsid w:val="64480AEA"/>
    <w:rsid w:val="645B2050"/>
    <w:rsid w:val="646D3B32"/>
    <w:rsid w:val="646F3406"/>
    <w:rsid w:val="64721148"/>
    <w:rsid w:val="648B2AD1"/>
    <w:rsid w:val="648C7EFE"/>
    <w:rsid w:val="64986E00"/>
    <w:rsid w:val="649D751B"/>
    <w:rsid w:val="649E4FA9"/>
    <w:rsid w:val="64A86918"/>
    <w:rsid w:val="64B33C3A"/>
    <w:rsid w:val="64B81251"/>
    <w:rsid w:val="64C37BF6"/>
    <w:rsid w:val="64C80D68"/>
    <w:rsid w:val="64CF659A"/>
    <w:rsid w:val="64D0777F"/>
    <w:rsid w:val="64DE67DD"/>
    <w:rsid w:val="64E9765C"/>
    <w:rsid w:val="64ED10BC"/>
    <w:rsid w:val="64F8789F"/>
    <w:rsid w:val="64F909E0"/>
    <w:rsid w:val="64F9440A"/>
    <w:rsid w:val="64FC41D1"/>
    <w:rsid w:val="65010389"/>
    <w:rsid w:val="650348A2"/>
    <w:rsid w:val="650E70C3"/>
    <w:rsid w:val="651144BD"/>
    <w:rsid w:val="651638D5"/>
    <w:rsid w:val="6524497B"/>
    <w:rsid w:val="65322E75"/>
    <w:rsid w:val="65377372"/>
    <w:rsid w:val="65393A14"/>
    <w:rsid w:val="65440D49"/>
    <w:rsid w:val="65516FAF"/>
    <w:rsid w:val="65557063"/>
    <w:rsid w:val="655D5954"/>
    <w:rsid w:val="65637788"/>
    <w:rsid w:val="65640162"/>
    <w:rsid w:val="65743AAE"/>
    <w:rsid w:val="65750EF0"/>
    <w:rsid w:val="657B5DDA"/>
    <w:rsid w:val="657B62F9"/>
    <w:rsid w:val="657D1B52"/>
    <w:rsid w:val="65931376"/>
    <w:rsid w:val="65982E30"/>
    <w:rsid w:val="659F72AD"/>
    <w:rsid w:val="65A13A93"/>
    <w:rsid w:val="65A17F37"/>
    <w:rsid w:val="65A6554D"/>
    <w:rsid w:val="65A747C3"/>
    <w:rsid w:val="65B25CA0"/>
    <w:rsid w:val="65B57B97"/>
    <w:rsid w:val="65B761F3"/>
    <w:rsid w:val="65B80DDC"/>
    <w:rsid w:val="65B85280"/>
    <w:rsid w:val="65BC6B1F"/>
    <w:rsid w:val="65BE5EFE"/>
    <w:rsid w:val="65C14135"/>
    <w:rsid w:val="65C92FEA"/>
    <w:rsid w:val="65CE6758"/>
    <w:rsid w:val="65CE6852"/>
    <w:rsid w:val="65D06126"/>
    <w:rsid w:val="65D10CE1"/>
    <w:rsid w:val="65D430D4"/>
    <w:rsid w:val="65DA6FA5"/>
    <w:rsid w:val="65DC032C"/>
    <w:rsid w:val="65E25712"/>
    <w:rsid w:val="65EB4424"/>
    <w:rsid w:val="65ED5B1C"/>
    <w:rsid w:val="65FB4BDC"/>
    <w:rsid w:val="65FF07B9"/>
    <w:rsid w:val="65FF278F"/>
    <w:rsid w:val="66012783"/>
    <w:rsid w:val="66045580"/>
    <w:rsid w:val="66045B9D"/>
    <w:rsid w:val="660D1128"/>
    <w:rsid w:val="660E4009"/>
    <w:rsid w:val="66175E84"/>
    <w:rsid w:val="66391F1D"/>
    <w:rsid w:val="664B39FF"/>
    <w:rsid w:val="664F3369"/>
    <w:rsid w:val="665054B9"/>
    <w:rsid w:val="66522FDF"/>
    <w:rsid w:val="66576209"/>
    <w:rsid w:val="665F56FC"/>
    <w:rsid w:val="66646B63"/>
    <w:rsid w:val="66770C98"/>
    <w:rsid w:val="667C1E0A"/>
    <w:rsid w:val="667C39AD"/>
    <w:rsid w:val="668313EA"/>
    <w:rsid w:val="668A367F"/>
    <w:rsid w:val="668C2C1F"/>
    <w:rsid w:val="668D4017"/>
    <w:rsid w:val="6691080B"/>
    <w:rsid w:val="66941658"/>
    <w:rsid w:val="66B141AA"/>
    <w:rsid w:val="66B477F6"/>
    <w:rsid w:val="66B617C0"/>
    <w:rsid w:val="66BB506B"/>
    <w:rsid w:val="66BD3B89"/>
    <w:rsid w:val="66C13CC1"/>
    <w:rsid w:val="66C534EA"/>
    <w:rsid w:val="66C814F3"/>
    <w:rsid w:val="66CA18EE"/>
    <w:rsid w:val="66CB20A8"/>
    <w:rsid w:val="66D86330"/>
    <w:rsid w:val="66E3530E"/>
    <w:rsid w:val="66EC51E2"/>
    <w:rsid w:val="66F10A4A"/>
    <w:rsid w:val="66F145A6"/>
    <w:rsid w:val="66F26570"/>
    <w:rsid w:val="66F366C0"/>
    <w:rsid w:val="66FA3298"/>
    <w:rsid w:val="66FE6CC3"/>
    <w:rsid w:val="670562A3"/>
    <w:rsid w:val="67077707"/>
    <w:rsid w:val="670818F0"/>
    <w:rsid w:val="670C5884"/>
    <w:rsid w:val="671256B5"/>
    <w:rsid w:val="67177D85"/>
    <w:rsid w:val="671866E1"/>
    <w:rsid w:val="671A62EE"/>
    <w:rsid w:val="671C61EA"/>
    <w:rsid w:val="671D0F54"/>
    <w:rsid w:val="6720245A"/>
    <w:rsid w:val="6722074B"/>
    <w:rsid w:val="672C3830"/>
    <w:rsid w:val="672D1356"/>
    <w:rsid w:val="672F1572"/>
    <w:rsid w:val="672F3CD5"/>
    <w:rsid w:val="67334BBF"/>
    <w:rsid w:val="67362901"/>
    <w:rsid w:val="674A63AC"/>
    <w:rsid w:val="674C3ED2"/>
    <w:rsid w:val="674F751F"/>
    <w:rsid w:val="67555A5D"/>
    <w:rsid w:val="67566AFF"/>
    <w:rsid w:val="675F3C06"/>
    <w:rsid w:val="67683120"/>
    <w:rsid w:val="67684380"/>
    <w:rsid w:val="67696832"/>
    <w:rsid w:val="677376B1"/>
    <w:rsid w:val="67874F0A"/>
    <w:rsid w:val="678763EC"/>
    <w:rsid w:val="678B58B0"/>
    <w:rsid w:val="678C2521"/>
    <w:rsid w:val="678D5B25"/>
    <w:rsid w:val="679A69EC"/>
    <w:rsid w:val="679F4002"/>
    <w:rsid w:val="67A41618"/>
    <w:rsid w:val="67A71109"/>
    <w:rsid w:val="67B536F4"/>
    <w:rsid w:val="67B83316"/>
    <w:rsid w:val="67BC1058"/>
    <w:rsid w:val="67BF400C"/>
    <w:rsid w:val="67BF4478"/>
    <w:rsid w:val="67C25F42"/>
    <w:rsid w:val="67C609EB"/>
    <w:rsid w:val="67C65A33"/>
    <w:rsid w:val="67CB129B"/>
    <w:rsid w:val="67CD01F5"/>
    <w:rsid w:val="67CF7936"/>
    <w:rsid w:val="67D85766"/>
    <w:rsid w:val="67DD296A"/>
    <w:rsid w:val="67E1461B"/>
    <w:rsid w:val="67E23EE9"/>
    <w:rsid w:val="67E608A7"/>
    <w:rsid w:val="67EA2859"/>
    <w:rsid w:val="67EB7247"/>
    <w:rsid w:val="67ED1A09"/>
    <w:rsid w:val="67FC76A6"/>
    <w:rsid w:val="68012F0F"/>
    <w:rsid w:val="680B1697"/>
    <w:rsid w:val="680C46FC"/>
    <w:rsid w:val="680D18B3"/>
    <w:rsid w:val="681A5D7E"/>
    <w:rsid w:val="681C5653"/>
    <w:rsid w:val="681F2B7E"/>
    <w:rsid w:val="683230C8"/>
    <w:rsid w:val="68352BB8"/>
    <w:rsid w:val="68383EAC"/>
    <w:rsid w:val="683C3F47"/>
    <w:rsid w:val="683D13F8"/>
    <w:rsid w:val="68436F89"/>
    <w:rsid w:val="684741F7"/>
    <w:rsid w:val="684828EC"/>
    <w:rsid w:val="68490412"/>
    <w:rsid w:val="685D7846"/>
    <w:rsid w:val="686015C3"/>
    <w:rsid w:val="68623877"/>
    <w:rsid w:val="686911D8"/>
    <w:rsid w:val="68694610"/>
    <w:rsid w:val="686E3FED"/>
    <w:rsid w:val="68761EF8"/>
    <w:rsid w:val="688222C7"/>
    <w:rsid w:val="68896A60"/>
    <w:rsid w:val="68915B8C"/>
    <w:rsid w:val="68945B31"/>
    <w:rsid w:val="689B286C"/>
    <w:rsid w:val="689E292E"/>
    <w:rsid w:val="68A613C0"/>
    <w:rsid w:val="68AA7102"/>
    <w:rsid w:val="68AE33AF"/>
    <w:rsid w:val="68AF31CE"/>
    <w:rsid w:val="68BE670A"/>
    <w:rsid w:val="68C55CEA"/>
    <w:rsid w:val="68C8106D"/>
    <w:rsid w:val="68CA13F3"/>
    <w:rsid w:val="68D50FF4"/>
    <w:rsid w:val="68DC1286"/>
    <w:rsid w:val="68E048D2"/>
    <w:rsid w:val="68E32614"/>
    <w:rsid w:val="68EA39A3"/>
    <w:rsid w:val="68ED5241"/>
    <w:rsid w:val="68EF0FB9"/>
    <w:rsid w:val="68F27CB8"/>
    <w:rsid w:val="68F55EA4"/>
    <w:rsid w:val="68FB795E"/>
    <w:rsid w:val="68FC5484"/>
    <w:rsid w:val="68FD36D6"/>
    <w:rsid w:val="68FE2FAA"/>
    <w:rsid w:val="69064C5E"/>
    <w:rsid w:val="69071BDC"/>
    <w:rsid w:val="690D7691"/>
    <w:rsid w:val="691F1ACC"/>
    <w:rsid w:val="692D388F"/>
    <w:rsid w:val="693D54D2"/>
    <w:rsid w:val="693F19BC"/>
    <w:rsid w:val="6941503B"/>
    <w:rsid w:val="69431305"/>
    <w:rsid w:val="694A4B1A"/>
    <w:rsid w:val="694A7AF4"/>
    <w:rsid w:val="694B2839"/>
    <w:rsid w:val="695F613F"/>
    <w:rsid w:val="696279DD"/>
    <w:rsid w:val="69666E14"/>
    <w:rsid w:val="696A6B77"/>
    <w:rsid w:val="696B77D6"/>
    <w:rsid w:val="69702ECB"/>
    <w:rsid w:val="69735910"/>
    <w:rsid w:val="697B1894"/>
    <w:rsid w:val="69826D1D"/>
    <w:rsid w:val="69841830"/>
    <w:rsid w:val="69895E31"/>
    <w:rsid w:val="698C05B6"/>
    <w:rsid w:val="698E54B3"/>
    <w:rsid w:val="699022E4"/>
    <w:rsid w:val="69A27CEC"/>
    <w:rsid w:val="69A96191"/>
    <w:rsid w:val="69AA5692"/>
    <w:rsid w:val="69AC2A06"/>
    <w:rsid w:val="69AE677E"/>
    <w:rsid w:val="69AF1A85"/>
    <w:rsid w:val="69B1021E"/>
    <w:rsid w:val="69B12712"/>
    <w:rsid w:val="69B63885"/>
    <w:rsid w:val="69BA15C7"/>
    <w:rsid w:val="69BB70ED"/>
    <w:rsid w:val="69BE4554"/>
    <w:rsid w:val="69C064B2"/>
    <w:rsid w:val="69C51D1A"/>
    <w:rsid w:val="69C53AC8"/>
    <w:rsid w:val="69D32E91"/>
    <w:rsid w:val="69D63F27"/>
    <w:rsid w:val="69DC778F"/>
    <w:rsid w:val="69DD7494"/>
    <w:rsid w:val="69E00902"/>
    <w:rsid w:val="69E55F18"/>
    <w:rsid w:val="69EB79D2"/>
    <w:rsid w:val="69F60125"/>
    <w:rsid w:val="69FF347E"/>
    <w:rsid w:val="6A0665BA"/>
    <w:rsid w:val="6A070584"/>
    <w:rsid w:val="6A086A76"/>
    <w:rsid w:val="6A116D0D"/>
    <w:rsid w:val="6A222CC8"/>
    <w:rsid w:val="6A236661"/>
    <w:rsid w:val="6A243740"/>
    <w:rsid w:val="6A243F51"/>
    <w:rsid w:val="6A3C1469"/>
    <w:rsid w:val="6A3F1672"/>
    <w:rsid w:val="6A4610AD"/>
    <w:rsid w:val="6A464C09"/>
    <w:rsid w:val="6A4B7D7B"/>
    <w:rsid w:val="6A503532"/>
    <w:rsid w:val="6A587E3E"/>
    <w:rsid w:val="6A5C267E"/>
    <w:rsid w:val="6A5C612F"/>
    <w:rsid w:val="6A640780"/>
    <w:rsid w:val="6A6652AB"/>
    <w:rsid w:val="6A6D1C85"/>
    <w:rsid w:val="6A6D5027"/>
    <w:rsid w:val="6A6E23B2"/>
    <w:rsid w:val="6A770132"/>
    <w:rsid w:val="6A773014"/>
    <w:rsid w:val="6A8D7CFB"/>
    <w:rsid w:val="6A95793E"/>
    <w:rsid w:val="6A963266"/>
    <w:rsid w:val="6A971908"/>
    <w:rsid w:val="6A99742E"/>
    <w:rsid w:val="6A9A1BC1"/>
    <w:rsid w:val="6AA06A0F"/>
    <w:rsid w:val="6AA638F9"/>
    <w:rsid w:val="6AA67D9D"/>
    <w:rsid w:val="6AB37DC4"/>
    <w:rsid w:val="6AC25A30"/>
    <w:rsid w:val="6AC364B9"/>
    <w:rsid w:val="6AC46303"/>
    <w:rsid w:val="6AC6225B"/>
    <w:rsid w:val="6AE65A4B"/>
    <w:rsid w:val="6AEA5550"/>
    <w:rsid w:val="6AF02DC7"/>
    <w:rsid w:val="6AF64881"/>
    <w:rsid w:val="6AF742E0"/>
    <w:rsid w:val="6AFE54E3"/>
    <w:rsid w:val="6B0A20DA"/>
    <w:rsid w:val="6B1116BB"/>
    <w:rsid w:val="6B2313EE"/>
    <w:rsid w:val="6B23319C"/>
    <w:rsid w:val="6B2D401B"/>
    <w:rsid w:val="6B3158B9"/>
    <w:rsid w:val="6B380848"/>
    <w:rsid w:val="6B447DEC"/>
    <w:rsid w:val="6B4A7F87"/>
    <w:rsid w:val="6B4C26F3"/>
    <w:rsid w:val="6B4E7B4D"/>
    <w:rsid w:val="6B4F21E3"/>
    <w:rsid w:val="6B5779C3"/>
    <w:rsid w:val="6B596BBE"/>
    <w:rsid w:val="6B5B0B88"/>
    <w:rsid w:val="6B6E3CD1"/>
    <w:rsid w:val="6B6F63E1"/>
    <w:rsid w:val="6B817D5D"/>
    <w:rsid w:val="6B87372B"/>
    <w:rsid w:val="6B8C6F93"/>
    <w:rsid w:val="6B9A16B0"/>
    <w:rsid w:val="6BA75B7B"/>
    <w:rsid w:val="6BAC3EA4"/>
    <w:rsid w:val="6BB362CE"/>
    <w:rsid w:val="6BB37AA8"/>
    <w:rsid w:val="6BB43DF4"/>
    <w:rsid w:val="6BBD1842"/>
    <w:rsid w:val="6BBD539F"/>
    <w:rsid w:val="6BC71D79"/>
    <w:rsid w:val="6BCB3DAE"/>
    <w:rsid w:val="6BCB6BB1"/>
    <w:rsid w:val="6BCB7ABB"/>
    <w:rsid w:val="6BCE135A"/>
    <w:rsid w:val="6BCF1CE1"/>
    <w:rsid w:val="6BD234BD"/>
    <w:rsid w:val="6BDF70C3"/>
    <w:rsid w:val="6BE75F78"/>
    <w:rsid w:val="6BE768BF"/>
    <w:rsid w:val="6BEF307E"/>
    <w:rsid w:val="6BFE229C"/>
    <w:rsid w:val="6C070C5C"/>
    <w:rsid w:val="6C0905E4"/>
    <w:rsid w:val="6C0C59DE"/>
    <w:rsid w:val="6C0E0099"/>
    <w:rsid w:val="6C1331CB"/>
    <w:rsid w:val="6C2417C7"/>
    <w:rsid w:val="6C2B67AC"/>
    <w:rsid w:val="6C305B70"/>
    <w:rsid w:val="6C384A25"/>
    <w:rsid w:val="6C3B15DB"/>
    <w:rsid w:val="6C4258A4"/>
    <w:rsid w:val="6C472CF7"/>
    <w:rsid w:val="6C4B5B80"/>
    <w:rsid w:val="6C4D6722"/>
    <w:rsid w:val="6C4F4059"/>
    <w:rsid w:val="6C500390"/>
    <w:rsid w:val="6C53185F"/>
    <w:rsid w:val="6C547ACA"/>
    <w:rsid w:val="6C621AA2"/>
    <w:rsid w:val="6C6B6BA9"/>
    <w:rsid w:val="6C774F51"/>
    <w:rsid w:val="6C803E37"/>
    <w:rsid w:val="6C81017A"/>
    <w:rsid w:val="6C8B2DA7"/>
    <w:rsid w:val="6C8E6023"/>
    <w:rsid w:val="6C9003BD"/>
    <w:rsid w:val="6C9360FF"/>
    <w:rsid w:val="6C97174C"/>
    <w:rsid w:val="6C975BF0"/>
    <w:rsid w:val="6C9C3206"/>
    <w:rsid w:val="6CA96FB6"/>
    <w:rsid w:val="6CAD71C1"/>
    <w:rsid w:val="6CB25261"/>
    <w:rsid w:val="6CB4259E"/>
    <w:rsid w:val="6CB87F92"/>
    <w:rsid w:val="6CC174CE"/>
    <w:rsid w:val="6CCE7137"/>
    <w:rsid w:val="6CDB1F80"/>
    <w:rsid w:val="6CDC1854"/>
    <w:rsid w:val="6CDE3DB2"/>
    <w:rsid w:val="6CDE737B"/>
    <w:rsid w:val="6CE55E74"/>
    <w:rsid w:val="6CE66A13"/>
    <w:rsid w:val="6CEF1588"/>
    <w:rsid w:val="6CF5179E"/>
    <w:rsid w:val="6D036DE1"/>
    <w:rsid w:val="6D077330"/>
    <w:rsid w:val="6D090170"/>
    <w:rsid w:val="6D0A63C2"/>
    <w:rsid w:val="6D107750"/>
    <w:rsid w:val="6D192AA9"/>
    <w:rsid w:val="6D194CD4"/>
    <w:rsid w:val="6D1A237D"/>
    <w:rsid w:val="6D2154B9"/>
    <w:rsid w:val="6D231231"/>
    <w:rsid w:val="6D242B43"/>
    <w:rsid w:val="6D464F20"/>
    <w:rsid w:val="6D53250A"/>
    <w:rsid w:val="6D5C7ED8"/>
    <w:rsid w:val="6D5D0BE7"/>
    <w:rsid w:val="6D643260"/>
    <w:rsid w:val="6D711E2E"/>
    <w:rsid w:val="6D747CDF"/>
    <w:rsid w:val="6D7777CF"/>
    <w:rsid w:val="6D7A376E"/>
    <w:rsid w:val="6D8343C6"/>
    <w:rsid w:val="6D940381"/>
    <w:rsid w:val="6D9C0B83"/>
    <w:rsid w:val="6D9C125A"/>
    <w:rsid w:val="6DAD4F9F"/>
    <w:rsid w:val="6DAE1443"/>
    <w:rsid w:val="6DB225B5"/>
    <w:rsid w:val="6DB3264F"/>
    <w:rsid w:val="6DC24EEE"/>
    <w:rsid w:val="6DC347C2"/>
    <w:rsid w:val="6DC5334B"/>
    <w:rsid w:val="6DCF13B9"/>
    <w:rsid w:val="6DE02D11"/>
    <w:rsid w:val="6DE0700D"/>
    <w:rsid w:val="6DE309C1"/>
    <w:rsid w:val="6DE54BFE"/>
    <w:rsid w:val="6DE74A35"/>
    <w:rsid w:val="6DE8487B"/>
    <w:rsid w:val="6DEF55B7"/>
    <w:rsid w:val="6DF37C67"/>
    <w:rsid w:val="6DF45246"/>
    <w:rsid w:val="6DF6696C"/>
    <w:rsid w:val="6DF809A5"/>
    <w:rsid w:val="6DFB21AE"/>
    <w:rsid w:val="6DFC3BBF"/>
    <w:rsid w:val="6E005A16"/>
    <w:rsid w:val="6E0A419F"/>
    <w:rsid w:val="6E112B79"/>
    <w:rsid w:val="6E1374F8"/>
    <w:rsid w:val="6E1929DE"/>
    <w:rsid w:val="6E245261"/>
    <w:rsid w:val="6E274AC3"/>
    <w:rsid w:val="6E2A36C5"/>
    <w:rsid w:val="6E2A4841"/>
    <w:rsid w:val="6E2A65EF"/>
    <w:rsid w:val="6E2E60E0"/>
    <w:rsid w:val="6E301E58"/>
    <w:rsid w:val="6E315BD0"/>
    <w:rsid w:val="6E3336F6"/>
    <w:rsid w:val="6E380D0C"/>
    <w:rsid w:val="6E407BC1"/>
    <w:rsid w:val="6E423939"/>
    <w:rsid w:val="6E573888"/>
    <w:rsid w:val="6E58315D"/>
    <w:rsid w:val="6E621725"/>
    <w:rsid w:val="6E662DA3"/>
    <w:rsid w:val="6E6724D5"/>
    <w:rsid w:val="6E681D50"/>
    <w:rsid w:val="6E7361E8"/>
    <w:rsid w:val="6E755580"/>
    <w:rsid w:val="6E7D2BC3"/>
    <w:rsid w:val="6E7F2DDF"/>
    <w:rsid w:val="6E85086A"/>
    <w:rsid w:val="6E8814CD"/>
    <w:rsid w:val="6E8940A3"/>
    <w:rsid w:val="6E8A2EC6"/>
    <w:rsid w:val="6E8B3532"/>
    <w:rsid w:val="6E8D4F71"/>
    <w:rsid w:val="6E8E3022"/>
    <w:rsid w:val="6E9248C1"/>
    <w:rsid w:val="6E9758D2"/>
    <w:rsid w:val="6EA047F7"/>
    <w:rsid w:val="6EA42846"/>
    <w:rsid w:val="6EB72579"/>
    <w:rsid w:val="6EB8444E"/>
    <w:rsid w:val="6EBB71B9"/>
    <w:rsid w:val="6EC03A0B"/>
    <w:rsid w:val="6ECB182C"/>
    <w:rsid w:val="6ECC302C"/>
    <w:rsid w:val="6ED055DC"/>
    <w:rsid w:val="6ED529FF"/>
    <w:rsid w:val="6EDB2F69"/>
    <w:rsid w:val="6EDB4F7D"/>
    <w:rsid w:val="6EDE40A1"/>
    <w:rsid w:val="6EEB76D5"/>
    <w:rsid w:val="6EEE7E9D"/>
    <w:rsid w:val="6EF551D6"/>
    <w:rsid w:val="6EF65400"/>
    <w:rsid w:val="6EF67A7E"/>
    <w:rsid w:val="6EF959BC"/>
    <w:rsid w:val="6F06705D"/>
    <w:rsid w:val="6F113D22"/>
    <w:rsid w:val="6F1A48B6"/>
    <w:rsid w:val="6F1B634E"/>
    <w:rsid w:val="6F24024B"/>
    <w:rsid w:val="6F2D45E9"/>
    <w:rsid w:val="6F2F38BE"/>
    <w:rsid w:val="6F2F54CD"/>
    <w:rsid w:val="6F321C00"/>
    <w:rsid w:val="6F343BCA"/>
    <w:rsid w:val="6F3B1A8C"/>
    <w:rsid w:val="6F423D82"/>
    <w:rsid w:val="6F43767F"/>
    <w:rsid w:val="6F4436E1"/>
    <w:rsid w:val="6F4638FD"/>
    <w:rsid w:val="6F524178"/>
    <w:rsid w:val="6F5558EE"/>
    <w:rsid w:val="6F55769C"/>
    <w:rsid w:val="6F5A2F04"/>
    <w:rsid w:val="6F6965FE"/>
    <w:rsid w:val="6F6C2254"/>
    <w:rsid w:val="6F7264A0"/>
    <w:rsid w:val="6F751AEC"/>
    <w:rsid w:val="6F793E34"/>
    <w:rsid w:val="6F79782E"/>
    <w:rsid w:val="6F7A74E5"/>
    <w:rsid w:val="6F7E6BF3"/>
    <w:rsid w:val="6F834209"/>
    <w:rsid w:val="6F865AA7"/>
    <w:rsid w:val="6F9000DE"/>
    <w:rsid w:val="6F954CB0"/>
    <w:rsid w:val="6F9E7295"/>
    <w:rsid w:val="6FA64737"/>
    <w:rsid w:val="6FB62831"/>
    <w:rsid w:val="6FB97C2B"/>
    <w:rsid w:val="6FC52A74"/>
    <w:rsid w:val="6FC84312"/>
    <w:rsid w:val="6FCF2A35"/>
    <w:rsid w:val="6FCF744E"/>
    <w:rsid w:val="6FD25527"/>
    <w:rsid w:val="6FDC440C"/>
    <w:rsid w:val="6FDD0BDB"/>
    <w:rsid w:val="6FDD5985"/>
    <w:rsid w:val="6FE95CEE"/>
    <w:rsid w:val="6FEC4AAF"/>
    <w:rsid w:val="6FEE06E3"/>
    <w:rsid w:val="6FEE246B"/>
    <w:rsid w:val="6FEF5D43"/>
    <w:rsid w:val="6FFC4326"/>
    <w:rsid w:val="6FFD045F"/>
    <w:rsid w:val="70003AAC"/>
    <w:rsid w:val="70221C74"/>
    <w:rsid w:val="703763FC"/>
    <w:rsid w:val="703A7A12"/>
    <w:rsid w:val="704020FA"/>
    <w:rsid w:val="70455732"/>
    <w:rsid w:val="70472F60"/>
    <w:rsid w:val="704774D5"/>
    <w:rsid w:val="7047792D"/>
    <w:rsid w:val="704C0A9F"/>
    <w:rsid w:val="704C53B6"/>
    <w:rsid w:val="704D50B7"/>
    <w:rsid w:val="70550D0E"/>
    <w:rsid w:val="70551E67"/>
    <w:rsid w:val="705636CC"/>
    <w:rsid w:val="705878A5"/>
    <w:rsid w:val="705C33D8"/>
    <w:rsid w:val="70716758"/>
    <w:rsid w:val="707A1AB0"/>
    <w:rsid w:val="70853FB1"/>
    <w:rsid w:val="70893AA1"/>
    <w:rsid w:val="708C7593"/>
    <w:rsid w:val="708F2B0E"/>
    <w:rsid w:val="70912956"/>
    <w:rsid w:val="70985F24"/>
    <w:rsid w:val="709F1D23"/>
    <w:rsid w:val="70B07280"/>
    <w:rsid w:val="70B7060E"/>
    <w:rsid w:val="70BD7BEF"/>
    <w:rsid w:val="70BE4BA3"/>
    <w:rsid w:val="70C745CA"/>
    <w:rsid w:val="70D70CB1"/>
    <w:rsid w:val="70DA4E7A"/>
    <w:rsid w:val="70DC0935"/>
    <w:rsid w:val="70E138DD"/>
    <w:rsid w:val="70E909E4"/>
    <w:rsid w:val="70EB650A"/>
    <w:rsid w:val="70ED4030"/>
    <w:rsid w:val="70EF3A82"/>
    <w:rsid w:val="70F32156"/>
    <w:rsid w:val="70F777A3"/>
    <w:rsid w:val="70FF3D63"/>
    <w:rsid w:val="7101188A"/>
    <w:rsid w:val="71035E00"/>
    <w:rsid w:val="710547C7"/>
    <w:rsid w:val="71066EA0"/>
    <w:rsid w:val="710B095A"/>
    <w:rsid w:val="710E3FA6"/>
    <w:rsid w:val="710F6A7D"/>
    <w:rsid w:val="71107D1F"/>
    <w:rsid w:val="71131535"/>
    <w:rsid w:val="71180294"/>
    <w:rsid w:val="711E068D"/>
    <w:rsid w:val="7127461C"/>
    <w:rsid w:val="7128150C"/>
    <w:rsid w:val="71285068"/>
    <w:rsid w:val="71334DC6"/>
    <w:rsid w:val="71353C29"/>
    <w:rsid w:val="71371314"/>
    <w:rsid w:val="713779A1"/>
    <w:rsid w:val="71430C35"/>
    <w:rsid w:val="71493B35"/>
    <w:rsid w:val="714E48D5"/>
    <w:rsid w:val="71510C3C"/>
    <w:rsid w:val="7153100B"/>
    <w:rsid w:val="715414DE"/>
    <w:rsid w:val="715E6CDC"/>
    <w:rsid w:val="71614A1E"/>
    <w:rsid w:val="716A2D22"/>
    <w:rsid w:val="716B41C3"/>
    <w:rsid w:val="717464FF"/>
    <w:rsid w:val="71790700"/>
    <w:rsid w:val="717C53B4"/>
    <w:rsid w:val="71880FC8"/>
    <w:rsid w:val="71883D59"/>
    <w:rsid w:val="71972B8A"/>
    <w:rsid w:val="71997D14"/>
    <w:rsid w:val="71A500A8"/>
    <w:rsid w:val="71A93054"/>
    <w:rsid w:val="71B0505E"/>
    <w:rsid w:val="71B2527A"/>
    <w:rsid w:val="71B752F6"/>
    <w:rsid w:val="71BA7C8A"/>
    <w:rsid w:val="71BB770A"/>
    <w:rsid w:val="71C01745"/>
    <w:rsid w:val="71C942C6"/>
    <w:rsid w:val="71CC00E9"/>
    <w:rsid w:val="71CF357D"/>
    <w:rsid w:val="71D23226"/>
    <w:rsid w:val="71D7083C"/>
    <w:rsid w:val="71DB032D"/>
    <w:rsid w:val="71DB657E"/>
    <w:rsid w:val="71DC5E53"/>
    <w:rsid w:val="72021D5D"/>
    <w:rsid w:val="720535FB"/>
    <w:rsid w:val="720751EB"/>
    <w:rsid w:val="720930EC"/>
    <w:rsid w:val="720E0702"/>
    <w:rsid w:val="721101F2"/>
    <w:rsid w:val="721D2DA2"/>
    <w:rsid w:val="721D4D44"/>
    <w:rsid w:val="722A4EEC"/>
    <w:rsid w:val="72374BF5"/>
    <w:rsid w:val="72395053"/>
    <w:rsid w:val="723A2DA8"/>
    <w:rsid w:val="723B0853"/>
    <w:rsid w:val="723D2D95"/>
    <w:rsid w:val="724F2AC9"/>
    <w:rsid w:val="72516841"/>
    <w:rsid w:val="725D3437"/>
    <w:rsid w:val="725E2D0C"/>
    <w:rsid w:val="72640322"/>
    <w:rsid w:val="72655E48"/>
    <w:rsid w:val="72677E12"/>
    <w:rsid w:val="726E2F4F"/>
    <w:rsid w:val="726F7916"/>
    <w:rsid w:val="727644F9"/>
    <w:rsid w:val="727979CE"/>
    <w:rsid w:val="727A7B45"/>
    <w:rsid w:val="727B7064"/>
    <w:rsid w:val="72856AAC"/>
    <w:rsid w:val="728C7879"/>
    <w:rsid w:val="72914E8F"/>
    <w:rsid w:val="729A0E95"/>
    <w:rsid w:val="729D1E1A"/>
    <w:rsid w:val="72A2705C"/>
    <w:rsid w:val="72A90C93"/>
    <w:rsid w:val="72AC1CC9"/>
    <w:rsid w:val="72AC3A77"/>
    <w:rsid w:val="72B03567"/>
    <w:rsid w:val="72B868C0"/>
    <w:rsid w:val="72BA43E6"/>
    <w:rsid w:val="72C34258"/>
    <w:rsid w:val="72CB03A1"/>
    <w:rsid w:val="72D02269"/>
    <w:rsid w:val="72D82ABE"/>
    <w:rsid w:val="72D8486C"/>
    <w:rsid w:val="72DB0CEA"/>
    <w:rsid w:val="72DC25AE"/>
    <w:rsid w:val="72E15E16"/>
    <w:rsid w:val="72E40166"/>
    <w:rsid w:val="72E41463"/>
    <w:rsid w:val="72E70F53"/>
    <w:rsid w:val="72E72D01"/>
    <w:rsid w:val="72ED5B8D"/>
    <w:rsid w:val="72F25EDA"/>
    <w:rsid w:val="72F46BAB"/>
    <w:rsid w:val="72F70609"/>
    <w:rsid w:val="72F861B0"/>
    <w:rsid w:val="72FF09A1"/>
    <w:rsid w:val="73040267"/>
    <w:rsid w:val="730833A3"/>
    <w:rsid w:val="73092C77"/>
    <w:rsid w:val="730B7015"/>
    <w:rsid w:val="730E028E"/>
    <w:rsid w:val="731004AA"/>
    <w:rsid w:val="73155EB6"/>
    <w:rsid w:val="731D4975"/>
    <w:rsid w:val="731F1F0A"/>
    <w:rsid w:val="73214465"/>
    <w:rsid w:val="73215D8E"/>
    <w:rsid w:val="732B2AA0"/>
    <w:rsid w:val="73334198"/>
    <w:rsid w:val="73375A36"/>
    <w:rsid w:val="733C4DFB"/>
    <w:rsid w:val="733F48EB"/>
    <w:rsid w:val="73426189"/>
    <w:rsid w:val="7343262D"/>
    <w:rsid w:val="73465C7A"/>
    <w:rsid w:val="7352575D"/>
    <w:rsid w:val="735A7977"/>
    <w:rsid w:val="735B67C0"/>
    <w:rsid w:val="735C724B"/>
    <w:rsid w:val="735E1215"/>
    <w:rsid w:val="735F0AE9"/>
    <w:rsid w:val="73614861"/>
    <w:rsid w:val="736F330A"/>
    <w:rsid w:val="737063C8"/>
    <w:rsid w:val="737756DC"/>
    <w:rsid w:val="737C169B"/>
    <w:rsid w:val="73812C97"/>
    <w:rsid w:val="73852C46"/>
    <w:rsid w:val="738A200A"/>
    <w:rsid w:val="738B5FC5"/>
    <w:rsid w:val="738E13CF"/>
    <w:rsid w:val="739336A0"/>
    <w:rsid w:val="739369E5"/>
    <w:rsid w:val="73A11102"/>
    <w:rsid w:val="73A66CA8"/>
    <w:rsid w:val="73A8656E"/>
    <w:rsid w:val="73AB7D4A"/>
    <w:rsid w:val="73B742FA"/>
    <w:rsid w:val="73C179F6"/>
    <w:rsid w:val="73C848E1"/>
    <w:rsid w:val="73CC79FC"/>
    <w:rsid w:val="73D019E7"/>
    <w:rsid w:val="73D46CB4"/>
    <w:rsid w:val="73D72D76"/>
    <w:rsid w:val="73D94D40"/>
    <w:rsid w:val="73DD33C5"/>
    <w:rsid w:val="73DF29C5"/>
    <w:rsid w:val="73E8623E"/>
    <w:rsid w:val="73EA2AA9"/>
    <w:rsid w:val="73EB05CF"/>
    <w:rsid w:val="73EB6821"/>
    <w:rsid w:val="73EE76EE"/>
    <w:rsid w:val="73EF6311"/>
    <w:rsid w:val="73F10083"/>
    <w:rsid w:val="73F13E37"/>
    <w:rsid w:val="73F3740F"/>
    <w:rsid w:val="73F7090D"/>
    <w:rsid w:val="73F94F64"/>
    <w:rsid w:val="73FA4A43"/>
    <w:rsid w:val="73FC391A"/>
    <w:rsid w:val="73FD6BAD"/>
    <w:rsid w:val="74000C22"/>
    <w:rsid w:val="74017DF2"/>
    <w:rsid w:val="741D2596"/>
    <w:rsid w:val="7425151C"/>
    <w:rsid w:val="742A7349"/>
    <w:rsid w:val="742C11FC"/>
    <w:rsid w:val="742C30C1"/>
    <w:rsid w:val="742D40D3"/>
    <w:rsid w:val="743B3304"/>
    <w:rsid w:val="74420FDF"/>
    <w:rsid w:val="74454183"/>
    <w:rsid w:val="74477EFB"/>
    <w:rsid w:val="74493C73"/>
    <w:rsid w:val="74503451"/>
    <w:rsid w:val="7456013E"/>
    <w:rsid w:val="74561EEC"/>
    <w:rsid w:val="74566390"/>
    <w:rsid w:val="745A5E80"/>
    <w:rsid w:val="74697F33"/>
    <w:rsid w:val="746C136D"/>
    <w:rsid w:val="746D05C0"/>
    <w:rsid w:val="74746816"/>
    <w:rsid w:val="747A37DF"/>
    <w:rsid w:val="74933140"/>
    <w:rsid w:val="74955F73"/>
    <w:rsid w:val="74980BA6"/>
    <w:rsid w:val="74A52E74"/>
    <w:rsid w:val="74B01BBA"/>
    <w:rsid w:val="74B3369D"/>
    <w:rsid w:val="74B3733F"/>
    <w:rsid w:val="74BB4445"/>
    <w:rsid w:val="74C936A8"/>
    <w:rsid w:val="74CB28DA"/>
    <w:rsid w:val="74DF1EE2"/>
    <w:rsid w:val="74E131DB"/>
    <w:rsid w:val="74E4574A"/>
    <w:rsid w:val="74EC2F8E"/>
    <w:rsid w:val="74F05498"/>
    <w:rsid w:val="74F31E31"/>
    <w:rsid w:val="74F636CF"/>
    <w:rsid w:val="74F6722B"/>
    <w:rsid w:val="74F811F5"/>
    <w:rsid w:val="74FD2BE4"/>
    <w:rsid w:val="74FD4A5E"/>
    <w:rsid w:val="7501454E"/>
    <w:rsid w:val="7506440F"/>
    <w:rsid w:val="75071439"/>
    <w:rsid w:val="75097E5E"/>
    <w:rsid w:val="750B31FF"/>
    <w:rsid w:val="750C6A4F"/>
    <w:rsid w:val="7513602F"/>
    <w:rsid w:val="751A5670"/>
    <w:rsid w:val="751F0770"/>
    <w:rsid w:val="753816C8"/>
    <w:rsid w:val="753931F6"/>
    <w:rsid w:val="7541494A"/>
    <w:rsid w:val="754216B4"/>
    <w:rsid w:val="754601B3"/>
    <w:rsid w:val="75546838"/>
    <w:rsid w:val="755B4233"/>
    <w:rsid w:val="755D1591"/>
    <w:rsid w:val="755F1275"/>
    <w:rsid w:val="75682771"/>
    <w:rsid w:val="75693EA1"/>
    <w:rsid w:val="756B7C19"/>
    <w:rsid w:val="75705230"/>
    <w:rsid w:val="75752F8D"/>
    <w:rsid w:val="75764D82"/>
    <w:rsid w:val="757A4300"/>
    <w:rsid w:val="758111EB"/>
    <w:rsid w:val="758331B5"/>
    <w:rsid w:val="75842A89"/>
    <w:rsid w:val="758B3E18"/>
    <w:rsid w:val="758C5177"/>
    <w:rsid w:val="75970A0E"/>
    <w:rsid w:val="75981265"/>
    <w:rsid w:val="75984C7A"/>
    <w:rsid w:val="759D2027"/>
    <w:rsid w:val="759F3DE9"/>
    <w:rsid w:val="75A90742"/>
    <w:rsid w:val="75AB44BA"/>
    <w:rsid w:val="75AB5501"/>
    <w:rsid w:val="75B0717F"/>
    <w:rsid w:val="75B46A60"/>
    <w:rsid w:val="75B6202C"/>
    <w:rsid w:val="75B74C0D"/>
    <w:rsid w:val="75BC0475"/>
    <w:rsid w:val="75C12DB9"/>
    <w:rsid w:val="75C17839"/>
    <w:rsid w:val="75C80561"/>
    <w:rsid w:val="75C86E1A"/>
    <w:rsid w:val="75C97D26"/>
    <w:rsid w:val="75CD4430"/>
    <w:rsid w:val="75D752AF"/>
    <w:rsid w:val="75D82ADC"/>
    <w:rsid w:val="75DD762C"/>
    <w:rsid w:val="75E874BC"/>
    <w:rsid w:val="75E95BCF"/>
    <w:rsid w:val="75EB0D5A"/>
    <w:rsid w:val="75EE39E4"/>
    <w:rsid w:val="760327D0"/>
    <w:rsid w:val="76036776"/>
    <w:rsid w:val="760B4F58"/>
    <w:rsid w:val="760B707B"/>
    <w:rsid w:val="761107C1"/>
    <w:rsid w:val="76142BC8"/>
    <w:rsid w:val="76191D5D"/>
    <w:rsid w:val="761A519B"/>
    <w:rsid w:val="761E5BCD"/>
    <w:rsid w:val="76202654"/>
    <w:rsid w:val="7621477C"/>
    <w:rsid w:val="762229CE"/>
    <w:rsid w:val="76307777"/>
    <w:rsid w:val="763077F0"/>
    <w:rsid w:val="76352D46"/>
    <w:rsid w:val="76397D18"/>
    <w:rsid w:val="764346F2"/>
    <w:rsid w:val="764C5733"/>
    <w:rsid w:val="764F3ACF"/>
    <w:rsid w:val="765661D4"/>
    <w:rsid w:val="766823AB"/>
    <w:rsid w:val="76682F3C"/>
    <w:rsid w:val="766B580D"/>
    <w:rsid w:val="767936DC"/>
    <w:rsid w:val="767945B8"/>
    <w:rsid w:val="7684793E"/>
    <w:rsid w:val="768A2321"/>
    <w:rsid w:val="768F5C74"/>
    <w:rsid w:val="768F7938"/>
    <w:rsid w:val="76967E0B"/>
    <w:rsid w:val="76A651B8"/>
    <w:rsid w:val="76A827A7"/>
    <w:rsid w:val="76AA7D73"/>
    <w:rsid w:val="76BB18DA"/>
    <w:rsid w:val="76BB28DB"/>
    <w:rsid w:val="76BD6253"/>
    <w:rsid w:val="76BF5F6B"/>
    <w:rsid w:val="76C13F86"/>
    <w:rsid w:val="76C30EF7"/>
    <w:rsid w:val="76C415FC"/>
    <w:rsid w:val="76C61413"/>
    <w:rsid w:val="76C61E2D"/>
    <w:rsid w:val="76CA0970"/>
    <w:rsid w:val="76CF2B2C"/>
    <w:rsid w:val="76CF41D8"/>
    <w:rsid w:val="76D161A2"/>
    <w:rsid w:val="76D37824"/>
    <w:rsid w:val="76E5705D"/>
    <w:rsid w:val="76EA1012"/>
    <w:rsid w:val="76EB1E9C"/>
    <w:rsid w:val="76EE465E"/>
    <w:rsid w:val="76F10C98"/>
    <w:rsid w:val="76FC2343"/>
    <w:rsid w:val="76FF686B"/>
    <w:rsid w:val="770B3462"/>
    <w:rsid w:val="7711659E"/>
    <w:rsid w:val="77197D0F"/>
    <w:rsid w:val="77244524"/>
    <w:rsid w:val="77260081"/>
    <w:rsid w:val="77277675"/>
    <w:rsid w:val="772938E8"/>
    <w:rsid w:val="772F5170"/>
    <w:rsid w:val="7731279D"/>
    <w:rsid w:val="77336515"/>
    <w:rsid w:val="77364257"/>
    <w:rsid w:val="77444479"/>
    <w:rsid w:val="7758241F"/>
    <w:rsid w:val="776808B4"/>
    <w:rsid w:val="776F42E7"/>
    <w:rsid w:val="77711301"/>
    <w:rsid w:val="777C7EBC"/>
    <w:rsid w:val="77876861"/>
    <w:rsid w:val="77896DB2"/>
    <w:rsid w:val="77930996"/>
    <w:rsid w:val="779F2A68"/>
    <w:rsid w:val="77A87288"/>
    <w:rsid w:val="77B347F9"/>
    <w:rsid w:val="77B92EBE"/>
    <w:rsid w:val="77BF5FFA"/>
    <w:rsid w:val="77C013CA"/>
    <w:rsid w:val="77D00208"/>
    <w:rsid w:val="77D26378"/>
    <w:rsid w:val="77D31AA6"/>
    <w:rsid w:val="77D40604"/>
    <w:rsid w:val="77D9530E"/>
    <w:rsid w:val="77E77FA4"/>
    <w:rsid w:val="77F55179"/>
    <w:rsid w:val="77F739E6"/>
    <w:rsid w:val="77FF1E63"/>
    <w:rsid w:val="78024BAC"/>
    <w:rsid w:val="78063C29"/>
    <w:rsid w:val="780A371A"/>
    <w:rsid w:val="780E3BD3"/>
    <w:rsid w:val="78171359"/>
    <w:rsid w:val="7819395D"/>
    <w:rsid w:val="781E2CD5"/>
    <w:rsid w:val="78222131"/>
    <w:rsid w:val="78250B22"/>
    <w:rsid w:val="7826607A"/>
    <w:rsid w:val="782A3DBC"/>
    <w:rsid w:val="78372035"/>
    <w:rsid w:val="78397B5B"/>
    <w:rsid w:val="783C3AEF"/>
    <w:rsid w:val="784309DA"/>
    <w:rsid w:val="784C3D32"/>
    <w:rsid w:val="78520C1D"/>
    <w:rsid w:val="785B6118"/>
    <w:rsid w:val="786077DD"/>
    <w:rsid w:val="78635E75"/>
    <w:rsid w:val="78664144"/>
    <w:rsid w:val="78670B6C"/>
    <w:rsid w:val="786A3801"/>
    <w:rsid w:val="787050BC"/>
    <w:rsid w:val="787119EB"/>
    <w:rsid w:val="787A08FC"/>
    <w:rsid w:val="78825DD6"/>
    <w:rsid w:val="78847BB2"/>
    <w:rsid w:val="788D434B"/>
    <w:rsid w:val="78AB718F"/>
    <w:rsid w:val="78AC47D1"/>
    <w:rsid w:val="78B11DE7"/>
    <w:rsid w:val="78B43685"/>
    <w:rsid w:val="78B744D1"/>
    <w:rsid w:val="78BC7688"/>
    <w:rsid w:val="78C74C7B"/>
    <w:rsid w:val="78C77FCD"/>
    <w:rsid w:val="78C80EDF"/>
    <w:rsid w:val="78CF6711"/>
    <w:rsid w:val="78D20616"/>
    <w:rsid w:val="78D37807"/>
    <w:rsid w:val="78D46D79"/>
    <w:rsid w:val="78DF3BEC"/>
    <w:rsid w:val="78E315A2"/>
    <w:rsid w:val="78EA0495"/>
    <w:rsid w:val="78F737F9"/>
    <w:rsid w:val="79116D2A"/>
    <w:rsid w:val="791505C8"/>
    <w:rsid w:val="79162F7A"/>
    <w:rsid w:val="79167E9C"/>
    <w:rsid w:val="792719D3"/>
    <w:rsid w:val="79294073"/>
    <w:rsid w:val="792C5912"/>
    <w:rsid w:val="792F0F95"/>
    <w:rsid w:val="793238A9"/>
    <w:rsid w:val="79382508"/>
    <w:rsid w:val="793F284C"/>
    <w:rsid w:val="79592940"/>
    <w:rsid w:val="7961380D"/>
    <w:rsid w:val="79634125"/>
    <w:rsid w:val="79764DDF"/>
    <w:rsid w:val="797B7924"/>
    <w:rsid w:val="797F465B"/>
    <w:rsid w:val="79975D7F"/>
    <w:rsid w:val="79984D55"/>
    <w:rsid w:val="79A36AC1"/>
    <w:rsid w:val="79A67270"/>
    <w:rsid w:val="79A85041"/>
    <w:rsid w:val="79AB4A88"/>
    <w:rsid w:val="79AC25AE"/>
    <w:rsid w:val="79B1044B"/>
    <w:rsid w:val="79BA116F"/>
    <w:rsid w:val="79BB3AEB"/>
    <w:rsid w:val="79C32880"/>
    <w:rsid w:val="79C773E8"/>
    <w:rsid w:val="79CC49FF"/>
    <w:rsid w:val="79D02741"/>
    <w:rsid w:val="79D044EF"/>
    <w:rsid w:val="79D52942"/>
    <w:rsid w:val="79D57D57"/>
    <w:rsid w:val="79D7229C"/>
    <w:rsid w:val="79D97847"/>
    <w:rsid w:val="79E87A8A"/>
    <w:rsid w:val="79E93803"/>
    <w:rsid w:val="79EE0E19"/>
    <w:rsid w:val="79EE2A5F"/>
    <w:rsid w:val="79F10445"/>
    <w:rsid w:val="79FA77BE"/>
    <w:rsid w:val="79FC3536"/>
    <w:rsid w:val="7A04600D"/>
    <w:rsid w:val="7A15284A"/>
    <w:rsid w:val="7A1A1600"/>
    <w:rsid w:val="7A205520"/>
    <w:rsid w:val="7A2126FE"/>
    <w:rsid w:val="7A3A5E0C"/>
    <w:rsid w:val="7A41363F"/>
    <w:rsid w:val="7A441C1C"/>
    <w:rsid w:val="7A486491"/>
    <w:rsid w:val="7A5213A8"/>
    <w:rsid w:val="7A643E1C"/>
    <w:rsid w:val="7A652E89"/>
    <w:rsid w:val="7A6A04A0"/>
    <w:rsid w:val="7A6A7A61"/>
    <w:rsid w:val="7A6C2327"/>
    <w:rsid w:val="7A745551"/>
    <w:rsid w:val="7A75650D"/>
    <w:rsid w:val="7A765096"/>
    <w:rsid w:val="7A806649"/>
    <w:rsid w:val="7A85637E"/>
    <w:rsid w:val="7A884DCA"/>
    <w:rsid w:val="7A8A6D94"/>
    <w:rsid w:val="7A902877"/>
    <w:rsid w:val="7A996D60"/>
    <w:rsid w:val="7A9B107F"/>
    <w:rsid w:val="7AA17C39"/>
    <w:rsid w:val="7AAD2A82"/>
    <w:rsid w:val="7AAF05A8"/>
    <w:rsid w:val="7AB4796D"/>
    <w:rsid w:val="7AB61937"/>
    <w:rsid w:val="7ACA3634"/>
    <w:rsid w:val="7AD41193"/>
    <w:rsid w:val="7AD9673C"/>
    <w:rsid w:val="7ADC6EC3"/>
    <w:rsid w:val="7AE07E53"/>
    <w:rsid w:val="7AE30252"/>
    <w:rsid w:val="7AE34C3A"/>
    <w:rsid w:val="7AE364A4"/>
    <w:rsid w:val="7AF10BC1"/>
    <w:rsid w:val="7AF1626C"/>
    <w:rsid w:val="7AF4245F"/>
    <w:rsid w:val="7AF449C4"/>
    <w:rsid w:val="7AF64035"/>
    <w:rsid w:val="7AF75AAB"/>
    <w:rsid w:val="7AFE61F7"/>
    <w:rsid w:val="7B0703E4"/>
    <w:rsid w:val="7B074467"/>
    <w:rsid w:val="7B087CB8"/>
    <w:rsid w:val="7B095F0A"/>
    <w:rsid w:val="7B0C2101"/>
    <w:rsid w:val="7B0E1C19"/>
    <w:rsid w:val="7B114DBF"/>
    <w:rsid w:val="7B152B01"/>
    <w:rsid w:val="7B203043"/>
    <w:rsid w:val="7B223D5A"/>
    <w:rsid w:val="7B25086A"/>
    <w:rsid w:val="7B2A7C2F"/>
    <w:rsid w:val="7B3048BE"/>
    <w:rsid w:val="7B346CFF"/>
    <w:rsid w:val="7B3563A3"/>
    <w:rsid w:val="7B3A1A33"/>
    <w:rsid w:val="7B3C2CDD"/>
    <w:rsid w:val="7B4056A4"/>
    <w:rsid w:val="7B4412F3"/>
    <w:rsid w:val="7B477DF0"/>
    <w:rsid w:val="7B4C1BE3"/>
    <w:rsid w:val="7B5022EF"/>
    <w:rsid w:val="7B5829EE"/>
    <w:rsid w:val="7B5C3128"/>
    <w:rsid w:val="7B611E85"/>
    <w:rsid w:val="7B6F1AE6"/>
    <w:rsid w:val="7B7C4426"/>
    <w:rsid w:val="7B7D2454"/>
    <w:rsid w:val="7B964140"/>
    <w:rsid w:val="7B9D6653"/>
    <w:rsid w:val="7BA21487"/>
    <w:rsid w:val="7BAB6304"/>
    <w:rsid w:val="7BB22216"/>
    <w:rsid w:val="7BB265A2"/>
    <w:rsid w:val="7BB67714"/>
    <w:rsid w:val="7BB75966"/>
    <w:rsid w:val="7BBB4D2B"/>
    <w:rsid w:val="7BC0508A"/>
    <w:rsid w:val="7BC13290"/>
    <w:rsid w:val="7BCB7664"/>
    <w:rsid w:val="7BCC6F38"/>
    <w:rsid w:val="7BCD518A"/>
    <w:rsid w:val="7BD37BAA"/>
    <w:rsid w:val="7BE67FFA"/>
    <w:rsid w:val="7BEC019F"/>
    <w:rsid w:val="7BF546E1"/>
    <w:rsid w:val="7BF803FA"/>
    <w:rsid w:val="7C1728A9"/>
    <w:rsid w:val="7C211032"/>
    <w:rsid w:val="7C296138"/>
    <w:rsid w:val="7C345209"/>
    <w:rsid w:val="7C352FED"/>
    <w:rsid w:val="7C372391"/>
    <w:rsid w:val="7C3F2A25"/>
    <w:rsid w:val="7C3F3BAE"/>
    <w:rsid w:val="7C431DAC"/>
    <w:rsid w:val="7C457B4B"/>
    <w:rsid w:val="7C472BF6"/>
    <w:rsid w:val="7C484810"/>
    <w:rsid w:val="7C4A4A2C"/>
    <w:rsid w:val="7C4D1E27"/>
    <w:rsid w:val="7C572CA5"/>
    <w:rsid w:val="7C5C7201"/>
    <w:rsid w:val="7C6026CD"/>
    <w:rsid w:val="7C66738C"/>
    <w:rsid w:val="7C69320C"/>
    <w:rsid w:val="7C6F4493"/>
    <w:rsid w:val="7C790E6E"/>
    <w:rsid w:val="7C857813"/>
    <w:rsid w:val="7C8A307B"/>
    <w:rsid w:val="7C924A10"/>
    <w:rsid w:val="7C943EFA"/>
    <w:rsid w:val="7C95557C"/>
    <w:rsid w:val="7C99506C"/>
    <w:rsid w:val="7C9A1952"/>
    <w:rsid w:val="7C9E2682"/>
    <w:rsid w:val="7CA51C63"/>
    <w:rsid w:val="7CAB4D9F"/>
    <w:rsid w:val="7CB023B6"/>
    <w:rsid w:val="7CB368C4"/>
    <w:rsid w:val="7CC77E2B"/>
    <w:rsid w:val="7CC974B5"/>
    <w:rsid w:val="7CD04806"/>
    <w:rsid w:val="7CDF5C73"/>
    <w:rsid w:val="7CE42605"/>
    <w:rsid w:val="7CE458D1"/>
    <w:rsid w:val="7CE65DD7"/>
    <w:rsid w:val="7CEC5AE4"/>
    <w:rsid w:val="7CF130FA"/>
    <w:rsid w:val="7CFB1883"/>
    <w:rsid w:val="7D083FA0"/>
    <w:rsid w:val="7D0D41C0"/>
    <w:rsid w:val="7D133070"/>
    <w:rsid w:val="7D1D3EEF"/>
    <w:rsid w:val="7D2D3A06"/>
    <w:rsid w:val="7D2F777E"/>
    <w:rsid w:val="7D306F70"/>
    <w:rsid w:val="7D364FB1"/>
    <w:rsid w:val="7D366731"/>
    <w:rsid w:val="7D382AD7"/>
    <w:rsid w:val="7D384885"/>
    <w:rsid w:val="7D425704"/>
    <w:rsid w:val="7D427D30"/>
    <w:rsid w:val="7D4551F4"/>
    <w:rsid w:val="7D490DDB"/>
    <w:rsid w:val="7D4E40A8"/>
    <w:rsid w:val="7D580A83"/>
    <w:rsid w:val="7D5C7423"/>
    <w:rsid w:val="7D5E1E12"/>
    <w:rsid w:val="7D6513F2"/>
    <w:rsid w:val="7D6C1D7F"/>
    <w:rsid w:val="7D6C452F"/>
    <w:rsid w:val="7D734D87"/>
    <w:rsid w:val="7D8A2C07"/>
    <w:rsid w:val="7D8A34CA"/>
    <w:rsid w:val="7D9A5540"/>
    <w:rsid w:val="7D9C12B8"/>
    <w:rsid w:val="7D9D0B8C"/>
    <w:rsid w:val="7DAC0E4F"/>
    <w:rsid w:val="7DAC69B0"/>
    <w:rsid w:val="7DB22DA3"/>
    <w:rsid w:val="7DB3106F"/>
    <w:rsid w:val="7DB54EBB"/>
    <w:rsid w:val="7DB67EA0"/>
    <w:rsid w:val="7DBA7990"/>
    <w:rsid w:val="7DC223A1"/>
    <w:rsid w:val="7DCB394B"/>
    <w:rsid w:val="7DD270EF"/>
    <w:rsid w:val="7DD6707A"/>
    <w:rsid w:val="7DDB3462"/>
    <w:rsid w:val="7DE93DD1"/>
    <w:rsid w:val="7DF32EA2"/>
    <w:rsid w:val="7E0B5B3E"/>
    <w:rsid w:val="7E0E55E6"/>
    <w:rsid w:val="7E1075B0"/>
    <w:rsid w:val="7E1370A0"/>
    <w:rsid w:val="7E1803F3"/>
    <w:rsid w:val="7E203B02"/>
    <w:rsid w:val="7E2412AD"/>
    <w:rsid w:val="7E24305B"/>
    <w:rsid w:val="7E2C3CBE"/>
    <w:rsid w:val="7E31370A"/>
    <w:rsid w:val="7E3E236F"/>
    <w:rsid w:val="7E3F2387"/>
    <w:rsid w:val="7E490D14"/>
    <w:rsid w:val="7E4A0726"/>
    <w:rsid w:val="7E527BC8"/>
    <w:rsid w:val="7E5356EF"/>
    <w:rsid w:val="7E576F8D"/>
    <w:rsid w:val="7E603096"/>
    <w:rsid w:val="7E682F48"/>
    <w:rsid w:val="7E696C77"/>
    <w:rsid w:val="7E6D0BB5"/>
    <w:rsid w:val="7E7538B7"/>
    <w:rsid w:val="7E7C2E97"/>
    <w:rsid w:val="7E88183C"/>
    <w:rsid w:val="7E89487A"/>
    <w:rsid w:val="7E9633BF"/>
    <w:rsid w:val="7EA128FE"/>
    <w:rsid w:val="7EA6304A"/>
    <w:rsid w:val="7EA86BB7"/>
    <w:rsid w:val="7EAB576E"/>
    <w:rsid w:val="7EAB72D9"/>
    <w:rsid w:val="7EB22415"/>
    <w:rsid w:val="7EB750C1"/>
    <w:rsid w:val="7EBF57AF"/>
    <w:rsid w:val="7EC65E37"/>
    <w:rsid w:val="7ECA3C03"/>
    <w:rsid w:val="7ECF4B58"/>
    <w:rsid w:val="7ED14F91"/>
    <w:rsid w:val="7ED21F55"/>
    <w:rsid w:val="7EDC3936"/>
    <w:rsid w:val="7EDF693E"/>
    <w:rsid w:val="7EE30820"/>
    <w:rsid w:val="7EE332FD"/>
    <w:rsid w:val="7EEE618D"/>
    <w:rsid w:val="7EEF3669"/>
    <w:rsid w:val="7EF156AE"/>
    <w:rsid w:val="7EF219DA"/>
    <w:rsid w:val="7EFC1C0D"/>
    <w:rsid w:val="7F1052AA"/>
    <w:rsid w:val="7F111831"/>
    <w:rsid w:val="7F182BC0"/>
    <w:rsid w:val="7F1B445E"/>
    <w:rsid w:val="7F1D2468"/>
    <w:rsid w:val="7F1E201E"/>
    <w:rsid w:val="7F231011"/>
    <w:rsid w:val="7F25708B"/>
    <w:rsid w:val="7F2A28F3"/>
    <w:rsid w:val="7F2D192C"/>
    <w:rsid w:val="7F330B06"/>
    <w:rsid w:val="7F3D43D5"/>
    <w:rsid w:val="7F3F45A7"/>
    <w:rsid w:val="7F57554F"/>
    <w:rsid w:val="7F5931D8"/>
    <w:rsid w:val="7F6852F2"/>
    <w:rsid w:val="7F6F47AA"/>
    <w:rsid w:val="7F736048"/>
    <w:rsid w:val="7F7F3672"/>
    <w:rsid w:val="7F802513"/>
    <w:rsid w:val="7F8518D8"/>
    <w:rsid w:val="7FA62BA4"/>
    <w:rsid w:val="7FAC753D"/>
    <w:rsid w:val="7FBF303C"/>
    <w:rsid w:val="7FCB6186"/>
    <w:rsid w:val="7FD12D03"/>
    <w:rsid w:val="7FD832C2"/>
    <w:rsid w:val="7FD91C23"/>
    <w:rsid w:val="7FDE68B9"/>
    <w:rsid w:val="7FE65E0B"/>
    <w:rsid w:val="7FF5783B"/>
    <w:rsid w:val="7FF87B12"/>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autoRedefine/>
    <w:semiHidden/>
    <w:unhideWhenUsed/>
    <w:qFormat/>
    <w:uiPriority w:val="0"/>
    <w:pPr>
      <w:keepNext/>
      <w:keepLines/>
      <w:spacing w:before="260" w:after="260" w:line="416" w:lineRule="auto"/>
      <w:outlineLvl w:val="2"/>
    </w:pPr>
    <w:rPr>
      <w:b/>
      <w:bCs/>
      <w:sz w:val="32"/>
      <w:szCs w:val="32"/>
    </w:rPr>
  </w:style>
  <w:style w:type="character" w:default="1" w:styleId="24">
    <w:name w:val="Default Paragraph Font"/>
    <w:semiHidden/>
    <w:qFormat/>
    <w:uiPriority w:val="0"/>
  </w:style>
  <w:style w:type="table" w:default="1" w:styleId="22">
    <w:name w:val="Normal Table"/>
    <w:autoRedefine/>
    <w:semiHidden/>
    <w:qFormat/>
    <w:uiPriority w:val="0"/>
    <w:tblPr>
      <w:tblCellMar>
        <w:top w:w="0" w:type="dxa"/>
        <w:left w:w="108" w:type="dxa"/>
        <w:bottom w:w="0" w:type="dxa"/>
        <w:right w:w="108" w:type="dxa"/>
      </w:tblCellMar>
    </w:tblPr>
  </w:style>
  <w:style w:type="paragraph" w:styleId="3">
    <w:name w:val="Normal Indent"/>
    <w:basedOn w:val="1"/>
    <w:next w:val="4"/>
    <w:autoRedefine/>
    <w:qFormat/>
    <w:uiPriority w:val="0"/>
    <w:pPr>
      <w:ind w:firstLine="420" w:firstLineChars="200"/>
    </w:pPr>
    <w:rPr>
      <w:sz w:val="24"/>
      <w:szCs w:val="20"/>
    </w:rPr>
  </w:style>
  <w:style w:type="paragraph" w:customStyle="1" w:styleId="4">
    <w:name w:val="正文首行缩进2个字 Char"/>
    <w:basedOn w:val="1"/>
    <w:autoRedefine/>
    <w:qFormat/>
    <w:uiPriority w:val="0"/>
    <w:pPr>
      <w:ind w:firstLine="480" w:firstLineChars="200"/>
    </w:pPr>
    <w:rPr>
      <w:rFonts w:eastAsia="楷体"/>
    </w:rPr>
  </w:style>
  <w:style w:type="paragraph" w:styleId="5">
    <w:name w:val="annotation text"/>
    <w:basedOn w:val="1"/>
    <w:autoRedefine/>
    <w:qFormat/>
    <w:uiPriority w:val="0"/>
    <w:pPr>
      <w:jc w:val="left"/>
    </w:pPr>
    <w:rPr>
      <w:kern w:val="0"/>
      <w:sz w:val="24"/>
      <w:szCs w:val="20"/>
    </w:rPr>
  </w:style>
  <w:style w:type="paragraph" w:styleId="6">
    <w:name w:val="Body Text"/>
    <w:basedOn w:val="1"/>
    <w:next w:val="7"/>
    <w:autoRedefine/>
    <w:qFormat/>
    <w:uiPriority w:val="0"/>
    <w:pPr>
      <w:widowControl/>
      <w:snapToGrid w:val="0"/>
      <w:spacing w:before="60" w:after="160" w:line="259" w:lineRule="auto"/>
      <w:ind w:right="113"/>
    </w:pPr>
    <w:rPr>
      <w:kern w:val="0"/>
      <w:sz w:val="18"/>
      <w:szCs w:val="20"/>
    </w:rPr>
  </w:style>
  <w:style w:type="paragraph" w:styleId="7">
    <w:name w:val="List Bullet 5"/>
    <w:basedOn w:val="1"/>
    <w:autoRedefine/>
    <w:qFormat/>
    <w:uiPriority w:val="0"/>
    <w:pPr>
      <w:numPr>
        <w:ilvl w:val="0"/>
        <w:numId w:val="1"/>
      </w:numPr>
    </w:pPr>
  </w:style>
  <w:style w:type="paragraph" w:styleId="8">
    <w:name w:val="Body Text Indent"/>
    <w:basedOn w:val="1"/>
    <w:next w:val="1"/>
    <w:autoRedefine/>
    <w:qFormat/>
    <w:uiPriority w:val="0"/>
    <w:pPr>
      <w:spacing w:after="120"/>
      <w:ind w:left="420" w:leftChars="200"/>
    </w:pPr>
    <w:rPr>
      <w:kern w:val="0"/>
      <w:sz w:val="24"/>
      <w:szCs w:val="20"/>
    </w:rPr>
  </w:style>
  <w:style w:type="paragraph" w:styleId="9">
    <w:name w:val="Block Text"/>
    <w:basedOn w:val="1"/>
    <w:next w:val="1"/>
    <w:qFormat/>
    <w:uiPriority w:val="0"/>
    <w:pPr>
      <w:spacing w:line="360" w:lineRule="auto"/>
      <w:ind w:left="540" w:leftChars="257" w:right="113" w:firstLine="403" w:firstLineChars="192"/>
    </w:pPr>
    <w:rPr>
      <w:rFonts w:ascii="宋体"/>
    </w:rPr>
  </w:style>
  <w:style w:type="paragraph" w:styleId="10">
    <w:name w:val="Body Text Indent 2"/>
    <w:basedOn w:val="1"/>
    <w:qFormat/>
    <w:uiPriority w:val="0"/>
    <w:pPr>
      <w:spacing w:after="120" w:line="480" w:lineRule="auto"/>
      <w:ind w:left="420" w:leftChars="200"/>
    </w:pPr>
  </w:style>
  <w:style w:type="paragraph" w:styleId="11">
    <w:name w:val="footer"/>
    <w:basedOn w:val="1"/>
    <w:qFormat/>
    <w:uiPriority w:val="99"/>
    <w:pPr>
      <w:tabs>
        <w:tab w:val="center" w:pos="4153"/>
        <w:tab w:val="right" w:pos="8306"/>
      </w:tabs>
      <w:snapToGrid w:val="0"/>
      <w:jc w:val="left"/>
    </w:pPr>
    <w:rPr>
      <w:kern w:val="0"/>
      <w:sz w:val="18"/>
      <w:szCs w:val="20"/>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index heading"/>
    <w:basedOn w:val="1"/>
    <w:next w:val="15"/>
    <w:qFormat/>
    <w:uiPriority w:val="0"/>
  </w:style>
  <w:style w:type="paragraph" w:styleId="15">
    <w:name w:val="index 1"/>
    <w:basedOn w:val="1"/>
    <w:next w:val="1"/>
    <w:qFormat/>
    <w:uiPriority w:val="0"/>
    <w:pPr>
      <w:jc w:val="center"/>
    </w:pPr>
  </w:style>
  <w:style w:type="paragraph" w:styleId="16">
    <w:name w:val="List"/>
    <w:basedOn w:val="1"/>
    <w:qFormat/>
    <w:uiPriority w:val="0"/>
    <w:pPr>
      <w:spacing w:line="400" w:lineRule="exact"/>
      <w:jc w:val="center"/>
    </w:pPr>
    <w:rPr>
      <w:rFonts w:ascii="宋体" w:hAnsi="宋体"/>
      <w:sz w:val="24"/>
      <w:szCs w:val="20"/>
    </w:rPr>
  </w:style>
  <w:style w:type="paragraph" w:styleId="17">
    <w:name w:val="Body Text Indent 3"/>
    <w:basedOn w:val="1"/>
    <w:qFormat/>
    <w:uiPriority w:val="0"/>
    <w:pPr>
      <w:spacing w:after="120"/>
      <w:ind w:left="420" w:leftChars="200"/>
    </w:pPr>
    <w:rPr>
      <w:sz w:val="16"/>
      <w:szCs w:val="16"/>
    </w:rPr>
  </w:style>
  <w:style w:type="paragraph" w:styleId="18">
    <w:name w:val="table of figures"/>
    <w:basedOn w:val="1"/>
    <w:next w:val="1"/>
    <w:autoRedefine/>
    <w:semiHidden/>
    <w:qFormat/>
    <w:uiPriority w:val="0"/>
    <w:pPr>
      <w:jc w:val="center"/>
    </w:pPr>
    <w:rPr>
      <w:rFonts w:eastAsia="楷体_GB2312"/>
      <w:color w:val="000000"/>
      <w:spacing w:val="-4"/>
      <w:szCs w:val="20"/>
    </w:rPr>
  </w:style>
  <w:style w:type="paragraph" w:styleId="19">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20">
    <w:name w:val="Body Text First Indent"/>
    <w:basedOn w:val="6"/>
    <w:next w:val="1"/>
    <w:unhideWhenUsed/>
    <w:qFormat/>
    <w:uiPriority w:val="0"/>
    <w:pPr>
      <w:widowControl w:val="0"/>
      <w:snapToGrid/>
      <w:spacing w:before="0" w:after="120" w:line="240" w:lineRule="auto"/>
      <w:ind w:right="0" w:firstLine="420" w:firstLineChars="100"/>
    </w:pPr>
    <w:rPr>
      <w:kern w:val="2"/>
      <w:sz w:val="21"/>
      <w:szCs w:val="24"/>
    </w:rPr>
  </w:style>
  <w:style w:type="paragraph" w:styleId="21">
    <w:name w:val="Body Text First Indent 2"/>
    <w:basedOn w:val="8"/>
    <w:qFormat/>
    <w:uiPriority w:val="0"/>
    <w:pPr>
      <w:ind w:firstLine="420" w:firstLineChars="200"/>
    </w:pPr>
    <w:rPr>
      <w:kern w:val="2"/>
      <w:sz w:val="21"/>
      <w:szCs w:val="24"/>
    </w:r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qFormat/>
    <w:uiPriority w:val="0"/>
  </w:style>
  <w:style w:type="character" w:styleId="26">
    <w:name w:val="annotation reference"/>
    <w:qFormat/>
    <w:uiPriority w:val="0"/>
    <w:rPr>
      <w:sz w:val="21"/>
    </w:rPr>
  </w:style>
  <w:style w:type="paragraph" w:customStyle="1" w:styleId="27">
    <w:name w:val="正文缩进2"/>
    <w:basedOn w:val="1"/>
    <w:qFormat/>
    <w:uiPriority w:val="0"/>
    <w:pPr>
      <w:spacing w:line="500" w:lineRule="exact"/>
      <w:ind w:firstLine="200" w:firstLineChars="200"/>
    </w:pPr>
  </w:style>
  <w:style w:type="paragraph" w:customStyle="1" w:styleId="2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9">
    <w:name w:val="表表文字"/>
    <w:basedOn w:val="1"/>
    <w:qFormat/>
    <w:uiPriority w:val="0"/>
    <w:pPr>
      <w:wordWrap w:val="0"/>
      <w:adjustRightInd w:val="0"/>
      <w:snapToGrid w:val="0"/>
      <w:jc w:val="center"/>
    </w:pPr>
    <w:rPr>
      <w:kern w:val="0"/>
      <w:szCs w:val="21"/>
    </w:rPr>
  </w:style>
  <w:style w:type="paragraph" w:customStyle="1" w:styleId="30">
    <w:name w:val="样式1"/>
    <w:basedOn w:val="2"/>
    <w:autoRedefine/>
    <w:qFormat/>
    <w:uiPriority w:val="0"/>
    <w:pPr>
      <w:tabs>
        <w:tab w:val="left" w:pos="720"/>
      </w:tabs>
      <w:snapToGrid w:val="0"/>
      <w:spacing w:before="0" w:after="0" w:line="360" w:lineRule="auto"/>
      <w:ind w:left="567" w:hanging="720"/>
    </w:pPr>
    <w:rPr>
      <w:rFonts w:eastAsia="黑体"/>
      <w:b w:val="0"/>
      <w:bCs w:val="0"/>
      <w:sz w:val="28"/>
      <w:szCs w:val="20"/>
    </w:rPr>
  </w:style>
  <w:style w:type="paragraph" w:customStyle="1" w:styleId="31">
    <w:name w:val="0正文"/>
    <w:basedOn w:val="19"/>
    <w:qFormat/>
    <w:uiPriority w:val="0"/>
    <w:pPr>
      <w:spacing w:line="360" w:lineRule="auto"/>
      <w:ind w:firstLine="482"/>
    </w:pPr>
  </w:style>
  <w:style w:type="paragraph" w:customStyle="1" w:styleId="32">
    <w:name w:val="我的表头"/>
    <w:qFormat/>
    <w:uiPriority w:val="0"/>
    <w:pPr>
      <w:widowControl w:val="0"/>
      <w:numPr>
        <w:ilvl w:val="0"/>
        <w:numId w:val="2"/>
      </w:numPr>
      <w:spacing w:line="500" w:lineRule="exact"/>
      <w:jc w:val="center"/>
    </w:pPr>
    <w:rPr>
      <w:rFonts w:hint="eastAsia" w:ascii="Times New Roman" w:hAnsi="Times New Roman" w:eastAsia="Times New Roman" w:cs="Times New Roman"/>
      <w:b/>
      <w:kern w:val="2"/>
      <w:sz w:val="24"/>
      <w:szCs w:val="21"/>
      <w:lang w:val="en-US" w:eastAsia="zh-CN" w:bidi="ar-SA"/>
    </w:rPr>
  </w:style>
  <w:style w:type="paragraph" w:customStyle="1" w:styleId="33">
    <w:name w:val="表格内文字"/>
    <w:basedOn w:val="1"/>
    <w:qFormat/>
    <w:uiPriority w:val="0"/>
    <w:pPr>
      <w:tabs>
        <w:tab w:val="left" w:pos="0"/>
      </w:tabs>
      <w:adjustRightInd w:val="0"/>
      <w:snapToGrid w:val="0"/>
      <w:jc w:val="center"/>
    </w:pPr>
    <w:rPr>
      <w:rFonts w:ascii="Times New Roman" w:hAnsi="Times New Roman" w:eastAsia="仿宋"/>
      <w:snapToGrid w:val="0"/>
      <w:kern w:val="0"/>
      <w:szCs w:val="21"/>
    </w:rPr>
  </w:style>
  <w:style w:type="paragraph" w:customStyle="1" w:styleId="34">
    <w:name w:val="环评正文"/>
    <w:qFormat/>
    <w:uiPriority w:val="0"/>
    <w:pPr>
      <w:spacing w:line="440" w:lineRule="exact"/>
      <w:ind w:firstLine="200" w:firstLineChars="200"/>
    </w:pPr>
    <w:rPr>
      <w:rFonts w:ascii="Calibri" w:hAnsi="Calibri" w:eastAsia="Calibri" w:cs="Times New Roman"/>
      <w:bCs/>
      <w:kern w:val="2"/>
      <w:sz w:val="24"/>
      <w:szCs w:val="24"/>
      <w:lang w:val="en-US" w:eastAsia="zh-CN" w:bidi="ar-SA"/>
    </w:rPr>
  </w:style>
  <w:style w:type="paragraph" w:customStyle="1" w:styleId="35">
    <w:name w:val="表格"/>
    <w:basedOn w:val="36"/>
    <w:next w:val="1"/>
    <w:autoRedefine/>
    <w:qFormat/>
    <w:uiPriority w:val="0"/>
    <w:pPr>
      <w:adjustRightInd w:val="0"/>
      <w:snapToGrid w:val="0"/>
      <w:spacing w:beforeLines="10" w:afterLines="10" w:line="259" w:lineRule="auto"/>
      <w:jc w:val="center"/>
    </w:pPr>
    <w:rPr>
      <w:rFonts w:ascii="宋体"/>
      <w:kern w:val="0"/>
      <w:szCs w:val="20"/>
    </w:rPr>
  </w:style>
  <w:style w:type="paragraph" w:customStyle="1" w:styleId="36">
    <w:name w:val="表头"/>
    <w:basedOn w:val="3"/>
    <w:next w:val="1"/>
    <w:autoRedefine/>
    <w:qFormat/>
    <w:uiPriority w:val="0"/>
    <w:pPr>
      <w:adjustRightInd w:val="0"/>
      <w:spacing w:line="320" w:lineRule="atLeast"/>
      <w:jc w:val="center"/>
      <w:textAlignment w:val="baseline"/>
    </w:pPr>
    <w:rPr>
      <w:rFonts w:eastAsia="黑体"/>
      <w:spacing w:val="-10"/>
    </w:rPr>
  </w:style>
  <w:style w:type="paragraph" w:customStyle="1" w:styleId="37">
    <w:name w:val="表标题"/>
    <w:basedOn w:val="6"/>
    <w:next w:val="1"/>
    <w:autoRedefine/>
    <w:qFormat/>
    <w:uiPriority w:val="0"/>
    <w:pPr>
      <w:spacing w:after="0" w:line="400" w:lineRule="exact"/>
      <w:jc w:val="center"/>
    </w:pPr>
    <w:rPr>
      <w:rFonts w:ascii="Calibri" w:hAnsi="Calibri"/>
      <w:spacing w:val="-4"/>
      <w:sz w:val="24"/>
    </w:rPr>
  </w:style>
  <w:style w:type="paragraph" w:customStyle="1" w:styleId="38">
    <w:name w:val="5 正文，首行缩进"/>
    <w:basedOn w:val="1"/>
    <w:autoRedefine/>
    <w:qFormat/>
    <w:uiPriority w:val="0"/>
    <w:pPr>
      <w:topLinePunct/>
      <w:adjustRightInd w:val="0"/>
      <w:snapToGrid w:val="0"/>
      <w:spacing w:line="360" w:lineRule="auto"/>
      <w:ind w:firstLine="200" w:firstLineChars="200"/>
    </w:pPr>
    <w:rPr>
      <w:color w:val="000000"/>
      <w:kern w:val="0"/>
      <w:sz w:val="24"/>
      <w:szCs w:val="20"/>
    </w:rPr>
  </w:style>
  <w:style w:type="paragraph" w:customStyle="1" w:styleId="39">
    <w:name w:val="Table Paragraph"/>
    <w:basedOn w:val="1"/>
    <w:autoRedefine/>
    <w:qFormat/>
    <w:uiPriority w:val="0"/>
    <w:rPr>
      <w:rFonts w:ascii="宋体" w:hAnsi="宋体" w:cs="宋体"/>
      <w:lang w:val="zh-CN"/>
    </w:rPr>
  </w:style>
  <w:style w:type="paragraph" w:customStyle="1" w:styleId="40">
    <w:name w:val="正文 4"/>
    <w:basedOn w:val="1"/>
    <w:autoRedefine/>
    <w:qFormat/>
    <w:uiPriority w:val="0"/>
    <w:pPr>
      <w:autoSpaceDE w:val="0"/>
      <w:autoSpaceDN w:val="0"/>
      <w:adjustRightInd w:val="0"/>
      <w:snapToGrid w:val="0"/>
      <w:spacing w:line="360" w:lineRule="auto"/>
      <w:ind w:firstLine="480" w:firstLineChars="200"/>
      <w:jc w:val="left"/>
    </w:pPr>
    <w:rPr>
      <w:rFonts w:hAnsi="宋体"/>
      <w:bCs/>
      <w:color w:val="000000"/>
      <w:kern w:val="0"/>
      <w:sz w:val="24"/>
    </w:rPr>
  </w:style>
  <w:style w:type="character" w:customStyle="1" w:styleId="41">
    <w:name w:val="font41"/>
    <w:basedOn w:val="24"/>
    <w:autoRedefine/>
    <w:qFormat/>
    <w:uiPriority w:val="0"/>
    <w:rPr>
      <w:rFonts w:hint="eastAsia" w:ascii="宋体" w:hAnsi="宋体" w:eastAsia="宋体" w:cs="宋体"/>
      <w:color w:val="000000"/>
      <w:sz w:val="20"/>
      <w:szCs w:val="20"/>
      <w:u w:val="none"/>
    </w:rPr>
  </w:style>
  <w:style w:type="character" w:customStyle="1" w:styleId="42">
    <w:name w:val="font51"/>
    <w:basedOn w:val="24"/>
    <w:autoRedefine/>
    <w:qFormat/>
    <w:uiPriority w:val="0"/>
    <w:rPr>
      <w:rFonts w:hint="default" w:ascii="Times New Roman" w:hAnsi="Times New Roman" w:cs="Times New Roman"/>
      <w:color w:val="000000"/>
      <w:sz w:val="21"/>
      <w:szCs w:val="21"/>
      <w:u w:val="none"/>
    </w:rPr>
  </w:style>
  <w:style w:type="character" w:customStyle="1" w:styleId="43">
    <w:name w:val="font61"/>
    <w:basedOn w:val="24"/>
    <w:autoRedefine/>
    <w:qFormat/>
    <w:uiPriority w:val="0"/>
    <w:rPr>
      <w:rFonts w:hint="eastAsia" w:ascii="宋体" w:hAnsi="宋体" w:eastAsia="宋体" w:cs="宋体"/>
      <w:color w:val="000000"/>
      <w:sz w:val="21"/>
      <w:szCs w:val="21"/>
      <w:u w:val="none"/>
    </w:rPr>
  </w:style>
  <w:style w:type="character" w:customStyle="1" w:styleId="44">
    <w:name w:val="font31"/>
    <w:basedOn w:val="24"/>
    <w:autoRedefine/>
    <w:qFormat/>
    <w:uiPriority w:val="0"/>
    <w:rPr>
      <w:rFonts w:hint="default" w:ascii="Times New Roman" w:hAnsi="Times New Roman" w:cs="Times New Roman"/>
      <w:color w:val="000000"/>
      <w:sz w:val="20"/>
      <w:szCs w:val="20"/>
      <w:u w:val="none"/>
    </w:rPr>
  </w:style>
  <w:style w:type="paragraph" w:customStyle="1" w:styleId="45">
    <w:name w:val="表格文字"/>
    <w:basedOn w:val="10"/>
    <w:next w:val="1"/>
    <w:autoRedefine/>
    <w:qFormat/>
    <w:uiPriority w:val="0"/>
    <w:pPr>
      <w:widowControl/>
      <w:snapToGrid w:val="0"/>
      <w:spacing w:before="60" w:after="160" w:line="400" w:lineRule="exact"/>
      <w:ind w:right="113"/>
      <w:jc w:val="center"/>
    </w:pPr>
    <w:rPr>
      <w:rFonts w:eastAsia="仿宋_GB2312"/>
      <w:kern w:val="0"/>
      <w:sz w:val="18"/>
    </w:rPr>
  </w:style>
  <w:style w:type="paragraph" w:customStyle="1" w:styleId="46">
    <w:name w:val="表格居中"/>
    <w:autoRedefine/>
    <w:qFormat/>
    <w:uiPriority w:val="0"/>
    <w:pPr>
      <w:jc w:val="center"/>
    </w:pPr>
    <w:rPr>
      <w:rFonts w:ascii="Times New Roman" w:hAnsi="Times New Roman" w:eastAsia="宋体" w:cs="Times New Roman"/>
      <w:kern w:val="2"/>
      <w:sz w:val="24"/>
      <w:szCs w:val="24"/>
      <w:lang w:val="en-US" w:eastAsia="zh-CN" w:bidi="ar-SA"/>
    </w:rPr>
  </w:style>
  <w:style w:type="table" w:customStyle="1" w:styleId="47">
    <w:name w:val="Table Normal"/>
    <w:autoRedefine/>
    <w:unhideWhenUsed/>
    <w:qFormat/>
    <w:uiPriority w:val="0"/>
    <w:rPr>
      <w:lang w:val="en-US" w:eastAsia="zh-CN" w:bidi="ar-SA"/>
    </w:rPr>
    <w:tblPr>
      <w:tblCellMar>
        <w:top w:w="0" w:type="dxa"/>
        <w:left w:w="0" w:type="dxa"/>
        <w:bottom w:w="0" w:type="dxa"/>
        <w:right w:w="0" w:type="dxa"/>
      </w:tblCellMar>
    </w:tblPr>
  </w:style>
  <w:style w:type="paragraph" w:customStyle="1" w:styleId="48">
    <w:name w:val="1表格内字体"/>
    <w:basedOn w:val="1"/>
    <w:autoRedefine/>
    <w:qFormat/>
    <w:uiPriority w:val="0"/>
    <w:pPr>
      <w:snapToGrid w:val="0"/>
      <w:spacing w:line="240" w:lineRule="auto"/>
      <w:jc w:val="center"/>
    </w:pPr>
    <w:rPr>
      <w:rFonts w:ascii="Times New Roman" w:hAnsi="Times New Roman"/>
      <w:szCs w:val="21"/>
    </w:rPr>
  </w:style>
  <w:style w:type="paragraph" w:customStyle="1" w:styleId="49">
    <w:name w:val="居中正文"/>
    <w:basedOn w:val="1"/>
    <w:autoRedefine/>
    <w:qFormat/>
    <w:uiPriority w:val="0"/>
    <w:pPr>
      <w:autoSpaceDE w:val="0"/>
      <w:autoSpaceDN w:val="0"/>
      <w:adjustRightInd w:val="0"/>
      <w:snapToGrid w:val="0"/>
      <w:spacing w:line="276" w:lineRule="auto"/>
      <w:jc w:val="center"/>
    </w:pPr>
    <w:rPr>
      <w:sz w:val="24"/>
    </w:rPr>
  </w:style>
  <w:style w:type="character" w:customStyle="1" w:styleId="50">
    <w:name w:val="font11"/>
    <w:basedOn w:val="24"/>
    <w:autoRedefine/>
    <w:qFormat/>
    <w:uiPriority w:val="0"/>
    <w:rPr>
      <w:rFonts w:hint="eastAsia" w:ascii="仿宋" w:hAnsi="仿宋" w:eastAsia="仿宋" w:cs="仿宋"/>
      <w:color w:val="000000"/>
      <w:sz w:val="21"/>
      <w:szCs w:val="21"/>
      <w:u w:val="none"/>
    </w:rPr>
  </w:style>
  <w:style w:type="paragraph" w:customStyle="1" w:styleId="51">
    <w:name w:val="8"/>
    <w:basedOn w:val="8"/>
    <w:next w:val="20"/>
    <w:autoRedefine/>
    <w:qFormat/>
    <w:uiPriority w:val="0"/>
    <w:pPr>
      <w:spacing w:after="120"/>
      <w:ind w:left="420" w:leftChars="200"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5.bin"/><Relationship Id="rId17" Type="http://schemas.openxmlformats.org/officeDocument/2006/relationships/image" Target="media/image5.png"/><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93</Pages>
  <Words>31224</Words>
  <Characters>33202</Characters>
  <Lines>0</Lines>
  <Paragraphs>0</Paragraphs>
  <TotalTime>9</TotalTime>
  <ScaleCrop>false</ScaleCrop>
  <LinksUpToDate>false</LinksUpToDate>
  <CharactersWithSpaces>33317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2025-03-21T06:39:00Z</dcterms:created>
  <dc:creator>Administrator</dc:creator>
  <cp:lastModifiedBy>FQR</cp:lastModifiedBy>
  <cp:lastPrinted>2025-08-07T07:01:00Z</cp:lastPrinted>
  <dcterms:modified xsi:type="dcterms:W3CDTF">2026-08-20T06:16:56Z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eyJoZGlkIjoiMTkxMzlkNjMzOWUyYzllMDQ0MDUzZmMwYmU2Mjg0YzEiLCJ1c2VySWQiOiIyNjQ1MzYyOTcifQ==</vt:lpwstr>
  </property>
  <property fmtid="{D5CDD505-2E9C-101B-9397-08002B2CF9AE}" pid="4" name="ICV">
    <vt:lpwstr>3F9CC013CBE945F591273233BAD09551_13</vt:lpwstr>
  </property>
</Properties>
</file>